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8D" w:rsidRDefault="0096418D" w:rsidP="0096418D">
      <w:pPr>
        <w:pStyle w:val="NoSpacing"/>
        <w:rPr>
          <w:b/>
          <w:u w:val="single"/>
        </w:rPr>
      </w:pPr>
      <w:bookmarkStart w:id="0" w:name="_GoBack"/>
      <w:bookmarkEnd w:id="0"/>
      <w:r w:rsidRPr="00E35F97">
        <w:rPr>
          <w:b/>
          <w:u w:val="single"/>
        </w:rPr>
        <w:t>Appendix 1</w:t>
      </w:r>
    </w:p>
    <w:p w:rsidR="001359FE" w:rsidRDefault="001359FE" w:rsidP="0096418D">
      <w:pPr>
        <w:pStyle w:val="NoSpacing"/>
        <w:rPr>
          <w:b/>
          <w:u w:val="single"/>
        </w:rPr>
      </w:pPr>
      <w:r>
        <w:rPr>
          <w:b/>
          <w:u w:val="single"/>
        </w:rPr>
        <w:t>OOCMG Terms of Reference</w:t>
      </w:r>
    </w:p>
    <w:p w:rsidR="001359FE" w:rsidRDefault="001359FE" w:rsidP="0096418D">
      <w:pPr>
        <w:pStyle w:val="NoSpacing"/>
        <w:rPr>
          <w:b/>
          <w:u w:val="single"/>
        </w:rPr>
      </w:pPr>
      <w:r>
        <w:rPr>
          <w:b/>
          <w:noProof/>
          <w:u w:val="single"/>
          <w:lang w:eastAsia="en-GB"/>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98425</wp:posOffset>
                </wp:positionV>
                <wp:extent cx="6411595" cy="4091305"/>
                <wp:effectExtent l="0" t="0" r="2730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4091305"/>
                        </a:xfrm>
                        <a:prstGeom prst="rect">
                          <a:avLst/>
                        </a:prstGeom>
                        <a:solidFill>
                          <a:srgbClr val="FFFFFF"/>
                        </a:solidFill>
                        <a:ln w="9525">
                          <a:solidFill>
                            <a:srgbClr val="000000"/>
                          </a:solidFill>
                          <a:miter lim="800000"/>
                          <a:headEnd/>
                          <a:tailEnd/>
                        </a:ln>
                      </wps:spPr>
                      <wps:txbx>
                        <w:txbxContent>
                          <w:p w:rsidR="001359FE" w:rsidRPr="009D2ECC" w:rsidRDefault="001359FE" w:rsidP="00D25127">
                            <w:pPr>
                              <w:pStyle w:val="NoSpacing"/>
                              <w:rPr>
                                <w:b/>
                                <w:sz w:val="16"/>
                                <w:szCs w:val="16"/>
                              </w:rPr>
                            </w:pPr>
                            <w:r w:rsidRPr="009D2ECC">
                              <w:rPr>
                                <w:b/>
                                <w:sz w:val="16"/>
                                <w:szCs w:val="16"/>
                              </w:rPr>
                              <w:t>OOCMG Terms of Reference</w:t>
                            </w:r>
                          </w:p>
                          <w:p w:rsidR="001359FE" w:rsidRPr="009D2ECC" w:rsidRDefault="001359FE" w:rsidP="000A6728">
                            <w:pPr>
                              <w:numPr>
                                <w:ilvl w:val="0"/>
                                <w:numId w:val="1"/>
                              </w:numPr>
                              <w:spacing w:after="0" w:line="240" w:lineRule="auto"/>
                              <w:rPr>
                                <w:sz w:val="16"/>
                                <w:szCs w:val="16"/>
                              </w:rPr>
                            </w:pPr>
                            <w:r>
                              <w:rPr>
                                <w:sz w:val="16"/>
                                <w:szCs w:val="16"/>
                              </w:rPr>
                              <w:t>Membership</w:t>
                            </w:r>
                            <w:r w:rsidRPr="009D2ECC">
                              <w:rPr>
                                <w:sz w:val="16"/>
                                <w:szCs w:val="16"/>
                              </w:rPr>
                              <w:br/>
                              <w:t xml:space="preserve">The membership of the OOCMG will include all acute and mental health Trusts in the London and East of England regions who are interested in contributing to the group.  </w:t>
                            </w:r>
                            <w:r>
                              <w:rPr>
                                <w:sz w:val="16"/>
                                <w:szCs w:val="16"/>
                              </w:rPr>
                              <w:br/>
                            </w:r>
                            <w:r w:rsidRPr="009D2ECC">
                              <w:rPr>
                                <w:sz w:val="16"/>
                                <w:szCs w:val="16"/>
                              </w:rPr>
                              <w:t>The procurement specialist from London and East of England will provide support to the group.  Any other procurement specialists are welcome as advisors or in a substantive role.</w:t>
                            </w:r>
                          </w:p>
                          <w:p w:rsidR="001359FE" w:rsidRPr="009D2ECC" w:rsidRDefault="001359FE" w:rsidP="000A6728">
                            <w:pPr>
                              <w:numPr>
                                <w:ilvl w:val="0"/>
                                <w:numId w:val="1"/>
                              </w:numPr>
                              <w:spacing w:after="0" w:line="240" w:lineRule="auto"/>
                              <w:rPr>
                                <w:sz w:val="16"/>
                                <w:szCs w:val="16"/>
                              </w:rPr>
                            </w:pPr>
                            <w:r w:rsidRPr="009D2ECC">
                              <w:rPr>
                                <w:sz w:val="16"/>
                                <w:szCs w:val="16"/>
                              </w:rPr>
                              <w:t>Members must declare any relevant commercial interests and any individual sponsorship provided by any of the companies who are involved in tendering adjudication.  This must be declared on the Department of Health Declaration of Interests website (</w:t>
                            </w:r>
                            <w:hyperlink r:id="rId6" w:history="1">
                              <w:r w:rsidRPr="009D2ECC">
                                <w:rPr>
                                  <w:rFonts w:cs="Calibri"/>
                                  <w:color w:val="0000FF"/>
                                  <w:sz w:val="16"/>
                                  <w:szCs w:val="16"/>
                                  <w:u w:val="single"/>
                                </w:rPr>
                                <w:t>https://www.cmu.nhs.uk/secure/EDIS/Login.aspx</w:t>
                              </w:r>
                            </w:hyperlink>
                            <w:r w:rsidRPr="009D2ECC">
                              <w:rPr>
                                <w:sz w:val="16"/>
                                <w:szCs w:val="16"/>
                              </w:rPr>
                              <w:t xml:space="preserve">  ).</w:t>
                            </w:r>
                          </w:p>
                          <w:p w:rsidR="001359FE" w:rsidRPr="009D2ECC" w:rsidRDefault="001359FE" w:rsidP="000A6728">
                            <w:pPr>
                              <w:numPr>
                                <w:ilvl w:val="0"/>
                                <w:numId w:val="1"/>
                              </w:numPr>
                              <w:spacing w:after="0" w:line="240" w:lineRule="auto"/>
                              <w:rPr>
                                <w:sz w:val="16"/>
                                <w:szCs w:val="16"/>
                              </w:rPr>
                            </w:pPr>
                            <w:r w:rsidRPr="009D2ECC">
                              <w:rPr>
                                <w:sz w:val="16"/>
                                <w:szCs w:val="16"/>
                              </w:rPr>
                              <w:t>Purpose of the OOCMG</w:t>
                            </w:r>
                            <w:r w:rsidRPr="009D2ECC">
                              <w:rPr>
                                <w:sz w:val="16"/>
                                <w:szCs w:val="16"/>
                              </w:rPr>
                              <w:br/>
                              <w:t>The broad purpose of the OOCMG will be to assist trust members in delivering a comprehensive governance of their outsourced service partner.  The group will</w:t>
                            </w:r>
                          </w:p>
                          <w:p w:rsidR="001359FE" w:rsidRPr="009D2ECC" w:rsidRDefault="001359FE" w:rsidP="000A6728">
                            <w:pPr>
                              <w:numPr>
                                <w:ilvl w:val="2"/>
                                <w:numId w:val="2"/>
                              </w:numPr>
                              <w:spacing w:after="0" w:line="240" w:lineRule="auto"/>
                              <w:rPr>
                                <w:sz w:val="16"/>
                                <w:szCs w:val="16"/>
                              </w:rPr>
                            </w:pPr>
                            <w:r w:rsidRPr="009D2ECC">
                              <w:rPr>
                                <w:sz w:val="16"/>
                                <w:szCs w:val="16"/>
                              </w:rPr>
                              <w:t>Share best practice</w:t>
                            </w:r>
                          </w:p>
                          <w:p w:rsidR="001359FE" w:rsidRPr="009D2ECC" w:rsidRDefault="001359FE" w:rsidP="000A6728">
                            <w:pPr>
                              <w:numPr>
                                <w:ilvl w:val="2"/>
                                <w:numId w:val="2"/>
                              </w:numPr>
                              <w:spacing w:after="0" w:line="240" w:lineRule="auto"/>
                              <w:rPr>
                                <w:sz w:val="16"/>
                                <w:szCs w:val="16"/>
                              </w:rPr>
                            </w:pPr>
                            <w:r w:rsidRPr="009D2ECC">
                              <w:rPr>
                                <w:sz w:val="16"/>
                                <w:szCs w:val="16"/>
                              </w:rPr>
                              <w:t>Work towards a standardised and consistent governance processes.</w:t>
                            </w:r>
                          </w:p>
                          <w:p w:rsidR="001359FE" w:rsidRPr="009D2ECC" w:rsidRDefault="001359FE" w:rsidP="000A6728">
                            <w:pPr>
                              <w:numPr>
                                <w:ilvl w:val="2"/>
                                <w:numId w:val="2"/>
                              </w:numPr>
                              <w:spacing w:after="0" w:line="240" w:lineRule="auto"/>
                              <w:rPr>
                                <w:sz w:val="16"/>
                                <w:szCs w:val="16"/>
                              </w:rPr>
                            </w:pPr>
                            <w:r w:rsidRPr="009D2ECC">
                              <w:rPr>
                                <w:sz w:val="16"/>
                                <w:szCs w:val="16"/>
                              </w:rPr>
                              <w:t>Share documentation (e.g. business cases specifications and contracts) and work towards standardising a document set.</w:t>
                            </w:r>
                          </w:p>
                          <w:p w:rsidR="001359FE" w:rsidRPr="009D2ECC" w:rsidRDefault="001359FE" w:rsidP="000A6728">
                            <w:pPr>
                              <w:numPr>
                                <w:ilvl w:val="2"/>
                                <w:numId w:val="2"/>
                              </w:numPr>
                              <w:spacing w:after="0" w:line="240" w:lineRule="auto"/>
                              <w:rPr>
                                <w:sz w:val="16"/>
                                <w:szCs w:val="16"/>
                              </w:rPr>
                            </w:pPr>
                            <w:r w:rsidRPr="009D2ECC">
                              <w:rPr>
                                <w:sz w:val="16"/>
                                <w:szCs w:val="16"/>
                              </w:rPr>
                              <w:t>Benchmark performance and costs.</w:t>
                            </w:r>
                          </w:p>
                          <w:p w:rsidR="001359FE" w:rsidRPr="009D2ECC" w:rsidRDefault="001359FE" w:rsidP="00D25127">
                            <w:pPr>
                              <w:spacing w:after="0" w:line="240" w:lineRule="auto"/>
                              <w:ind w:left="1224"/>
                              <w:rPr>
                                <w:sz w:val="16"/>
                                <w:szCs w:val="16"/>
                              </w:rPr>
                            </w:pPr>
                          </w:p>
                          <w:p w:rsidR="001359FE" w:rsidRPr="009D2ECC" w:rsidRDefault="001359FE" w:rsidP="000A6728">
                            <w:pPr>
                              <w:numPr>
                                <w:ilvl w:val="0"/>
                                <w:numId w:val="1"/>
                              </w:numPr>
                              <w:spacing w:after="0" w:line="240" w:lineRule="auto"/>
                              <w:rPr>
                                <w:sz w:val="16"/>
                                <w:szCs w:val="16"/>
                              </w:rPr>
                            </w:pPr>
                            <w:r w:rsidRPr="009D2ECC">
                              <w:rPr>
                                <w:sz w:val="16"/>
                                <w:szCs w:val="16"/>
                              </w:rPr>
                              <w:t>Chair</w:t>
                            </w:r>
                            <w:r w:rsidRPr="009D2ECC">
                              <w:rPr>
                                <w:sz w:val="16"/>
                                <w:szCs w:val="16"/>
                              </w:rPr>
                              <w:br/>
                              <w:t xml:space="preserve">The position of </w:t>
                            </w:r>
                            <w:r>
                              <w:rPr>
                                <w:sz w:val="16"/>
                                <w:szCs w:val="16"/>
                              </w:rPr>
                              <w:t>chair</w:t>
                            </w:r>
                            <w:r w:rsidRPr="009D2ECC">
                              <w:rPr>
                                <w:sz w:val="16"/>
                                <w:szCs w:val="16"/>
                              </w:rPr>
                              <w:t>person will be appointed by the members.  The chair position will be reviewed on a two yearly basis.</w:t>
                            </w:r>
                          </w:p>
                          <w:p w:rsidR="001359FE" w:rsidRPr="009D2ECC" w:rsidRDefault="001359FE" w:rsidP="000A6728">
                            <w:pPr>
                              <w:numPr>
                                <w:ilvl w:val="0"/>
                                <w:numId w:val="1"/>
                              </w:numPr>
                              <w:spacing w:after="0" w:line="240" w:lineRule="auto"/>
                              <w:rPr>
                                <w:sz w:val="16"/>
                                <w:szCs w:val="16"/>
                              </w:rPr>
                            </w:pPr>
                            <w:r w:rsidRPr="009D2ECC">
                              <w:rPr>
                                <w:sz w:val="16"/>
                                <w:szCs w:val="16"/>
                              </w:rPr>
                              <w:t>Appointment of New Members</w:t>
                            </w:r>
                            <w:r w:rsidRPr="009D2ECC">
                              <w:rPr>
                                <w:sz w:val="16"/>
                                <w:szCs w:val="16"/>
                              </w:rPr>
                              <w:br/>
                              <w:t>The OOCMG may invite or consider applications from other regions to join the group.</w:t>
                            </w:r>
                          </w:p>
                          <w:p w:rsidR="001359FE" w:rsidRPr="009D2ECC" w:rsidRDefault="001359FE" w:rsidP="000A6728">
                            <w:pPr>
                              <w:numPr>
                                <w:ilvl w:val="0"/>
                                <w:numId w:val="1"/>
                              </w:numPr>
                              <w:spacing w:after="0" w:line="240" w:lineRule="auto"/>
                              <w:rPr>
                                <w:sz w:val="16"/>
                                <w:szCs w:val="16"/>
                              </w:rPr>
                            </w:pPr>
                            <w:r w:rsidRPr="009D2ECC">
                              <w:rPr>
                                <w:sz w:val="16"/>
                                <w:szCs w:val="16"/>
                              </w:rPr>
                              <w:t>Frequency of Meetings</w:t>
                            </w:r>
                            <w:r w:rsidRPr="009D2ECC">
                              <w:rPr>
                                <w:sz w:val="16"/>
                                <w:szCs w:val="16"/>
                              </w:rPr>
                              <w:br/>
                              <w:t>The OOCMG will meet every three months initially.  If a meeting has less than 5 members attending it should be rescheduled.</w:t>
                            </w:r>
                          </w:p>
                          <w:p w:rsidR="001359FE" w:rsidRPr="009D2ECC" w:rsidRDefault="001359FE" w:rsidP="000A6728">
                            <w:pPr>
                              <w:numPr>
                                <w:ilvl w:val="0"/>
                                <w:numId w:val="1"/>
                              </w:numPr>
                              <w:spacing w:after="0" w:line="240" w:lineRule="auto"/>
                              <w:rPr>
                                <w:sz w:val="16"/>
                                <w:szCs w:val="16"/>
                              </w:rPr>
                            </w:pPr>
                            <w:r w:rsidRPr="009D2ECC">
                              <w:rPr>
                                <w:sz w:val="16"/>
                                <w:szCs w:val="16"/>
                              </w:rPr>
                              <w:t>Reporting Arrangements</w:t>
                            </w:r>
                            <w:r w:rsidRPr="009D2ECC">
                              <w:rPr>
                                <w:sz w:val="16"/>
                                <w:szCs w:val="16"/>
                              </w:rPr>
                              <w:br/>
                              <w:t>The OOCMG will report any findings and recommendations to the Chief Pharmacists in London and East of England for ratification before they can be adopted.</w:t>
                            </w:r>
                          </w:p>
                          <w:p w:rsidR="001359FE" w:rsidRPr="009D2ECC" w:rsidRDefault="001359FE" w:rsidP="000A6728">
                            <w:pPr>
                              <w:numPr>
                                <w:ilvl w:val="0"/>
                                <w:numId w:val="1"/>
                              </w:numPr>
                              <w:spacing w:after="0" w:line="240" w:lineRule="auto"/>
                              <w:rPr>
                                <w:sz w:val="16"/>
                                <w:szCs w:val="16"/>
                              </w:rPr>
                            </w:pPr>
                            <w:r w:rsidRPr="009D2ECC">
                              <w:rPr>
                                <w:sz w:val="16"/>
                                <w:szCs w:val="16"/>
                              </w:rPr>
                              <w:t>Commitment of OOCMG Members</w:t>
                            </w:r>
                            <w:r w:rsidRPr="009D2ECC">
                              <w:rPr>
                                <w:sz w:val="16"/>
                                <w:szCs w:val="16"/>
                              </w:rPr>
                              <w:br/>
                              <w:t>The work programme will be broken down into a list of initiatives.  Each of these will be lead as a project by an OOCMG member on behalf of the group.</w:t>
                            </w:r>
                          </w:p>
                          <w:p w:rsidR="001359FE" w:rsidRPr="009D2ECC" w:rsidRDefault="001359FE" w:rsidP="000A6728">
                            <w:pPr>
                              <w:numPr>
                                <w:ilvl w:val="0"/>
                                <w:numId w:val="1"/>
                              </w:numPr>
                              <w:spacing w:after="0" w:line="240" w:lineRule="auto"/>
                              <w:rPr>
                                <w:sz w:val="16"/>
                                <w:szCs w:val="16"/>
                              </w:rPr>
                            </w:pPr>
                            <w:r w:rsidRPr="009D2ECC">
                              <w:rPr>
                                <w:sz w:val="16"/>
                                <w:szCs w:val="16"/>
                              </w:rPr>
                              <w:t>Accountability</w:t>
                            </w:r>
                          </w:p>
                          <w:p w:rsidR="001359FE" w:rsidRPr="00C66CD9" w:rsidRDefault="001359FE" w:rsidP="00C66CD9">
                            <w:pPr>
                              <w:spacing w:after="0" w:line="240" w:lineRule="auto"/>
                              <w:ind w:left="360"/>
                              <w:rPr>
                                <w:sz w:val="16"/>
                                <w:szCs w:val="16"/>
                              </w:rPr>
                            </w:pPr>
                            <w:r w:rsidRPr="009D2ECC">
                              <w:rPr>
                                <w:sz w:val="16"/>
                                <w:szCs w:val="16"/>
                              </w:rPr>
                              <w:t>The OOCMG will be accountable to the Chief Pharmacists</w:t>
                            </w:r>
                            <w:r>
                              <w:rPr>
                                <w:sz w:val="16"/>
                                <w:szCs w:val="16"/>
                              </w:rPr>
                              <w:t xml:space="preserve"> in London and East of England.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3pt;margin-top:7.75pt;width:504.85pt;height:322.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">
                <v:textbox style="mso-fit-shape-to-text:t">
                  <w:txbxContent>
                    <w:p w:rsidR="001359FE" w:rsidRPr="009D2ECC" w:rsidRDefault="001359FE" w:rsidP="00D25127">
                      <w:pPr>
                        <w:pStyle w:val="NoSpacing"/>
                        <w:rPr>
                          <w:b/>
                          <w:sz w:val="16"/>
                          <w:szCs w:val="16"/>
                        </w:rPr>
                      </w:pPr>
                      <w:r w:rsidRPr="009D2ECC">
                        <w:rPr>
                          <w:b/>
                          <w:sz w:val="16"/>
                          <w:szCs w:val="16"/>
                        </w:rPr>
                        <w:t>OOCMG Terms of Reference</w:t>
                      </w:r>
                    </w:p>
                    <w:p w:rsidR="001359FE" w:rsidRPr="009D2ECC" w:rsidRDefault="001359FE" w:rsidP="000A6728">
                      <w:pPr>
                        <w:numPr>
                          <w:ilvl w:val="0"/>
                          <w:numId w:val="1"/>
                        </w:numPr>
                        <w:spacing w:after="0" w:line="240" w:lineRule="auto"/>
                        <w:rPr>
                          <w:sz w:val="16"/>
                          <w:szCs w:val="16"/>
                        </w:rPr>
                      </w:pPr>
                      <w:r>
                        <w:rPr>
                          <w:sz w:val="16"/>
                          <w:szCs w:val="16"/>
                        </w:rPr>
                        <w:t>Membership</w:t>
                      </w:r>
                      <w:r w:rsidRPr="009D2ECC">
                        <w:rPr>
                          <w:sz w:val="16"/>
                          <w:szCs w:val="16"/>
                        </w:rPr>
                        <w:br/>
                        <w:t xml:space="preserve">The membership of the OOCMG will include all acute and mental health Trusts in the London and East of England regions who are interested in contributing to the group.  </w:t>
                      </w:r>
                      <w:r>
                        <w:rPr>
                          <w:sz w:val="16"/>
                          <w:szCs w:val="16"/>
                        </w:rPr>
                        <w:br/>
                      </w:r>
                      <w:r w:rsidRPr="009D2ECC">
                        <w:rPr>
                          <w:sz w:val="16"/>
                          <w:szCs w:val="16"/>
                        </w:rPr>
                        <w:t>The procurement specialist from London and East of England will provide support to the group.  Any other procurement specialists are welcome as advisors or in a substantive role.</w:t>
                      </w:r>
                    </w:p>
                    <w:p w:rsidR="001359FE" w:rsidRPr="009D2ECC" w:rsidRDefault="001359FE" w:rsidP="000A6728">
                      <w:pPr>
                        <w:numPr>
                          <w:ilvl w:val="0"/>
                          <w:numId w:val="1"/>
                        </w:numPr>
                        <w:spacing w:after="0" w:line="240" w:lineRule="auto"/>
                        <w:rPr>
                          <w:sz w:val="16"/>
                          <w:szCs w:val="16"/>
                        </w:rPr>
                      </w:pPr>
                      <w:r w:rsidRPr="009D2ECC">
                        <w:rPr>
                          <w:sz w:val="16"/>
                          <w:szCs w:val="16"/>
                        </w:rPr>
                        <w:t>Members must declare any relevant commercial interests and any individual sponsorship provided by any of the companies who are involved in tendering adjudication.  This must be declared on the Department of Health Declaration of Interests website (</w:t>
                      </w:r>
                      <w:hyperlink r:id="rId7" w:history="1">
                        <w:r w:rsidRPr="009D2ECC">
                          <w:rPr>
                            <w:rFonts w:cs="Calibri"/>
                            <w:color w:val="0000FF"/>
                            <w:sz w:val="16"/>
                            <w:szCs w:val="16"/>
                            <w:u w:val="single"/>
                          </w:rPr>
                          <w:t>https://www.cmu.nhs.uk/secure/EDIS/Login.aspx</w:t>
                        </w:r>
                      </w:hyperlink>
                      <w:proofErr w:type="gramStart"/>
                      <w:r w:rsidRPr="009D2ECC">
                        <w:rPr>
                          <w:sz w:val="16"/>
                          <w:szCs w:val="16"/>
                        </w:rPr>
                        <w:t xml:space="preserve"> </w:t>
                      </w:r>
                      <w:proofErr w:type="gramEnd"/>
                      <w:r w:rsidRPr="009D2ECC">
                        <w:rPr>
                          <w:sz w:val="16"/>
                          <w:szCs w:val="16"/>
                        </w:rPr>
                        <w:t xml:space="preserve"> ).</w:t>
                      </w:r>
                    </w:p>
                    <w:p w:rsidR="001359FE" w:rsidRPr="009D2ECC" w:rsidRDefault="001359FE" w:rsidP="000A6728">
                      <w:pPr>
                        <w:numPr>
                          <w:ilvl w:val="0"/>
                          <w:numId w:val="1"/>
                        </w:numPr>
                        <w:spacing w:after="0" w:line="240" w:lineRule="auto"/>
                        <w:rPr>
                          <w:sz w:val="16"/>
                          <w:szCs w:val="16"/>
                        </w:rPr>
                      </w:pPr>
                      <w:r w:rsidRPr="009D2ECC">
                        <w:rPr>
                          <w:sz w:val="16"/>
                          <w:szCs w:val="16"/>
                        </w:rPr>
                        <w:t>Purpose of the OOCMG</w:t>
                      </w:r>
                      <w:r w:rsidRPr="009D2ECC">
                        <w:rPr>
                          <w:sz w:val="16"/>
                          <w:szCs w:val="16"/>
                        </w:rPr>
                        <w:br/>
                        <w:t>The broad purpose of the OOCMG will be to assist trust members in delivering a comprehensive governance of their outsourced service partner.  The group will</w:t>
                      </w:r>
                    </w:p>
                    <w:p w:rsidR="001359FE" w:rsidRPr="009D2ECC" w:rsidRDefault="001359FE" w:rsidP="000A6728">
                      <w:pPr>
                        <w:numPr>
                          <w:ilvl w:val="2"/>
                          <w:numId w:val="2"/>
                        </w:numPr>
                        <w:spacing w:after="0" w:line="240" w:lineRule="auto"/>
                        <w:rPr>
                          <w:sz w:val="16"/>
                          <w:szCs w:val="16"/>
                        </w:rPr>
                      </w:pPr>
                      <w:r w:rsidRPr="009D2ECC">
                        <w:rPr>
                          <w:sz w:val="16"/>
                          <w:szCs w:val="16"/>
                        </w:rPr>
                        <w:t>Share best practice</w:t>
                      </w:r>
                    </w:p>
                    <w:p w:rsidR="001359FE" w:rsidRPr="009D2ECC" w:rsidRDefault="001359FE" w:rsidP="000A6728">
                      <w:pPr>
                        <w:numPr>
                          <w:ilvl w:val="2"/>
                          <w:numId w:val="2"/>
                        </w:numPr>
                        <w:spacing w:after="0" w:line="240" w:lineRule="auto"/>
                        <w:rPr>
                          <w:sz w:val="16"/>
                          <w:szCs w:val="16"/>
                        </w:rPr>
                      </w:pPr>
                      <w:r w:rsidRPr="009D2ECC">
                        <w:rPr>
                          <w:sz w:val="16"/>
                          <w:szCs w:val="16"/>
                        </w:rPr>
                        <w:t>Work towards a standardised and consistent governance processes.</w:t>
                      </w:r>
                    </w:p>
                    <w:p w:rsidR="001359FE" w:rsidRPr="009D2ECC" w:rsidRDefault="001359FE" w:rsidP="000A6728">
                      <w:pPr>
                        <w:numPr>
                          <w:ilvl w:val="2"/>
                          <w:numId w:val="2"/>
                        </w:numPr>
                        <w:spacing w:after="0" w:line="240" w:lineRule="auto"/>
                        <w:rPr>
                          <w:sz w:val="16"/>
                          <w:szCs w:val="16"/>
                        </w:rPr>
                      </w:pPr>
                      <w:r w:rsidRPr="009D2ECC">
                        <w:rPr>
                          <w:sz w:val="16"/>
                          <w:szCs w:val="16"/>
                        </w:rPr>
                        <w:t>Share documentation (e.g. business cases specifications and contracts) and work towards standardising a document set.</w:t>
                      </w:r>
                    </w:p>
                    <w:p w:rsidR="001359FE" w:rsidRPr="009D2ECC" w:rsidRDefault="001359FE" w:rsidP="000A6728">
                      <w:pPr>
                        <w:numPr>
                          <w:ilvl w:val="2"/>
                          <w:numId w:val="2"/>
                        </w:numPr>
                        <w:spacing w:after="0" w:line="240" w:lineRule="auto"/>
                        <w:rPr>
                          <w:sz w:val="16"/>
                          <w:szCs w:val="16"/>
                        </w:rPr>
                      </w:pPr>
                      <w:r w:rsidRPr="009D2ECC">
                        <w:rPr>
                          <w:sz w:val="16"/>
                          <w:szCs w:val="16"/>
                        </w:rPr>
                        <w:t>Benchmark performance and costs.</w:t>
                      </w:r>
                    </w:p>
                    <w:p w:rsidR="001359FE" w:rsidRPr="009D2ECC" w:rsidRDefault="001359FE" w:rsidP="00D25127">
                      <w:pPr>
                        <w:spacing w:after="0" w:line="240" w:lineRule="auto"/>
                        <w:ind w:left="1224"/>
                        <w:rPr>
                          <w:sz w:val="16"/>
                          <w:szCs w:val="16"/>
                        </w:rPr>
                      </w:pPr>
                    </w:p>
                    <w:p w:rsidR="001359FE" w:rsidRPr="009D2ECC" w:rsidRDefault="001359FE" w:rsidP="000A6728">
                      <w:pPr>
                        <w:numPr>
                          <w:ilvl w:val="0"/>
                          <w:numId w:val="1"/>
                        </w:numPr>
                        <w:spacing w:after="0" w:line="240" w:lineRule="auto"/>
                        <w:rPr>
                          <w:sz w:val="16"/>
                          <w:szCs w:val="16"/>
                        </w:rPr>
                      </w:pPr>
                      <w:r w:rsidRPr="009D2ECC">
                        <w:rPr>
                          <w:sz w:val="16"/>
                          <w:szCs w:val="16"/>
                        </w:rPr>
                        <w:t>Chair</w:t>
                      </w:r>
                      <w:r w:rsidRPr="009D2ECC">
                        <w:rPr>
                          <w:sz w:val="16"/>
                          <w:szCs w:val="16"/>
                        </w:rPr>
                        <w:br/>
                        <w:t xml:space="preserve">The position of </w:t>
                      </w:r>
                      <w:r>
                        <w:rPr>
                          <w:sz w:val="16"/>
                          <w:szCs w:val="16"/>
                        </w:rPr>
                        <w:t>chair</w:t>
                      </w:r>
                      <w:r w:rsidRPr="009D2ECC">
                        <w:rPr>
                          <w:sz w:val="16"/>
                          <w:szCs w:val="16"/>
                        </w:rPr>
                        <w:t>person will be appointed by the members.  The chair position will be reviewed on a two yearly basis.</w:t>
                      </w:r>
                    </w:p>
                    <w:p w:rsidR="001359FE" w:rsidRPr="009D2ECC" w:rsidRDefault="001359FE" w:rsidP="000A6728">
                      <w:pPr>
                        <w:numPr>
                          <w:ilvl w:val="0"/>
                          <w:numId w:val="1"/>
                        </w:numPr>
                        <w:spacing w:after="0" w:line="240" w:lineRule="auto"/>
                        <w:rPr>
                          <w:sz w:val="16"/>
                          <w:szCs w:val="16"/>
                        </w:rPr>
                      </w:pPr>
                      <w:r w:rsidRPr="009D2ECC">
                        <w:rPr>
                          <w:sz w:val="16"/>
                          <w:szCs w:val="16"/>
                        </w:rPr>
                        <w:t>Appointment of New Members</w:t>
                      </w:r>
                      <w:r w:rsidRPr="009D2ECC">
                        <w:rPr>
                          <w:sz w:val="16"/>
                          <w:szCs w:val="16"/>
                        </w:rPr>
                        <w:br/>
                        <w:t>The OOCMG may invite or consider applications from other regions to join the group.</w:t>
                      </w:r>
                    </w:p>
                    <w:p w:rsidR="001359FE" w:rsidRPr="009D2ECC" w:rsidRDefault="001359FE" w:rsidP="000A6728">
                      <w:pPr>
                        <w:numPr>
                          <w:ilvl w:val="0"/>
                          <w:numId w:val="1"/>
                        </w:numPr>
                        <w:spacing w:after="0" w:line="240" w:lineRule="auto"/>
                        <w:rPr>
                          <w:sz w:val="16"/>
                          <w:szCs w:val="16"/>
                        </w:rPr>
                      </w:pPr>
                      <w:r w:rsidRPr="009D2ECC">
                        <w:rPr>
                          <w:sz w:val="16"/>
                          <w:szCs w:val="16"/>
                        </w:rPr>
                        <w:t>Frequency of Meetings</w:t>
                      </w:r>
                      <w:r w:rsidRPr="009D2ECC">
                        <w:rPr>
                          <w:sz w:val="16"/>
                          <w:szCs w:val="16"/>
                        </w:rPr>
                        <w:br/>
                        <w:t>The OOCMG will meet every three months initially.  If a meeting has less than 5 members attending it should be rescheduled.</w:t>
                      </w:r>
                    </w:p>
                    <w:p w:rsidR="001359FE" w:rsidRPr="009D2ECC" w:rsidRDefault="001359FE" w:rsidP="000A6728">
                      <w:pPr>
                        <w:numPr>
                          <w:ilvl w:val="0"/>
                          <w:numId w:val="1"/>
                        </w:numPr>
                        <w:spacing w:after="0" w:line="240" w:lineRule="auto"/>
                        <w:rPr>
                          <w:sz w:val="16"/>
                          <w:szCs w:val="16"/>
                        </w:rPr>
                      </w:pPr>
                      <w:r w:rsidRPr="009D2ECC">
                        <w:rPr>
                          <w:sz w:val="16"/>
                          <w:szCs w:val="16"/>
                        </w:rPr>
                        <w:t>Reporting Arrangements</w:t>
                      </w:r>
                      <w:r w:rsidRPr="009D2ECC">
                        <w:rPr>
                          <w:sz w:val="16"/>
                          <w:szCs w:val="16"/>
                        </w:rPr>
                        <w:br/>
                        <w:t>The OOCMG will report any findings and recommendations to the Chief Pharmacists in London and East of England for ratification before they can be adopted.</w:t>
                      </w:r>
                    </w:p>
                    <w:p w:rsidR="001359FE" w:rsidRPr="009D2ECC" w:rsidRDefault="001359FE" w:rsidP="000A6728">
                      <w:pPr>
                        <w:numPr>
                          <w:ilvl w:val="0"/>
                          <w:numId w:val="1"/>
                        </w:numPr>
                        <w:spacing w:after="0" w:line="240" w:lineRule="auto"/>
                        <w:rPr>
                          <w:sz w:val="16"/>
                          <w:szCs w:val="16"/>
                        </w:rPr>
                      </w:pPr>
                      <w:r w:rsidRPr="009D2ECC">
                        <w:rPr>
                          <w:sz w:val="16"/>
                          <w:szCs w:val="16"/>
                        </w:rPr>
                        <w:t>Commitment of OOCMG Members</w:t>
                      </w:r>
                      <w:r w:rsidRPr="009D2ECC">
                        <w:rPr>
                          <w:sz w:val="16"/>
                          <w:szCs w:val="16"/>
                        </w:rPr>
                        <w:br/>
                      </w:r>
                      <w:proofErr w:type="gramStart"/>
                      <w:r w:rsidRPr="009D2ECC">
                        <w:rPr>
                          <w:sz w:val="16"/>
                          <w:szCs w:val="16"/>
                        </w:rPr>
                        <w:t>The</w:t>
                      </w:r>
                      <w:proofErr w:type="gramEnd"/>
                      <w:r w:rsidRPr="009D2ECC">
                        <w:rPr>
                          <w:sz w:val="16"/>
                          <w:szCs w:val="16"/>
                        </w:rPr>
                        <w:t xml:space="preserve"> work programme will be broken down into a list of initiatives.  Each of these will be lead as a project by an OOCMG member on behalf of the group.</w:t>
                      </w:r>
                    </w:p>
                    <w:p w:rsidR="001359FE" w:rsidRPr="009D2ECC" w:rsidRDefault="001359FE" w:rsidP="000A6728">
                      <w:pPr>
                        <w:numPr>
                          <w:ilvl w:val="0"/>
                          <w:numId w:val="1"/>
                        </w:numPr>
                        <w:spacing w:after="0" w:line="240" w:lineRule="auto"/>
                        <w:rPr>
                          <w:sz w:val="16"/>
                          <w:szCs w:val="16"/>
                        </w:rPr>
                      </w:pPr>
                      <w:r w:rsidRPr="009D2ECC">
                        <w:rPr>
                          <w:sz w:val="16"/>
                          <w:szCs w:val="16"/>
                        </w:rPr>
                        <w:t>Accountability</w:t>
                      </w:r>
                    </w:p>
                    <w:p w:rsidR="001359FE" w:rsidRPr="00C66CD9" w:rsidRDefault="001359FE" w:rsidP="00C66CD9">
                      <w:pPr>
                        <w:spacing w:after="0" w:line="240" w:lineRule="auto"/>
                        <w:ind w:left="360"/>
                        <w:rPr>
                          <w:sz w:val="16"/>
                          <w:szCs w:val="16"/>
                        </w:rPr>
                      </w:pPr>
                      <w:r w:rsidRPr="009D2ECC">
                        <w:rPr>
                          <w:sz w:val="16"/>
                          <w:szCs w:val="16"/>
                        </w:rPr>
                        <w:t>The OOCMG will be accountable to the Chief Pharmacists</w:t>
                      </w:r>
                      <w:r>
                        <w:rPr>
                          <w:sz w:val="16"/>
                          <w:szCs w:val="16"/>
                        </w:rPr>
                        <w:t xml:space="preserve"> in London and East of England.</w:t>
                      </w:r>
                    </w:p>
                  </w:txbxContent>
                </v:textbox>
              </v:shape>
            </w:pict>
          </mc:Fallback>
        </mc:AlternateContent>
      </w: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1359FE" w:rsidRDefault="001359FE" w:rsidP="0096418D">
      <w:pPr>
        <w:pStyle w:val="NoSpacing"/>
        <w:rPr>
          <w:b/>
          <w:u w:val="single"/>
        </w:rPr>
      </w:pPr>
    </w:p>
    <w:p w:rsidR="00843559" w:rsidRDefault="00843559" w:rsidP="00843559">
      <w:pPr>
        <w:pStyle w:val="NoSpacing"/>
        <w:rPr>
          <w:b/>
          <w:u w:val="single"/>
        </w:rPr>
      </w:pPr>
      <w:r>
        <w:rPr>
          <w:b/>
          <w:u w:val="single"/>
        </w:rPr>
        <w:t>Appendix 2 Type and Nature of Services</w:t>
      </w:r>
    </w:p>
    <w:p w:rsidR="00843559" w:rsidRDefault="00843559" w:rsidP="00843559">
      <w:pPr>
        <w:pStyle w:val="NoSpacing"/>
      </w:pPr>
    </w:p>
    <w:tbl>
      <w:tblPr>
        <w:tblW w:w="11199" w:type="dxa"/>
        <w:tblInd w:w="-1071" w:type="dxa"/>
        <w:tblBorders>
          <w:top w:val="single" w:sz="18" w:space="0" w:color="auto"/>
          <w:bottom w:val="single" w:sz="18" w:space="0" w:color="auto"/>
        </w:tblBorders>
        <w:tblLayout w:type="fixed"/>
        <w:tblLook w:val="04A0" w:firstRow="1" w:lastRow="0" w:firstColumn="1" w:lastColumn="0" w:noHBand="0" w:noVBand="1"/>
      </w:tblPr>
      <w:tblGrid>
        <w:gridCol w:w="708"/>
        <w:gridCol w:w="1114"/>
        <w:gridCol w:w="872"/>
        <w:gridCol w:w="1058"/>
        <w:gridCol w:w="590"/>
        <w:gridCol w:w="1470"/>
        <w:gridCol w:w="1276"/>
        <w:gridCol w:w="1276"/>
        <w:gridCol w:w="708"/>
        <w:gridCol w:w="1134"/>
        <w:gridCol w:w="993"/>
      </w:tblGrid>
      <w:tr w:rsidR="00843559" w:rsidRPr="00D341AB" w:rsidTr="00662E65">
        <w:tc>
          <w:tcPr>
            <w:tcW w:w="708" w:type="dxa"/>
            <w:tcBorders>
              <w:top w:val="single" w:sz="18" w:space="0" w:color="auto"/>
              <w:bottom w:val="single" w:sz="18" w:space="0" w:color="auto"/>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Trust</w:t>
            </w:r>
          </w:p>
        </w:tc>
        <w:tc>
          <w:tcPr>
            <w:tcW w:w="1114" w:type="dxa"/>
            <w:tcBorders>
              <w:top w:val="single" w:sz="18" w:space="0" w:color="auto"/>
              <w:left w:val="nil"/>
              <w:bottom w:val="single" w:sz="18" w:space="0" w:color="auto"/>
              <w:right w:val="nil"/>
            </w:tcBorders>
            <w:shd w:val="clear" w:color="auto" w:fill="4F81BD"/>
          </w:tcPr>
          <w:p w:rsidR="00843559" w:rsidRPr="00D341AB" w:rsidRDefault="00843559" w:rsidP="00662E65">
            <w:pPr>
              <w:pStyle w:val="NoSpacing"/>
              <w:rPr>
                <w:rFonts w:cs="Calibri"/>
                <w:b/>
                <w:bCs/>
                <w:color w:val="FFFFFF"/>
                <w:sz w:val="20"/>
                <w:szCs w:val="20"/>
                <w:vertAlign w:val="superscript"/>
              </w:rPr>
            </w:pPr>
            <w:r w:rsidRPr="00D341AB">
              <w:rPr>
                <w:rFonts w:cs="Calibri"/>
                <w:b/>
                <w:bCs/>
                <w:color w:val="FFFFFF"/>
                <w:sz w:val="20"/>
                <w:szCs w:val="20"/>
              </w:rPr>
              <w:t>Space in m</w:t>
            </w:r>
            <w:r w:rsidRPr="00D341AB">
              <w:rPr>
                <w:rFonts w:cs="Calibri"/>
                <w:b/>
                <w:bCs/>
                <w:color w:val="FFFFFF"/>
                <w:sz w:val="20"/>
                <w:szCs w:val="20"/>
                <w:vertAlign w:val="superscript"/>
              </w:rPr>
              <w:t>2</w:t>
            </w:r>
          </w:p>
        </w:tc>
        <w:tc>
          <w:tcPr>
            <w:tcW w:w="872" w:type="dxa"/>
            <w:tcBorders>
              <w:top w:val="single" w:sz="18" w:space="0" w:color="auto"/>
              <w:bottom w:val="single" w:sz="18" w:space="0" w:color="auto"/>
            </w:tcBorders>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Is this sufficient</w:t>
            </w:r>
          </w:p>
        </w:tc>
        <w:tc>
          <w:tcPr>
            <w:tcW w:w="1058" w:type="dxa"/>
            <w:tcBorders>
              <w:top w:val="single" w:sz="18" w:space="0" w:color="auto"/>
              <w:left w:val="nil"/>
              <w:bottom w:val="single" w:sz="18" w:space="0" w:color="auto"/>
              <w:right w:val="nil"/>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Monthly no of items</w:t>
            </w:r>
          </w:p>
        </w:tc>
        <w:tc>
          <w:tcPr>
            <w:tcW w:w="590" w:type="dxa"/>
            <w:tcBorders>
              <w:top w:val="single" w:sz="18" w:space="0" w:color="auto"/>
              <w:bottom w:val="single" w:sz="18" w:space="0" w:color="auto"/>
            </w:tcBorders>
            <w:shd w:val="clear" w:color="auto" w:fill="4F81BD"/>
          </w:tcPr>
          <w:p w:rsidR="00843559" w:rsidRPr="00D341AB" w:rsidRDefault="00843559" w:rsidP="00662E65">
            <w:pPr>
              <w:pStyle w:val="NoSpacing"/>
              <w:rPr>
                <w:rFonts w:cs="Calibri"/>
                <w:b/>
                <w:bCs/>
                <w:color w:val="FFFFFF"/>
                <w:sz w:val="18"/>
                <w:szCs w:val="18"/>
              </w:rPr>
            </w:pPr>
            <w:r w:rsidRPr="00D341AB">
              <w:rPr>
                <w:rFonts w:cs="Calibri"/>
                <w:b/>
                <w:bCs/>
                <w:color w:val="FFFFFF"/>
                <w:sz w:val="18"/>
                <w:szCs w:val="18"/>
              </w:rPr>
              <w:t>No of staff</w:t>
            </w:r>
          </w:p>
        </w:tc>
        <w:tc>
          <w:tcPr>
            <w:tcW w:w="1470" w:type="dxa"/>
            <w:tcBorders>
              <w:top w:val="single" w:sz="18" w:space="0" w:color="auto"/>
              <w:left w:val="nil"/>
              <w:bottom w:val="single" w:sz="18" w:space="0" w:color="auto"/>
              <w:right w:val="nil"/>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Opening times</w:t>
            </w:r>
          </w:p>
        </w:tc>
        <w:tc>
          <w:tcPr>
            <w:tcW w:w="1276" w:type="dxa"/>
            <w:tcBorders>
              <w:top w:val="single" w:sz="18" w:space="0" w:color="auto"/>
              <w:bottom w:val="single" w:sz="18" w:space="0" w:color="auto"/>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Services offered</w:t>
            </w:r>
          </w:p>
        </w:tc>
        <w:tc>
          <w:tcPr>
            <w:tcW w:w="1276" w:type="dxa"/>
            <w:tcBorders>
              <w:top w:val="single" w:sz="18" w:space="0" w:color="auto"/>
              <w:left w:val="nil"/>
              <w:bottom w:val="single" w:sz="18" w:space="0" w:color="auto"/>
              <w:right w:val="nil"/>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Rx screened by 3</w:t>
            </w:r>
            <w:r w:rsidRPr="00D341AB">
              <w:rPr>
                <w:rFonts w:cs="Calibri"/>
                <w:b/>
                <w:bCs/>
                <w:color w:val="FFFFFF"/>
                <w:sz w:val="20"/>
                <w:szCs w:val="20"/>
                <w:vertAlign w:val="superscript"/>
              </w:rPr>
              <w:t>rd</w:t>
            </w:r>
            <w:r w:rsidRPr="00D341AB">
              <w:rPr>
                <w:rFonts w:cs="Calibri"/>
                <w:b/>
                <w:bCs/>
                <w:color w:val="FFFFFF"/>
                <w:sz w:val="20"/>
                <w:szCs w:val="20"/>
              </w:rPr>
              <w:t xml:space="preserve"> party</w:t>
            </w:r>
          </w:p>
        </w:tc>
        <w:tc>
          <w:tcPr>
            <w:tcW w:w="708" w:type="dxa"/>
            <w:tcBorders>
              <w:top w:val="single" w:sz="18" w:space="0" w:color="auto"/>
              <w:bottom w:val="single" w:sz="18" w:space="0" w:color="auto"/>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IT</w:t>
            </w:r>
          </w:p>
          <w:p w:rsidR="00843559" w:rsidRPr="00D341AB" w:rsidRDefault="00843559" w:rsidP="00662E65">
            <w:pPr>
              <w:pStyle w:val="NoSpacing"/>
              <w:rPr>
                <w:rFonts w:cs="Calibri"/>
                <w:b/>
                <w:bCs/>
                <w:color w:val="FFFFFF"/>
                <w:sz w:val="20"/>
                <w:szCs w:val="20"/>
              </w:rPr>
            </w:pPr>
          </w:p>
        </w:tc>
        <w:tc>
          <w:tcPr>
            <w:tcW w:w="1134" w:type="dxa"/>
            <w:tcBorders>
              <w:top w:val="single" w:sz="18" w:space="0" w:color="auto"/>
              <w:left w:val="nil"/>
              <w:bottom w:val="single" w:sz="18" w:space="0" w:color="auto"/>
              <w:right w:val="nil"/>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 xml:space="preserve">Additional Logistics </w:t>
            </w:r>
          </w:p>
        </w:tc>
        <w:tc>
          <w:tcPr>
            <w:tcW w:w="993" w:type="dxa"/>
            <w:tcBorders>
              <w:top w:val="single" w:sz="18" w:space="0" w:color="auto"/>
              <w:bottom w:val="single" w:sz="18" w:space="0" w:color="auto"/>
            </w:tcBorders>
            <w:shd w:val="clear" w:color="auto" w:fill="4F81BD"/>
          </w:tcPr>
          <w:p w:rsidR="00843559" w:rsidRPr="00D341AB" w:rsidRDefault="00843559" w:rsidP="00662E65">
            <w:pPr>
              <w:pStyle w:val="NoSpacing"/>
              <w:rPr>
                <w:rFonts w:cs="Calibri"/>
                <w:b/>
                <w:bCs/>
                <w:color w:val="FFFFFF"/>
                <w:sz w:val="20"/>
                <w:szCs w:val="20"/>
              </w:rPr>
            </w:pPr>
            <w:r w:rsidRPr="00D341AB">
              <w:rPr>
                <w:rFonts w:cs="Calibri"/>
                <w:b/>
                <w:bCs/>
                <w:color w:val="FFFFFF"/>
                <w:sz w:val="20"/>
                <w:szCs w:val="20"/>
              </w:rPr>
              <w:t>No of  items per WTE</w:t>
            </w: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A</w:t>
            </w:r>
          </w:p>
        </w:tc>
        <w:tc>
          <w:tcPr>
            <w:tcW w:w="111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105.9</w:t>
            </w:r>
          </w:p>
        </w:tc>
        <w:tc>
          <w:tcPr>
            <w:tcW w:w="872"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No</w:t>
            </w:r>
          </w:p>
        </w:tc>
        <w:tc>
          <w:tcPr>
            <w:tcW w:w="105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6436</w:t>
            </w:r>
          </w:p>
        </w:tc>
        <w:tc>
          <w:tcPr>
            <w:tcW w:w="59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9.3</w:t>
            </w:r>
          </w:p>
        </w:tc>
        <w:tc>
          <w:tcPr>
            <w:tcW w:w="147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M-F 8.30-6pm</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 Day case</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 Day case</w:t>
            </w:r>
          </w:p>
        </w:tc>
        <w:tc>
          <w:tcPr>
            <w:tcW w:w="70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Own</w:t>
            </w:r>
          </w:p>
        </w:tc>
        <w:tc>
          <w:tcPr>
            <w:tcW w:w="113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No</w:t>
            </w:r>
          </w:p>
        </w:tc>
        <w:tc>
          <w:tcPr>
            <w:tcW w:w="993"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692</w:t>
            </w: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B</w:t>
            </w:r>
          </w:p>
        </w:tc>
        <w:tc>
          <w:tcPr>
            <w:tcW w:w="111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90</w:t>
            </w:r>
          </w:p>
        </w:tc>
        <w:tc>
          <w:tcPr>
            <w:tcW w:w="872"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No</w:t>
            </w:r>
          </w:p>
        </w:tc>
        <w:tc>
          <w:tcPr>
            <w:tcW w:w="105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9000</w:t>
            </w:r>
          </w:p>
        </w:tc>
        <w:tc>
          <w:tcPr>
            <w:tcW w:w="59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13</w:t>
            </w:r>
          </w:p>
        </w:tc>
        <w:tc>
          <w:tcPr>
            <w:tcW w:w="147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M-F 8am-9pm</w:t>
            </w:r>
          </w:p>
          <w:p w:rsidR="00843559" w:rsidRPr="00D341AB" w:rsidRDefault="00843559" w:rsidP="00662E65">
            <w:pPr>
              <w:pStyle w:val="NoSpacing"/>
              <w:rPr>
                <w:rFonts w:cs="Calibri"/>
                <w:sz w:val="20"/>
                <w:szCs w:val="20"/>
              </w:rPr>
            </w:pPr>
            <w:r w:rsidRPr="00D341AB">
              <w:rPr>
                <w:rFonts w:cs="Calibri"/>
                <w:sz w:val="20"/>
                <w:szCs w:val="20"/>
              </w:rPr>
              <w:t>Weekends and BH 9am-5pm</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OP,CD,</w:t>
            </w:r>
          </w:p>
          <w:p w:rsidR="00843559" w:rsidRPr="00D341AB" w:rsidRDefault="00843559" w:rsidP="00662E65">
            <w:pPr>
              <w:pStyle w:val="NoSpacing"/>
              <w:rPr>
                <w:rFonts w:cs="Calibri"/>
                <w:sz w:val="20"/>
                <w:szCs w:val="20"/>
              </w:rPr>
            </w:pPr>
            <w:r w:rsidRPr="00D341AB">
              <w:rPr>
                <w:rFonts w:cs="Calibri"/>
                <w:sz w:val="20"/>
                <w:szCs w:val="20"/>
              </w:rPr>
              <w:t>Day case, HIV,</w:t>
            </w:r>
          </w:p>
          <w:p w:rsidR="00843559" w:rsidRPr="00D341AB" w:rsidRDefault="00843559" w:rsidP="00662E65">
            <w:pPr>
              <w:pStyle w:val="NoSpacing"/>
              <w:rPr>
                <w:rFonts w:cs="Calibri"/>
                <w:sz w:val="20"/>
                <w:szCs w:val="20"/>
              </w:rPr>
            </w:pPr>
            <w:r w:rsidRPr="00D341AB">
              <w:rPr>
                <w:rFonts w:cs="Calibri"/>
                <w:sz w:val="20"/>
                <w:szCs w:val="20"/>
              </w:rPr>
              <w:t>Oral Chemo</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OP,CDs</w:t>
            </w:r>
          </w:p>
        </w:tc>
        <w:tc>
          <w:tcPr>
            <w:tcW w:w="70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Trust</w:t>
            </w:r>
          </w:p>
        </w:tc>
        <w:tc>
          <w:tcPr>
            <w:tcW w:w="113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No</w:t>
            </w:r>
          </w:p>
        </w:tc>
        <w:tc>
          <w:tcPr>
            <w:tcW w:w="993"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692</w:t>
            </w: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C</w:t>
            </w:r>
          </w:p>
        </w:tc>
        <w:tc>
          <w:tcPr>
            <w:tcW w:w="111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94</w:t>
            </w:r>
          </w:p>
        </w:tc>
        <w:tc>
          <w:tcPr>
            <w:tcW w:w="872"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No</w:t>
            </w:r>
          </w:p>
        </w:tc>
        <w:tc>
          <w:tcPr>
            <w:tcW w:w="105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9000</w:t>
            </w:r>
          </w:p>
        </w:tc>
        <w:tc>
          <w:tcPr>
            <w:tcW w:w="59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10.3</w:t>
            </w:r>
          </w:p>
        </w:tc>
        <w:tc>
          <w:tcPr>
            <w:tcW w:w="147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M-F 9am-6pm</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OP,CD,</w:t>
            </w:r>
          </w:p>
          <w:p w:rsidR="00843559" w:rsidRPr="00D341AB" w:rsidRDefault="00843559" w:rsidP="00662E65">
            <w:pPr>
              <w:pStyle w:val="NoSpacing"/>
              <w:rPr>
                <w:rFonts w:cs="Calibri"/>
                <w:sz w:val="20"/>
                <w:szCs w:val="20"/>
              </w:rPr>
            </w:pPr>
            <w:r w:rsidRPr="00D341AB">
              <w:rPr>
                <w:rFonts w:cs="Calibri"/>
                <w:sz w:val="20"/>
                <w:szCs w:val="20"/>
              </w:rPr>
              <w:t>Day case, HIV,</w:t>
            </w:r>
          </w:p>
          <w:p w:rsidR="00843559" w:rsidRPr="00D341AB" w:rsidRDefault="00843559" w:rsidP="00662E65">
            <w:pPr>
              <w:pStyle w:val="NoSpacing"/>
              <w:rPr>
                <w:rFonts w:cs="Calibri"/>
                <w:sz w:val="20"/>
                <w:szCs w:val="20"/>
              </w:rPr>
            </w:pPr>
            <w:r w:rsidRPr="00D341AB">
              <w:rPr>
                <w:rFonts w:cs="Calibri"/>
                <w:sz w:val="20"/>
                <w:szCs w:val="20"/>
              </w:rPr>
              <w:t>Oral Chemo,</w:t>
            </w:r>
          </w:p>
          <w:p w:rsidR="00843559" w:rsidRPr="00D341AB" w:rsidRDefault="00843559" w:rsidP="00662E65">
            <w:pPr>
              <w:pStyle w:val="NoSpacing"/>
              <w:rPr>
                <w:rFonts w:cs="Calibri"/>
                <w:sz w:val="20"/>
                <w:szCs w:val="20"/>
              </w:rPr>
            </w:pPr>
            <w:r w:rsidRPr="00D341AB">
              <w:rPr>
                <w:rFonts w:cs="Calibri"/>
                <w:sz w:val="20"/>
                <w:szCs w:val="20"/>
              </w:rPr>
              <w:t>Private patients</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w:t>
            </w:r>
          </w:p>
          <w:p w:rsidR="00843559" w:rsidRPr="00D341AB" w:rsidRDefault="00843559" w:rsidP="00662E65">
            <w:pPr>
              <w:pStyle w:val="NoSpacing"/>
              <w:rPr>
                <w:rFonts w:cs="Calibri"/>
                <w:sz w:val="20"/>
                <w:szCs w:val="20"/>
              </w:rPr>
            </w:pPr>
            <w:r w:rsidRPr="00D341AB">
              <w:rPr>
                <w:rFonts w:cs="Calibri"/>
                <w:sz w:val="20"/>
                <w:szCs w:val="20"/>
              </w:rPr>
              <w:t>Private and Day case</w:t>
            </w:r>
          </w:p>
        </w:tc>
        <w:tc>
          <w:tcPr>
            <w:tcW w:w="70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Trust</w:t>
            </w:r>
          </w:p>
        </w:tc>
        <w:tc>
          <w:tcPr>
            <w:tcW w:w="113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No – plans in place</w:t>
            </w:r>
          </w:p>
        </w:tc>
        <w:tc>
          <w:tcPr>
            <w:tcW w:w="993"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873</w:t>
            </w: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D (multi site)</w:t>
            </w:r>
          </w:p>
        </w:tc>
        <w:tc>
          <w:tcPr>
            <w:tcW w:w="1114" w:type="dxa"/>
            <w:shd w:val="clear" w:color="auto" w:fill="auto"/>
          </w:tcPr>
          <w:p w:rsidR="00843559" w:rsidRPr="00D341AB" w:rsidRDefault="00843559" w:rsidP="00662E65">
            <w:pPr>
              <w:pStyle w:val="NoSpacing"/>
              <w:rPr>
                <w:rFonts w:cs="Calibri"/>
                <w:sz w:val="20"/>
                <w:szCs w:val="20"/>
              </w:rPr>
            </w:pPr>
          </w:p>
        </w:tc>
        <w:tc>
          <w:tcPr>
            <w:tcW w:w="872" w:type="dxa"/>
            <w:shd w:val="clear" w:color="auto" w:fill="auto"/>
          </w:tcPr>
          <w:p w:rsidR="00843559" w:rsidRPr="00D341AB" w:rsidRDefault="00843559" w:rsidP="00662E65">
            <w:pPr>
              <w:pStyle w:val="NoSpacing"/>
              <w:rPr>
                <w:rFonts w:cs="Calibri"/>
                <w:sz w:val="20"/>
                <w:szCs w:val="20"/>
              </w:rPr>
            </w:pPr>
          </w:p>
        </w:tc>
        <w:tc>
          <w:tcPr>
            <w:tcW w:w="105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24120</w:t>
            </w:r>
          </w:p>
        </w:tc>
        <w:tc>
          <w:tcPr>
            <w:tcW w:w="590" w:type="dxa"/>
            <w:shd w:val="clear" w:color="auto" w:fill="auto"/>
          </w:tcPr>
          <w:p w:rsidR="00843559" w:rsidRPr="00D341AB" w:rsidRDefault="00843559" w:rsidP="00662E65">
            <w:pPr>
              <w:pStyle w:val="NoSpacing"/>
              <w:rPr>
                <w:rFonts w:cs="Calibri"/>
                <w:sz w:val="20"/>
                <w:szCs w:val="20"/>
              </w:rPr>
            </w:pPr>
          </w:p>
        </w:tc>
        <w:tc>
          <w:tcPr>
            <w:tcW w:w="147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M-F 9.5hrs per day</w:t>
            </w:r>
          </w:p>
          <w:p w:rsidR="00843559" w:rsidRPr="00D341AB" w:rsidRDefault="00843559" w:rsidP="00662E65">
            <w:pPr>
              <w:pStyle w:val="NoSpacing"/>
              <w:rPr>
                <w:rFonts w:cs="Calibri"/>
                <w:sz w:val="20"/>
                <w:szCs w:val="20"/>
              </w:rPr>
            </w:pPr>
            <w:r w:rsidRPr="00D341AB">
              <w:rPr>
                <w:rFonts w:cs="Calibri"/>
                <w:sz w:val="20"/>
                <w:szCs w:val="20"/>
              </w:rPr>
              <w:t>Weekends and BH – 4hours</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OP,CD,</w:t>
            </w:r>
          </w:p>
          <w:p w:rsidR="00843559" w:rsidRPr="00D341AB" w:rsidRDefault="00843559" w:rsidP="00662E65">
            <w:pPr>
              <w:pStyle w:val="NoSpacing"/>
              <w:rPr>
                <w:rFonts w:cs="Calibri"/>
                <w:sz w:val="20"/>
                <w:szCs w:val="20"/>
              </w:rPr>
            </w:pPr>
            <w:r w:rsidRPr="00D341AB">
              <w:rPr>
                <w:rFonts w:cs="Calibri"/>
                <w:sz w:val="20"/>
                <w:szCs w:val="20"/>
              </w:rPr>
              <w:t>Day case, HIV,</w:t>
            </w:r>
          </w:p>
          <w:p w:rsidR="00843559" w:rsidRPr="00D341AB" w:rsidRDefault="00843559" w:rsidP="00662E65">
            <w:pPr>
              <w:pStyle w:val="NoSpacing"/>
              <w:rPr>
                <w:rFonts w:cs="Calibri"/>
                <w:sz w:val="20"/>
                <w:szCs w:val="20"/>
              </w:rPr>
            </w:pPr>
            <w:r w:rsidRPr="00D341AB">
              <w:rPr>
                <w:rFonts w:cs="Calibri"/>
                <w:sz w:val="20"/>
                <w:szCs w:val="20"/>
              </w:rPr>
              <w:t>Oral Chemo,</w:t>
            </w:r>
          </w:p>
          <w:p w:rsidR="00843559" w:rsidRPr="00D341AB" w:rsidRDefault="00843559" w:rsidP="00662E65">
            <w:pPr>
              <w:pStyle w:val="NoSpacing"/>
              <w:rPr>
                <w:rFonts w:cs="Calibri"/>
                <w:sz w:val="20"/>
                <w:szCs w:val="20"/>
              </w:rPr>
            </w:pPr>
            <w:r w:rsidRPr="00D341AB">
              <w:rPr>
                <w:rFonts w:cs="Calibri"/>
                <w:sz w:val="20"/>
                <w:szCs w:val="20"/>
              </w:rPr>
              <w:t>Private patients</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OP,CD,</w:t>
            </w:r>
          </w:p>
          <w:p w:rsidR="00843559" w:rsidRPr="00D341AB" w:rsidRDefault="00843559" w:rsidP="00662E65">
            <w:pPr>
              <w:pStyle w:val="NoSpacing"/>
              <w:rPr>
                <w:rFonts w:cs="Calibri"/>
                <w:sz w:val="20"/>
                <w:szCs w:val="20"/>
              </w:rPr>
            </w:pPr>
            <w:r w:rsidRPr="00D341AB">
              <w:rPr>
                <w:rFonts w:cs="Calibri"/>
                <w:sz w:val="20"/>
                <w:szCs w:val="20"/>
              </w:rPr>
              <w:t>Oral Chemo, HIV repeats</w:t>
            </w:r>
          </w:p>
        </w:tc>
        <w:tc>
          <w:tcPr>
            <w:tcW w:w="70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Trust</w:t>
            </w:r>
          </w:p>
        </w:tc>
        <w:tc>
          <w:tcPr>
            <w:tcW w:w="113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No – pilot planned</w:t>
            </w:r>
          </w:p>
        </w:tc>
        <w:tc>
          <w:tcPr>
            <w:tcW w:w="993" w:type="dxa"/>
            <w:shd w:val="clear" w:color="auto" w:fill="auto"/>
          </w:tcPr>
          <w:p w:rsidR="00843559" w:rsidRPr="00D341AB" w:rsidRDefault="00843559" w:rsidP="00662E65">
            <w:pPr>
              <w:pStyle w:val="NoSpacing"/>
              <w:rPr>
                <w:rFonts w:cs="Calibri"/>
                <w:sz w:val="20"/>
                <w:szCs w:val="20"/>
              </w:rPr>
            </w:pP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E (planned)</w:t>
            </w:r>
          </w:p>
        </w:tc>
        <w:tc>
          <w:tcPr>
            <w:tcW w:w="111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92</w:t>
            </w:r>
          </w:p>
        </w:tc>
        <w:tc>
          <w:tcPr>
            <w:tcW w:w="872" w:type="dxa"/>
            <w:shd w:val="clear" w:color="auto" w:fill="D8D8D8"/>
          </w:tcPr>
          <w:p w:rsidR="00843559" w:rsidRPr="00D341AB" w:rsidRDefault="00843559" w:rsidP="00662E65">
            <w:pPr>
              <w:pStyle w:val="NoSpacing"/>
              <w:rPr>
                <w:rFonts w:cs="Calibri"/>
                <w:sz w:val="16"/>
                <w:szCs w:val="16"/>
              </w:rPr>
            </w:pPr>
            <w:r w:rsidRPr="00D341AB">
              <w:rPr>
                <w:rFonts w:cs="Calibri"/>
                <w:sz w:val="16"/>
                <w:szCs w:val="16"/>
              </w:rPr>
              <w:t>No site yet allocated</w:t>
            </w:r>
          </w:p>
        </w:tc>
        <w:tc>
          <w:tcPr>
            <w:tcW w:w="105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12000</w:t>
            </w:r>
          </w:p>
        </w:tc>
        <w:tc>
          <w:tcPr>
            <w:tcW w:w="590" w:type="dxa"/>
            <w:shd w:val="clear" w:color="auto" w:fill="D8D8D8"/>
          </w:tcPr>
          <w:p w:rsidR="00843559" w:rsidRPr="00D341AB" w:rsidRDefault="00843559" w:rsidP="00662E65">
            <w:pPr>
              <w:pStyle w:val="NoSpacing"/>
              <w:rPr>
                <w:rFonts w:cs="Calibri"/>
                <w:sz w:val="20"/>
                <w:szCs w:val="20"/>
              </w:rPr>
            </w:pPr>
          </w:p>
        </w:tc>
        <w:tc>
          <w:tcPr>
            <w:tcW w:w="147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 xml:space="preserve">M-F 9am-6pm </w:t>
            </w:r>
          </w:p>
          <w:p w:rsidR="00843559" w:rsidRPr="00D341AB" w:rsidRDefault="00843559" w:rsidP="00662E65">
            <w:pPr>
              <w:pStyle w:val="NoSpacing"/>
              <w:rPr>
                <w:rFonts w:cs="Calibri"/>
                <w:sz w:val="20"/>
                <w:szCs w:val="20"/>
              </w:rPr>
            </w:pPr>
            <w:r w:rsidRPr="00D341AB">
              <w:rPr>
                <w:rFonts w:cs="Calibri"/>
                <w:sz w:val="20"/>
                <w:szCs w:val="20"/>
              </w:rPr>
              <w:t>Sat service</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OP,CD,</w:t>
            </w:r>
          </w:p>
          <w:p w:rsidR="00843559" w:rsidRPr="00D341AB" w:rsidRDefault="00843559" w:rsidP="00662E65">
            <w:pPr>
              <w:pStyle w:val="NoSpacing"/>
              <w:rPr>
                <w:rFonts w:cs="Calibri"/>
                <w:sz w:val="20"/>
                <w:szCs w:val="20"/>
              </w:rPr>
            </w:pPr>
            <w:r w:rsidRPr="00D341AB">
              <w:rPr>
                <w:rFonts w:cs="Calibri"/>
                <w:sz w:val="20"/>
                <w:szCs w:val="20"/>
              </w:rPr>
              <w:t>Day case, HIV,</w:t>
            </w:r>
          </w:p>
          <w:p w:rsidR="00843559" w:rsidRPr="00D341AB" w:rsidRDefault="00843559" w:rsidP="00662E65">
            <w:pPr>
              <w:pStyle w:val="NoSpacing"/>
              <w:rPr>
                <w:rFonts w:cs="Calibri"/>
                <w:sz w:val="20"/>
                <w:szCs w:val="20"/>
              </w:rPr>
            </w:pPr>
            <w:r w:rsidRPr="00D341AB">
              <w:rPr>
                <w:rFonts w:cs="Calibri"/>
                <w:sz w:val="20"/>
                <w:szCs w:val="20"/>
              </w:rPr>
              <w:lastRenderedPageBreak/>
              <w:t>Oral Chemo,</w:t>
            </w:r>
          </w:p>
          <w:p w:rsidR="00843559" w:rsidRPr="00D341AB" w:rsidRDefault="00843559" w:rsidP="00662E65">
            <w:pPr>
              <w:pStyle w:val="NoSpacing"/>
              <w:rPr>
                <w:rFonts w:cs="Calibri"/>
                <w:sz w:val="20"/>
                <w:szCs w:val="20"/>
              </w:rPr>
            </w:pPr>
            <w:r w:rsidRPr="00D341AB">
              <w:rPr>
                <w:rFonts w:cs="Calibri"/>
                <w:sz w:val="20"/>
                <w:szCs w:val="20"/>
              </w:rPr>
              <w:t>Private patients, Clinical trials</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lastRenderedPageBreak/>
              <w:t>OP, HIV,</w:t>
            </w:r>
          </w:p>
          <w:p w:rsidR="00843559" w:rsidRPr="00D341AB" w:rsidRDefault="00843559" w:rsidP="00662E65">
            <w:pPr>
              <w:pStyle w:val="NoSpacing"/>
              <w:rPr>
                <w:rFonts w:cs="Calibri"/>
                <w:sz w:val="20"/>
                <w:szCs w:val="20"/>
              </w:rPr>
            </w:pPr>
            <w:r w:rsidRPr="00D341AB">
              <w:rPr>
                <w:rFonts w:cs="Calibri"/>
                <w:sz w:val="20"/>
                <w:szCs w:val="20"/>
              </w:rPr>
              <w:t>Private and Day Case</w:t>
            </w:r>
          </w:p>
        </w:tc>
        <w:tc>
          <w:tcPr>
            <w:tcW w:w="70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Trust</w:t>
            </w:r>
          </w:p>
        </w:tc>
        <w:tc>
          <w:tcPr>
            <w:tcW w:w="113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Yes- planned</w:t>
            </w:r>
          </w:p>
        </w:tc>
        <w:tc>
          <w:tcPr>
            <w:tcW w:w="993" w:type="dxa"/>
            <w:shd w:val="clear" w:color="auto" w:fill="D8D8D8"/>
          </w:tcPr>
          <w:p w:rsidR="00843559" w:rsidRPr="00D341AB" w:rsidRDefault="00843559" w:rsidP="00662E65">
            <w:pPr>
              <w:pStyle w:val="NoSpacing"/>
              <w:rPr>
                <w:rFonts w:cs="Calibri"/>
                <w:sz w:val="20"/>
                <w:szCs w:val="20"/>
              </w:rPr>
            </w:pP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lastRenderedPageBreak/>
              <w:t>F(planned)</w:t>
            </w:r>
          </w:p>
        </w:tc>
        <w:tc>
          <w:tcPr>
            <w:tcW w:w="111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20</w:t>
            </w:r>
          </w:p>
        </w:tc>
        <w:tc>
          <w:tcPr>
            <w:tcW w:w="872" w:type="dxa"/>
            <w:shd w:val="clear" w:color="auto" w:fill="auto"/>
          </w:tcPr>
          <w:p w:rsidR="00843559" w:rsidRPr="00D341AB" w:rsidRDefault="00843559" w:rsidP="00662E65">
            <w:pPr>
              <w:pStyle w:val="NoSpacing"/>
              <w:rPr>
                <w:rFonts w:cs="Calibri"/>
                <w:sz w:val="20"/>
                <w:szCs w:val="20"/>
              </w:rPr>
            </w:pPr>
          </w:p>
        </w:tc>
        <w:tc>
          <w:tcPr>
            <w:tcW w:w="105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5268</w:t>
            </w:r>
          </w:p>
        </w:tc>
        <w:tc>
          <w:tcPr>
            <w:tcW w:w="59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4</w:t>
            </w:r>
          </w:p>
        </w:tc>
        <w:tc>
          <w:tcPr>
            <w:tcW w:w="147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M-F 8.45am -6pm</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OP,CD,</w:t>
            </w:r>
          </w:p>
          <w:p w:rsidR="00843559" w:rsidRPr="00D341AB" w:rsidRDefault="00843559" w:rsidP="00662E65">
            <w:pPr>
              <w:pStyle w:val="NoSpacing"/>
              <w:rPr>
                <w:rFonts w:cs="Calibri"/>
                <w:sz w:val="20"/>
                <w:szCs w:val="20"/>
              </w:rPr>
            </w:pPr>
            <w:r w:rsidRPr="00D341AB">
              <w:rPr>
                <w:rFonts w:cs="Calibri"/>
                <w:sz w:val="20"/>
                <w:szCs w:val="20"/>
              </w:rPr>
              <w:t>Day case, HIV,</w:t>
            </w:r>
          </w:p>
          <w:p w:rsidR="00843559" w:rsidRPr="00D341AB" w:rsidRDefault="00843559" w:rsidP="00662E65">
            <w:pPr>
              <w:pStyle w:val="NoSpacing"/>
              <w:rPr>
                <w:rFonts w:cs="Calibri"/>
                <w:sz w:val="20"/>
                <w:szCs w:val="20"/>
              </w:rPr>
            </w:pPr>
            <w:r w:rsidRPr="00D341AB">
              <w:rPr>
                <w:rFonts w:cs="Calibri"/>
                <w:sz w:val="20"/>
                <w:szCs w:val="20"/>
              </w:rPr>
              <w:t>Oral Chemo,</w:t>
            </w:r>
          </w:p>
          <w:p w:rsidR="00843559" w:rsidRPr="00D341AB" w:rsidRDefault="00843559" w:rsidP="00662E65">
            <w:pPr>
              <w:pStyle w:val="NoSpacing"/>
              <w:rPr>
                <w:rFonts w:cs="Calibri"/>
                <w:sz w:val="20"/>
                <w:szCs w:val="20"/>
              </w:rPr>
            </w:pPr>
            <w:r w:rsidRPr="00D341AB">
              <w:rPr>
                <w:rFonts w:cs="Calibri"/>
                <w:sz w:val="20"/>
                <w:szCs w:val="20"/>
              </w:rPr>
              <w:t>Private patients</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OP,CD, Day case, Oral Chemo</w:t>
            </w:r>
          </w:p>
        </w:tc>
        <w:tc>
          <w:tcPr>
            <w:tcW w:w="70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Trust</w:t>
            </w:r>
          </w:p>
        </w:tc>
        <w:tc>
          <w:tcPr>
            <w:tcW w:w="113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Exceptional circumstances</w:t>
            </w:r>
          </w:p>
        </w:tc>
        <w:tc>
          <w:tcPr>
            <w:tcW w:w="993"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1317</w:t>
            </w: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G</w:t>
            </w:r>
          </w:p>
        </w:tc>
        <w:tc>
          <w:tcPr>
            <w:tcW w:w="111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60</w:t>
            </w:r>
          </w:p>
        </w:tc>
        <w:tc>
          <w:tcPr>
            <w:tcW w:w="872" w:type="dxa"/>
            <w:shd w:val="clear" w:color="auto" w:fill="D8D8D8"/>
          </w:tcPr>
          <w:p w:rsidR="00843559" w:rsidRPr="00D341AB" w:rsidRDefault="00843559" w:rsidP="00662E65">
            <w:pPr>
              <w:pStyle w:val="NoSpacing"/>
              <w:rPr>
                <w:rFonts w:cs="Calibri"/>
                <w:sz w:val="20"/>
                <w:szCs w:val="20"/>
              </w:rPr>
            </w:pPr>
          </w:p>
        </w:tc>
        <w:tc>
          <w:tcPr>
            <w:tcW w:w="105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4600</w:t>
            </w:r>
          </w:p>
        </w:tc>
        <w:tc>
          <w:tcPr>
            <w:tcW w:w="59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5</w:t>
            </w:r>
          </w:p>
        </w:tc>
        <w:tc>
          <w:tcPr>
            <w:tcW w:w="147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M-F 9am-5.30pm</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 Oral Chemo, Private patients</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 Private</w:t>
            </w:r>
          </w:p>
        </w:tc>
        <w:tc>
          <w:tcPr>
            <w:tcW w:w="70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Trust</w:t>
            </w:r>
          </w:p>
        </w:tc>
        <w:tc>
          <w:tcPr>
            <w:tcW w:w="1134" w:type="dxa"/>
            <w:shd w:val="clear" w:color="auto" w:fill="D8D8D8"/>
          </w:tcPr>
          <w:p w:rsidR="00843559" w:rsidRPr="00D341AB" w:rsidRDefault="00843559" w:rsidP="00662E65">
            <w:pPr>
              <w:pStyle w:val="NoSpacing"/>
              <w:rPr>
                <w:rFonts w:cs="Calibri"/>
                <w:sz w:val="20"/>
                <w:szCs w:val="20"/>
              </w:rPr>
            </w:pPr>
          </w:p>
        </w:tc>
        <w:tc>
          <w:tcPr>
            <w:tcW w:w="993"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920</w:t>
            </w:r>
          </w:p>
        </w:tc>
      </w:tr>
      <w:tr w:rsidR="00843559" w:rsidRPr="00D341AB" w:rsidTr="00662E65">
        <w:tc>
          <w:tcPr>
            <w:tcW w:w="708" w:type="dxa"/>
            <w:shd w:val="clear" w:color="auto" w:fill="4F81BD"/>
          </w:tcPr>
          <w:p w:rsidR="00843559" w:rsidRPr="00D341AB" w:rsidRDefault="00C84EEF" w:rsidP="00662E65">
            <w:pPr>
              <w:pStyle w:val="NoSpacing"/>
              <w:rPr>
                <w:rFonts w:cs="Calibri"/>
                <w:b/>
                <w:bCs/>
                <w:color w:val="FFFFFF"/>
                <w:sz w:val="16"/>
                <w:szCs w:val="16"/>
              </w:rPr>
            </w:pPr>
            <w:r>
              <w:rPr>
                <w:rFonts w:cs="Calibri"/>
                <w:b/>
                <w:bCs/>
                <w:color w:val="FFFFFF"/>
                <w:sz w:val="16"/>
                <w:szCs w:val="16"/>
              </w:rPr>
              <w:t xml:space="preserve">Appendix </w:t>
            </w:r>
          </w:p>
        </w:tc>
        <w:tc>
          <w:tcPr>
            <w:tcW w:w="111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51 and 70</w:t>
            </w:r>
          </w:p>
        </w:tc>
        <w:tc>
          <w:tcPr>
            <w:tcW w:w="872"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Yes</w:t>
            </w:r>
          </w:p>
        </w:tc>
        <w:tc>
          <w:tcPr>
            <w:tcW w:w="105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16000</w:t>
            </w:r>
          </w:p>
        </w:tc>
        <w:tc>
          <w:tcPr>
            <w:tcW w:w="59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8</w:t>
            </w:r>
          </w:p>
        </w:tc>
        <w:tc>
          <w:tcPr>
            <w:tcW w:w="147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M-F 8.30am-6.30pm</w:t>
            </w:r>
          </w:p>
        </w:tc>
        <w:tc>
          <w:tcPr>
            <w:tcW w:w="1276" w:type="dxa"/>
            <w:shd w:val="clear" w:color="auto" w:fill="auto"/>
          </w:tcPr>
          <w:p w:rsidR="00843559" w:rsidRPr="00D341AB" w:rsidRDefault="00843559" w:rsidP="00662E65">
            <w:pPr>
              <w:pStyle w:val="NoSpacing"/>
              <w:rPr>
                <w:rFonts w:cs="Calibri"/>
                <w:sz w:val="20"/>
                <w:szCs w:val="20"/>
              </w:rPr>
            </w:pPr>
          </w:p>
        </w:tc>
        <w:tc>
          <w:tcPr>
            <w:tcW w:w="1276" w:type="dxa"/>
            <w:shd w:val="clear" w:color="auto" w:fill="auto"/>
          </w:tcPr>
          <w:p w:rsidR="00843559" w:rsidRPr="00D341AB" w:rsidRDefault="00843559" w:rsidP="00662E65">
            <w:pPr>
              <w:pStyle w:val="NoSpacing"/>
              <w:rPr>
                <w:rFonts w:cs="Calibri"/>
                <w:sz w:val="20"/>
                <w:szCs w:val="20"/>
              </w:rPr>
            </w:pPr>
          </w:p>
        </w:tc>
        <w:tc>
          <w:tcPr>
            <w:tcW w:w="708" w:type="dxa"/>
            <w:shd w:val="clear" w:color="auto" w:fill="auto"/>
          </w:tcPr>
          <w:p w:rsidR="00843559" w:rsidRPr="00D341AB" w:rsidRDefault="00843559" w:rsidP="00662E65">
            <w:pPr>
              <w:pStyle w:val="NoSpacing"/>
              <w:rPr>
                <w:rFonts w:cs="Calibri"/>
                <w:sz w:val="20"/>
                <w:szCs w:val="20"/>
              </w:rPr>
            </w:pPr>
          </w:p>
        </w:tc>
        <w:tc>
          <w:tcPr>
            <w:tcW w:w="1134" w:type="dxa"/>
            <w:shd w:val="clear" w:color="auto" w:fill="auto"/>
          </w:tcPr>
          <w:p w:rsidR="00843559" w:rsidRPr="00D341AB" w:rsidRDefault="00843559" w:rsidP="00662E65">
            <w:pPr>
              <w:pStyle w:val="NoSpacing"/>
              <w:rPr>
                <w:rFonts w:cs="Calibri"/>
                <w:sz w:val="20"/>
                <w:szCs w:val="20"/>
              </w:rPr>
            </w:pPr>
          </w:p>
        </w:tc>
        <w:tc>
          <w:tcPr>
            <w:tcW w:w="993"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2000</w:t>
            </w:r>
          </w:p>
        </w:tc>
      </w:tr>
      <w:tr w:rsidR="00843559" w:rsidRPr="00D341AB" w:rsidTr="00662E65">
        <w:tc>
          <w:tcPr>
            <w:tcW w:w="708" w:type="dxa"/>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I</w:t>
            </w:r>
          </w:p>
        </w:tc>
        <w:tc>
          <w:tcPr>
            <w:tcW w:w="1114"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180</w:t>
            </w:r>
          </w:p>
        </w:tc>
        <w:tc>
          <w:tcPr>
            <w:tcW w:w="872"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Yes</w:t>
            </w:r>
          </w:p>
        </w:tc>
        <w:tc>
          <w:tcPr>
            <w:tcW w:w="1058"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14000</w:t>
            </w:r>
          </w:p>
        </w:tc>
        <w:tc>
          <w:tcPr>
            <w:tcW w:w="59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9</w:t>
            </w:r>
          </w:p>
        </w:tc>
        <w:tc>
          <w:tcPr>
            <w:tcW w:w="1470"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M-F 9am-6.30pm</w:t>
            </w:r>
          </w:p>
        </w:tc>
        <w:tc>
          <w:tcPr>
            <w:tcW w:w="1276"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OP and Oral Chemo</w:t>
            </w:r>
          </w:p>
        </w:tc>
        <w:tc>
          <w:tcPr>
            <w:tcW w:w="1276" w:type="dxa"/>
            <w:shd w:val="clear" w:color="auto" w:fill="D8D8D8"/>
          </w:tcPr>
          <w:p w:rsidR="00843559" w:rsidRPr="00D341AB" w:rsidRDefault="00843559" w:rsidP="00662E65">
            <w:pPr>
              <w:pStyle w:val="NoSpacing"/>
              <w:rPr>
                <w:rFonts w:cs="Calibri"/>
                <w:sz w:val="20"/>
                <w:szCs w:val="20"/>
              </w:rPr>
            </w:pPr>
          </w:p>
        </w:tc>
        <w:tc>
          <w:tcPr>
            <w:tcW w:w="708" w:type="dxa"/>
            <w:shd w:val="clear" w:color="auto" w:fill="D8D8D8"/>
          </w:tcPr>
          <w:p w:rsidR="00843559" w:rsidRPr="00D341AB" w:rsidRDefault="00843559" w:rsidP="00662E65">
            <w:pPr>
              <w:pStyle w:val="NoSpacing"/>
              <w:rPr>
                <w:rFonts w:cs="Calibri"/>
                <w:sz w:val="20"/>
                <w:szCs w:val="20"/>
              </w:rPr>
            </w:pPr>
          </w:p>
        </w:tc>
        <w:tc>
          <w:tcPr>
            <w:tcW w:w="1134" w:type="dxa"/>
            <w:shd w:val="clear" w:color="auto" w:fill="D8D8D8"/>
          </w:tcPr>
          <w:p w:rsidR="00843559" w:rsidRPr="00D341AB" w:rsidRDefault="00843559" w:rsidP="00662E65">
            <w:pPr>
              <w:pStyle w:val="NoSpacing"/>
              <w:rPr>
                <w:rFonts w:cs="Calibri"/>
                <w:sz w:val="20"/>
                <w:szCs w:val="20"/>
              </w:rPr>
            </w:pPr>
          </w:p>
        </w:tc>
        <w:tc>
          <w:tcPr>
            <w:tcW w:w="993" w:type="dxa"/>
            <w:shd w:val="clear" w:color="auto" w:fill="D8D8D8"/>
          </w:tcPr>
          <w:p w:rsidR="00843559" w:rsidRPr="00D341AB" w:rsidRDefault="00843559" w:rsidP="00662E65">
            <w:pPr>
              <w:pStyle w:val="NoSpacing"/>
              <w:rPr>
                <w:rFonts w:cs="Calibri"/>
                <w:sz w:val="20"/>
                <w:szCs w:val="20"/>
              </w:rPr>
            </w:pPr>
            <w:r w:rsidRPr="00D341AB">
              <w:rPr>
                <w:rFonts w:cs="Calibri"/>
                <w:sz w:val="20"/>
                <w:szCs w:val="20"/>
              </w:rPr>
              <w:t>1556</w:t>
            </w:r>
          </w:p>
        </w:tc>
      </w:tr>
      <w:tr w:rsidR="00843559" w:rsidRPr="00D341AB" w:rsidTr="00662E65">
        <w:tc>
          <w:tcPr>
            <w:tcW w:w="708" w:type="dxa"/>
            <w:tcBorders>
              <w:bottom w:val="single" w:sz="18" w:space="0" w:color="auto"/>
            </w:tcBorders>
            <w:shd w:val="clear" w:color="auto" w:fill="4F81BD"/>
          </w:tcPr>
          <w:p w:rsidR="00843559" w:rsidRPr="00D341AB" w:rsidRDefault="00843559" w:rsidP="00662E65">
            <w:pPr>
              <w:pStyle w:val="NoSpacing"/>
              <w:rPr>
                <w:rFonts w:cs="Calibri"/>
                <w:b/>
                <w:bCs/>
                <w:color w:val="FFFFFF"/>
                <w:sz w:val="16"/>
                <w:szCs w:val="16"/>
              </w:rPr>
            </w:pPr>
            <w:r w:rsidRPr="00D341AB">
              <w:rPr>
                <w:rFonts w:cs="Calibri"/>
                <w:b/>
                <w:bCs/>
                <w:color w:val="FFFFFF"/>
                <w:sz w:val="16"/>
                <w:szCs w:val="16"/>
              </w:rPr>
              <w:t>J</w:t>
            </w:r>
          </w:p>
        </w:tc>
        <w:tc>
          <w:tcPr>
            <w:tcW w:w="1114"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65</w:t>
            </w:r>
          </w:p>
        </w:tc>
        <w:tc>
          <w:tcPr>
            <w:tcW w:w="872"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No</w:t>
            </w:r>
          </w:p>
        </w:tc>
        <w:tc>
          <w:tcPr>
            <w:tcW w:w="1058"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4400</w:t>
            </w:r>
          </w:p>
        </w:tc>
        <w:tc>
          <w:tcPr>
            <w:tcW w:w="59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8</w:t>
            </w:r>
          </w:p>
        </w:tc>
        <w:tc>
          <w:tcPr>
            <w:tcW w:w="1470"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 xml:space="preserve">M-F 9am-6.30pm </w:t>
            </w:r>
          </w:p>
          <w:p w:rsidR="00843559" w:rsidRPr="00D341AB" w:rsidRDefault="00843559" w:rsidP="00662E65">
            <w:pPr>
              <w:pStyle w:val="NoSpacing"/>
              <w:rPr>
                <w:rFonts w:cs="Calibri"/>
                <w:sz w:val="20"/>
                <w:szCs w:val="20"/>
              </w:rPr>
            </w:pPr>
            <w:r w:rsidRPr="00D341AB">
              <w:rPr>
                <w:rFonts w:cs="Calibri"/>
                <w:sz w:val="20"/>
                <w:szCs w:val="20"/>
              </w:rPr>
              <w:t>10-4 Sat</w:t>
            </w:r>
          </w:p>
          <w:p w:rsidR="00843559" w:rsidRPr="00D341AB" w:rsidRDefault="00843559" w:rsidP="00662E65">
            <w:pPr>
              <w:pStyle w:val="NoSpacing"/>
              <w:rPr>
                <w:rFonts w:cs="Calibri"/>
                <w:sz w:val="20"/>
                <w:szCs w:val="20"/>
              </w:rPr>
            </w:pPr>
            <w:r w:rsidRPr="00D341AB">
              <w:rPr>
                <w:rFonts w:cs="Calibri"/>
                <w:sz w:val="20"/>
                <w:szCs w:val="20"/>
              </w:rPr>
              <w:t>10-2 Sun</w:t>
            </w:r>
          </w:p>
        </w:tc>
        <w:tc>
          <w:tcPr>
            <w:tcW w:w="1276"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OP,HIV</w:t>
            </w:r>
          </w:p>
        </w:tc>
        <w:tc>
          <w:tcPr>
            <w:tcW w:w="1276" w:type="dxa"/>
            <w:shd w:val="clear" w:color="auto" w:fill="auto"/>
          </w:tcPr>
          <w:p w:rsidR="00843559" w:rsidRPr="00D341AB" w:rsidRDefault="00843559" w:rsidP="00662E65">
            <w:pPr>
              <w:pStyle w:val="NoSpacing"/>
              <w:rPr>
                <w:rFonts w:cs="Calibri"/>
                <w:sz w:val="20"/>
                <w:szCs w:val="20"/>
              </w:rPr>
            </w:pPr>
          </w:p>
        </w:tc>
        <w:tc>
          <w:tcPr>
            <w:tcW w:w="708" w:type="dxa"/>
            <w:shd w:val="clear" w:color="auto" w:fill="auto"/>
          </w:tcPr>
          <w:p w:rsidR="00843559" w:rsidRPr="00D341AB" w:rsidRDefault="00843559" w:rsidP="00662E65">
            <w:pPr>
              <w:pStyle w:val="NoSpacing"/>
              <w:rPr>
                <w:rFonts w:cs="Calibri"/>
                <w:sz w:val="20"/>
                <w:szCs w:val="20"/>
              </w:rPr>
            </w:pPr>
          </w:p>
        </w:tc>
        <w:tc>
          <w:tcPr>
            <w:tcW w:w="1134" w:type="dxa"/>
            <w:shd w:val="clear" w:color="auto" w:fill="auto"/>
          </w:tcPr>
          <w:p w:rsidR="00843559" w:rsidRPr="00D341AB" w:rsidRDefault="00843559" w:rsidP="00662E65">
            <w:pPr>
              <w:pStyle w:val="NoSpacing"/>
              <w:rPr>
                <w:rFonts w:cs="Calibri"/>
                <w:sz w:val="20"/>
                <w:szCs w:val="20"/>
              </w:rPr>
            </w:pPr>
          </w:p>
        </w:tc>
        <w:tc>
          <w:tcPr>
            <w:tcW w:w="993" w:type="dxa"/>
            <w:shd w:val="clear" w:color="auto" w:fill="auto"/>
          </w:tcPr>
          <w:p w:rsidR="00843559" w:rsidRPr="00D341AB" w:rsidRDefault="00843559" w:rsidP="00662E65">
            <w:pPr>
              <w:pStyle w:val="NoSpacing"/>
              <w:rPr>
                <w:rFonts w:cs="Calibri"/>
                <w:sz w:val="20"/>
                <w:szCs w:val="20"/>
              </w:rPr>
            </w:pPr>
            <w:r w:rsidRPr="00D341AB">
              <w:rPr>
                <w:rFonts w:cs="Calibri"/>
                <w:sz w:val="20"/>
                <w:szCs w:val="20"/>
              </w:rPr>
              <w:t>550</w:t>
            </w:r>
          </w:p>
        </w:tc>
      </w:tr>
    </w:tbl>
    <w:p w:rsidR="00843559" w:rsidRPr="00843559" w:rsidRDefault="00843559" w:rsidP="0096418D">
      <w:pPr>
        <w:pStyle w:val="NoSpacing"/>
      </w:pPr>
    </w:p>
    <w:p w:rsidR="001359FE" w:rsidRDefault="001359FE" w:rsidP="0096418D">
      <w:pPr>
        <w:pStyle w:val="NoSpacing"/>
        <w:rPr>
          <w:b/>
          <w:u w:val="single"/>
        </w:rPr>
      </w:pPr>
    </w:p>
    <w:p w:rsidR="001359FE" w:rsidRDefault="001359FE" w:rsidP="0096418D">
      <w:pPr>
        <w:pStyle w:val="NoSpacing"/>
        <w:rPr>
          <w:b/>
          <w:u w:val="single"/>
        </w:rPr>
      </w:pPr>
    </w:p>
    <w:p w:rsidR="00DE50AF" w:rsidRDefault="00DE50AF" w:rsidP="0096418D">
      <w:pPr>
        <w:pStyle w:val="NoSpacing"/>
        <w:rPr>
          <w:b/>
          <w:u w:val="single"/>
        </w:rPr>
      </w:pPr>
    </w:p>
    <w:p w:rsidR="00DE50AF" w:rsidRPr="00311771" w:rsidRDefault="00740321" w:rsidP="00DE50AF">
      <w:pPr>
        <w:pStyle w:val="Footer"/>
        <w:tabs>
          <w:tab w:val="clear" w:pos="4153"/>
          <w:tab w:val="clear" w:pos="8306"/>
        </w:tabs>
        <w:rPr>
          <w:rFonts w:ascii="Calibri" w:hAnsi="Calibri" w:cs="Calibri"/>
          <w:b/>
          <w:sz w:val="22"/>
          <w:szCs w:val="22"/>
          <w:u w:val="single"/>
        </w:rPr>
      </w:pPr>
      <w:r>
        <w:rPr>
          <w:rFonts w:ascii="Calibri" w:hAnsi="Calibri" w:cs="Calibri"/>
          <w:b/>
          <w:sz w:val="22"/>
          <w:szCs w:val="22"/>
          <w:u w:val="single"/>
        </w:rPr>
        <w:t>Appendix 3</w:t>
      </w:r>
      <w:r w:rsidR="00311771">
        <w:rPr>
          <w:rFonts w:ascii="Calibri" w:hAnsi="Calibri" w:cs="Calibri"/>
          <w:b/>
          <w:sz w:val="22"/>
          <w:szCs w:val="22"/>
          <w:u w:val="single"/>
        </w:rPr>
        <w:t xml:space="preserve"> Business Case Template</w:t>
      </w:r>
    </w:p>
    <w:p w:rsidR="00DE50AF" w:rsidRPr="0012659D" w:rsidRDefault="00DE50AF" w:rsidP="00DE50AF">
      <w:pPr>
        <w:pStyle w:val="Footer"/>
        <w:tabs>
          <w:tab w:val="clear" w:pos="4153"/>
          <w:tab w:val="clear" w:pos="8306"/>
        </w:tabs>
        <w:jc w:val="center"/>
        <w:rPr>
          <w:rFonts w:ascii="Arial" w:hAnsi="Arial" w:cs="Arial"/>
          <w:b/>
          <w:sz w:val="20"/>
        </w:rPr>
      </w:pPr>
      <w:r w:rsidRPr="0012659D">
        <w:rPr>
          <w:rFonts w:ascii="Arial" w:hAnsi="Arial" w:cs="Arial"/>
          <w:b/>
          <w:sz w:val="20"/>
        </w:rPr>
        <w:t>BUSINESS, RESOURCE AND STRATEGY GROUP</w:t>
      </w:r>
    </w:p>
    <w:p w:rsidR="00DE50AF" w:rsidRDefault="00DE50AF" w:rsidP="00DE50AF">
      <w:pPr>
        <w:pStyle w:val="Footer"/>
        <w:tabs>
          <w:tab w:val="clear" w:pos="4153"/>
          <w:tab w:val="clear" w:pos="8306"/>
        </w:tabs>
        <w:jc w:val="center"/>
        <w:rPr>
          <w:rFonts w:ascii="Arial" w:hAnsi="Arial" w:cs="Arial"/>
          <w:b/>
          <w:sz w:val="20"/>
        </w:rPr>
      </w:pPr>
      <w:r w:rsidRPr="0012659D">
        <w:rPr>
          <w:rFonts w:ascii="Arial" w:hAnsi="Arial" w:cs="Arial"/>
          <w:b/>
          <w:sz w:val="20"/>
        </w:rPr>
        <w:t>BUSINESS CASE PROFORMA FOR OUTSOURCING</w:t>
      </w:r>
    </w:p>
    <w:p w:rsidR="00DE50AF" w:rsidRPr="0012659D" w:rsidRDefault="00DE50AF" w:rsidP="00DE50AF">
      <w:pPr>
        <w:rPr>
          <w:rFonts w:ascii="Arial" w:hAnsi="Arial" w:cs="Arial"/>
          <w:b/>
          <w:i/>
          <w:iCs/>
          <w:sz w:val="16"/>
          <w:szCs w:val="16"/>
        </w:rPr>
      </w:pPr>
      <w:r w:rsidRPr="0012659D">
        <w:rPr>
          <w:rFonts w:ascii="Arial" w:hAnsi="Arial" w:cs="Arial"/>
          <w:b/>
          <w:i/>
          <w:iCs/>
          <w:sz w:val="16"/>
          <w:szCs w:val="16"/>
        </w:rPr>
        <w:t>* Please refer to attached Guidance Notes when comple</w:t>
      </w:r>
      <w:r>
        <w:rPr>
          <w:rFonts w:ascii="Arial" w:hAnsi="Arial" w:cs="Arial"/>
          <w:b/>
          <w:i/>
          <w:iCs/>
          <w:sz w:val="16"/>
          <w:szCs w:val="16"/>
        </w:rPr>
        <w:t>ting the business case proforma</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4365"/>
        <w:gridCol w:w="2263"/>
      </w:tblGrid>
      <w:tr w:rsidR="00DE50AF" w:rsidRPr="0012659D" w:rsidTr="00662E65">
        <w:trPr>
          <w:cantSplit/>
        </w:trPr>
        <w:tc>
          <w:tcPr>
            <w:tcW w:w="9720" w:type="dxa"/>
            <w:gridSpan w:val="3"/>
          </w:tcPr>
          <w:p w:rsidR="00DE50AF" w:rsidRPr="0012659D" w:rsidRDefault="00DE50AF" w:rsidP="00662E65">
            <w:pPr>
              <w:pStyle w:val="Heading2"/>
              <w:spacing w:before="120"/>
              <w:jc w:val="center"/>
              <w:rPr>
                <w:rFonts w:cs="Arial"/>
                <w:sz w:val="16"/>
                <w:szCs w:val="16"/>
              </w:rPr>
            </w:pPr>
            <w:r w:rsidRPr="0012659D">
              <w:rPr>
                <w:rFonts w:cs="Arial"/>
                <w:sz w:val="16"/>
                <w:szCs w:val="16"/>
              </w:rPr>
              <w:t>Business Case for Capital and Revenue Investment</w:t>
            </w:r>
          </w:p>
        </w:tc>
      </w:tr>
      <w:tr w:rsidR="00DE50AF" w:rsidRPr="0012659D" w:rsidTr="00662E65">
        <w:trPr>
          <w:cantSplit/>
        </w:trPr>
        <w:tc>
          <w:tcPr>
            <w:tcW w:w="3092" w:type="dxa"/>
          </w:tcPr>
          <w:p w:rsidR="00DE50AF" w:rsidRPr="0012659D" w:rsidRDefault="00DE50AF" w:rsidP="00662E65">
            <w:pPr>
              <w:spacing w:before="120"/>
              <w:rPr>
                <w:rFonts w:ascii="Arial" w:hAnsi="Arial" w:cs="Arial"/>
                <w:sz w:val="16"/>
                <w:szCs w:val="16"/>
              </w:rPr>
            </w:pPr>
            <w:r w:rsidRPr="0012659D">
              <w:rPr>
                <w:rFonts w:ascii="Arial" w:hAnsi="Arial" w:cs="Arial"/>
                <w:sz w:val="16"/>
                <w:szCs w:val="16"/>
              </w:rPr>
              <w:t>Title of Bid</w:t>
            </w:r>
          </w:p>
        </w:tc>
        <w:tc>
          <w:tcPr>
            <w:tcW w:w="6628" w:type="dxa"/>
            <w:gridSpan w:val="2"/>
          </w:tcPr>
          <w:p w:rsidR="00DE50AF" w:rsidRPr="0012659D" w:rsidRDefault="00DE50AF" w:rsidP="00662E65">
            <w:pPr>
              <w:spacing w:before="120"/>
              <w:rPr>
                <w:rFonts w:ascii="Verdana" w:hAnsi="Verdana" w:cs="Arial"/>
                <w:sz w:val="16"/>
                <w:szCs w:val="16"/>
              </w:rPr>
            </w:pPr>
          </w:p>
        </w:tc>
      </w:tr>
      <w:tr w:rsidR="00DE50AF" w:rsidRPr="0012659D" w:rsidTr="00662E65">
        <w:trPr>
          <w:cantSplit/>
        </w:trPr>
        <w:tc>
          <w:tcPr>
            <w:tcW w:w="3092" w:type="dxa"/>
          </w:tcPr>
          <w:p w:rsidR="00DE50AF" w:rsidRPr="0012659D" w:rsidRDefault="00DE50AF" w:rsidP="00662E65">
            <w:pPr>
              <w:spacing w:before="120"/>
              <w:rPr>
                <w:rFonts w:ascii="Arial" w:hAnsi="Arial" w:cs="Arial"/>
                <w:sz w:val="16"/>
                <w:szCs w:val="16"/>
              </w:rPr>
            </w:pPr>
            <w:r w:rsidRPr="0012659D">
              <w:rPr>
                <w:rFonts w:ascii="Arial" w:hAnsi="Arial" w:cs="Arial"/>
                <w:sz w:val="16"/>
                <w:szCs w:val="16"/>
              </w:rPr>
              <w:t>Care Group / Department</w:t>
            </w:r>
          </w:p>
        </w:tc>
        <w:tc>
          <w:tcPr>
            <w:tcW w:w="6628" w:type="dxa"/>
            <w:gridSpan w:val="2"/>
          </w:tcPr>
          <w:p w:rsidR="00DE50AF" w:rsidRPr="0012659D" w:rsidRDefault="00DE50AF" w:rsidP="00662E65">
            <w:pPr>
              <w:spacing w:before="120"/>
              <w:rPr>
                <w:rFonts w:ascii="Verdana" w:hAnsi="Verdana" w:cs="Arial"/>
                <w:sz w:val="16"/>
                <w:szCs w:val="16"/>
              </w:rPr>
            </w:pPr>
          </w:p>
        </w:tc>
      </w:tr>
      <w:tr w:rsidR="00DE50AF" w:rsidRPr="0012659D" w:rsidTr="00662E65">
        <w:trPr>
          <w:cantSplit/>
        </w:trPr>
        <w:tc>
          <w:tcPr>
            <w:tcW w:w="3092" w:type="dxa"/>
          </w:tcPr>
          <w:p w:rsidR="00DE50AF" w:rsidRPr="0012659D" w:rsidRDefault="00DE50AF" w:rsidP="00662E65">
            <w:pPr>
              <w:spacing w:before="120"/>
              <w:rPr>
                <w:rFonts w:ascii="Arial" w:hAnsi="Arial" w:cs="Arial"/>
                <w:sz w:val="16"/>
                <w:szCs w:val="16"/>
              </w:rPr>
            </w:pPr>
            <w:r w:rsidRPr="0012659D">
              <w:rPr>
                <w:rFonts w:ascii="Arial" w:hAnsi="Arial" w:cs="Arial"/>
                <w:sz w:val="16"/>
                <w:szCs w:val="16"/>
              </w:rPr>
              <w:t>Author of Business Case</w:t>
            </w:r>
          </w:p>
        </w:tc>
        <w:tc>
          <w:tcPr>
            <w:tcW w:w="6628" w:type="dxa"/>
            <w:gridSpan w:val="2"/>
          </w:tcPr>
          <w:p w:rsidR="00DE50AF" w:rsidRPr="0012659D" w:rsidRDefault="00DE50AF" w:rsidP="00662E65">
            <w:pPr>
              <w:spacing w:before="120"/>
              <w:rPr>
                <w:rFonts w:ascii="Verdana" w:hAnsi="Verdana" w:cs="Arial"/>
                <w:sz w:val="16"/>
                <w:szCs w:val="16"/>
              </w:rPr>
            </w:pPr>
          </w:p>
        </w:tc>
      </w:tr>
      <w:tr w:rsidR="00DE50AF" w:rsidRPr="0012659D" w:rsidTr="00662E65">
        <w:trPr>
          <w:cantSplit/>
        </w:trPr>
        <w:tc>
          <w:tcPr>
            <w:tcW w:w="3092" w:type="dxa"/>
          </w:tcPr>
          <w:p w:rsidR="00DE50AF" w:rsidRPr="0012659D" w:rsidRDefault="00DE50AF" w:rsidP="00662E65">
            <w:pPr>
              <w:spacing w:before="120"/>
              <w:rPr>
                <w:rFonts w:ascii="Arial" w:hAnsi="Arial" w:cs="Arial"/>
                <w:sz w:val="16"/>
                <w:szCs w:val="16"/>
              </w:rPr>
            </w:pPr>
            <w:r w:rsidRPr="0012659D">
              <w:rPr>
                <w:rFonts w:ascii="Arial" w:hAnsi="Arial" w:cs="Arial"/>
                <w:sz w:val="16"/>
                <w:szCs w:val="16"/>
              </w:rPr>
              <w:t>General Manager Approval</w:t>
            </w:r>
          </w:p>
        </w:tc>
        <w:tc>
          <w:tcPr>
            <w:tcW w:w="4365" w:type="dxa"/>
          </w:tcPr>
          <w:p w:rsidR="00DE50AF" w:rsidRPr="0012659D" w:rsidRDefault="00DE50AF" w:rsidP="00662E65">
            <w:pPr>
              <w:spacing w:before="120"/>
              <w:rPr>
                <w:rFonts w:ascii="Verdana" w:hAnsi="Verdana" w:cs="Arial"/>
                <w:sz w:val="16"/>
                <w:szCs w:val="16"/>
              </w:rPr>
            </w:pPr>
          </w:p>
        </w:tc>
        <w:tc>
          <w:tcPr>
            <w:tcW w:w="2263" w:type="dxa"/>
          </w:tcPr>
          <w:p w:rsidR="00DE50AF" w:rsidRPr="0012659D" w:rsidRDefault="00DE50AF" w:rsidP="00662E65">
            <w:pPr>
              <w:spacing w:before="120"/>
              <w:rPr>
                <w:rFonts w:ascii="Arial" w:hAnsi="Arial" w:cs="Arial"/>
                <w:sz w:val="16"/>
                <w:szCs w:val="16"/>
              </w:rPr>
            </w:pPr>
          </w:p>
        </w:tc>
      </w:tr>
      <w:tr w:rsidR="00DE50AF" w:rsidRPr="0012659D" w:rsidTr="00662E65">
        <w:trPr>
          <w:cantSplit/>
        </w:trPr>
        <w:tc>
          <w:tcPr>
            <w:tcW w:w="3092" w:type="dxa"/>
          </w:tcPr>
          <w:p w:rsidR="00DE50AF" w:rsidRPr="0012659D" w:rsidRDefault="00DE50AF" w:rsidP="00662E65">
            <w:pPr>
              <w:spacing w:before="120"/>
              <w:rPr>
                <w:rFonts w:ascii="Arial" w:hAnsi="Arial" w:cs="Arial"/>
                <w:sz w:val="16"/>
                <w:szCs w:val="16"/>
              </w:rPr>
            </w:pPr>
            <w:r w:rsidRPr="0012659D">
              <w:rPr>
                <w:rFonts w:ascii="Arial" w:hAnsi="Arial" w:cs="Arial"/>
                <w:sz w:val="16"/>
                <w:szCs w:val="16"/>
              </w:rPr>
              <w:t>Finance manager approval</w:t>
            </w:r>
          </w:p>
        </w:tc>
        <w:tc>
          <w:tcPr>
            <w:tcW w:w="4365" w:type="dxa"/>
          </w:tcPr>
          <w:p w:rsidR="00DE50AF" w:rsidRPr="0012659D" w:rsidRDefault="00DE50AF" w:rsidP="00662E65">
            <w:pPr>
              <w:spacing w:before="120"/>
              <w:rPr>
                <w:rFonts w:ascii="Verdana" w:hAnsi="Verdana" w:cs="Arial"/>
                <w:sz w:val="16"/>
                <w:szCs w:val="16"/>
              </w:rPr>
            </w:pPr>
          </w:p>
        </w:tc>
        <w:tc>
          <w:tcPr>
            <w:tcW w:w="2263" w:type="dxa"/>
          </w:tcPr>
          <w:p w:rsidR="00DE50AF" w:rsidRPr="0012659D" w:rsidRDefault="00DE50AF" w:rsidP="00662E65">
            <w:pPr>
              <w:spacing w:before="120"/>
              <w:rPr>
                <w:rFonts w:ascii="Arial" w:hAnsi="Arial" w:cs="Arial"/>
                <w:sz w:val="16"/>
                <w:szCs w:val="16"/>
              </w:rPr>
            </w:pPr>
          </w:p>
        </w:tc>
      </w:tr>
      <w:tr w:rsidR="00DE50AF" w:rsidRPr="0012659D" w:rsidTr="00662E65">
        <w:trPr>
          <w:cantSplit/>
        </w:trPr>
        <w:tc>
          <w:tcPr>
            <w:tcW w:w="9720" w:type="dxa"/>
            <w:gridSpan w:val="3"/>
          </w:tcPr>
          <w:p w:rsidR="00DE50AF" w:rsidRPr="0012659D" w:rsidRDefault="00DE50AF" w:rsidP="00662E65">
            <w:pPr>
              <w:spacing w:before="120"/>
              <w:rPr>
                <w:rFonts w:ascii="Arial" w:hAnsi="Arial" w:cs="Arial"/>
                <w:sz w:val="16"/>
                <w:szCs w:val="16"/>
              </w:rPr>
            </w:pPr>
            <w:r w:rsidRPr="0012659D">
              <w:rPr>
                <w:rFonts w:ascii="Arial" w:hAnsi="Arial" w:cs="Arial"/>
                <w:b/>
                <w:bCs/>
                <w:sz w:val="16"/>
                <w:szCs w:val="16"/>
              </w:rPr>
              <w:t xml:space="preserve">1.  Executive Summary - </w:t>
            </w:r>
            <w:r w:rsidRPr="0012659D">
              <w:rPr>
                <w:rFonts w:ascii="Arial" w:hAnsi="Arial" w:cs="Arial"/>
                <w:sz w:val="16"/>
                <w:szCs w:val="16"/>
              </w:rPr>
              <w:t>a succinct summary of the bid setting out key headline data</w:t>
            </w:r>
          </w:p>
        </w:tc>
      </w:tr>
      <w:tr w:rsidR="00DE50AF" w:rsidRPr="0012659D" w:rsidTr="00662E65">
        <w:trPr>
          <w:cantSplit/>
        </w:trPr>
        <w:tc>
          <w:tcPr>
            <w:tcW w:w="9720" w:type="dxa"/>
            <w:gridSpan w:val="3"/>
          </w:tcPr>
          <w:p w:rsidR="00DE50AF" w:rsidRPr="0012659D" w:rsidRDefault="00DE50AF" w:rsidP="00662E65">
            <w:pPr>
              <w:spacing w:before="120"/>
              <w:rPr>
                <w:rFonts w:ascii="Arial" w:hAnsi="Arial" w:cs="Arial"/>
                <w:sz w:val="16"/>
                <w:szCs w:val="16"/>
              </w:rPr>
            </w:pPr>
            <w:r w:rsidRPr="0012659D">
              <w:rPr>
                <w:rFonts w:ascii="Arial" w:hAnsi="Arial" w:cs="Arial"/>
                <w:b/>
                <w:bCs/>
                <w:sz w:val="16"/>
                <w:szCs w:val="16"/>
              </w:rPr>
              <w:t xml:space="preserve">2.  Description of bid – </w:t>
            </w:r>
            <w:r w:rsidRPr="0012659D">
              <w:rPr>
                <w:rFonts w:ascii="Arial" w:hAnsi="Arial" w:cs="Arial"/>
                <w:sz w:val="16"/>
                <w:szCs w:val="16"/>
              </w:rPr>
              <w:t xml:space="preserve">outline the problem and how do you propose to solve it </w:t>
            </w:r>
            <w:r w:rsidRPr="0012659D">
              <w:rPr>
                <w:rFonts w:ascii="Arial" w:hAnsi="Arial" w:cs="Arial"/>
                <w:i/>
                <w:iCs/>
                <w:sz w:val="16"/>
                <w:szCs w:val="16"/>
              </w:rPr>
              <w:t>or</w:t>
            </w:r>
            <w:r w:rsidRPr="0012659D">
              <w:rPr>
                <w:rFonts w:ascii="Arial" w:hAnsi="Arial" w:cs="Arial"/>
                <w:sz w:val="16"/>
                <w:szCs w:val="16"/>
              </w:rPr>
              <w:t xml:space="preserve"> describe the opportunity and what are your r</w:t>
            </w:r>
            <w:r>
              <w:rPr>
                <w:rFonts w:ascii="Arial" w:hAnsi="Arial" w:cs="Arial"/>
                <w:sz w:val="16"/>
                <w:szCs w:val="16"/>
              </w:rPr>
              <w:t>equirements to capitalise on it</w:t>
            </w:r>
          </w:p>
          <w:p w:rsidR="00DE50AF" w:rsidRPr="0012659D" w:rsidRDefault="00DE50AF" w:rsidP="00662E65">
            <w:pPr>
              <w:rPr>
                <w:rFonts w:ascii="Verdana" w:hAnsi="Verdana"/>
                <w:b/>
                <w:sz w:val="16"/>
                <w:szCs w:val="16"/>
              </w:rPr>
            </w:pPr>
            <w:r w:rsidRPr="0012659D">
              <w:rPr>
                <w:rFonts w:ascii="Verdana" w:hAnsi="Verdana"/>
                <w:b/>
                <w:sz w:val="16"/>
                <w:szCs w:val="16"/>
              </w:rPr>
              <w:t xml:space="preserve">Background - </w:t>
            </w:r>
          </w:p>
          <w:p w:rsidR="00DE50AF" w:rsidRPr="0012659D" w:rsidRDefault="00DE50AF" w:rsidP="00662E65">
            <w:pPr>
              <w:rPr>
                <w:rFonts w:ascii="Verdana" w:hAnsi="Verdana"/>
                <w:sz w:val="16"/>
                <w:szCs w:val="16"/>
              </w:rPr>
            </w:pPr>
            <w:r w:rsidRPr="0012659D">
              <w:rPr>
                <w:rFonts w:ascii="Verdana" w:hAnsi="Verdana"/>
                <w:b/>
                <w:sz w:val="16"/>
                <w:szCs w:val="16"/>
              </w:rPr>
              <w:t xml:space="preserve">FP10 prescriptions </w:t>
            </w:r>
          </w:p>
          <w:p w:rsidR="00DE50AF" w:rsidRPr="0012659D" w:rsidRDefault="00DE50AF" w:rsidP="00662E65">
            <w:pPr>
              <w:rPr>
                <w:rFonts w:ascii="Arial" w:hAnsi="Arial" w:cs="Arial"/>
                <w:b/>
                <w:bCs/>
                <w:sz w:val="16"/>
                <w:szCs w:val="16"/>
              </w:rPr>
            </w:pPr>
            <w:r w:rsidRPr="0012659D">
              <w:rPr>
                <w:rFonts w:ascii="Verdana" w:hAnsi="Verdana"/>
                <w:b/>
                <w:sz w:val="16"/>
                <w:szCs w:val="16"/>
              </w:rPr>
              <w:t xml:space="preserve">Homecare prescriptions - </w:t>
            </w:r>
          </w:p>
        </w:tc>
      </w:tr>
      <w:tr w:rsidR="00DE50AF" w:rsidRPr="0012659D" w:rsidTr="00662E65">
        <w:trPr>
          <w:cantSplit/>
          <w:trHeight w:val="1155"/>
        </w:trPr>
        <w:tc>
          <w:tcPr>
            <w:tcW w:w="9720" w:type="dxa"/>
            <w:gridSpan w:val="3"/>
          </w:tcPr>
          <w:p w:rsidR="00DE50AF" w:rsidRPr="0012659D" w:rsidRDefault="00DE50AF" w:rsidP="00662E65">
            <w:pPr>
              <w:spacing w:before="120"/>
              <w:rPr>
                <w:rFonts w:ascii="Arial" w:hAnsi="Arial" w:cs="Arial"/>
                <w:b/>
                <w:bCs/>
                <w:sz w:val="16"/>
                <w:szCs w:val="16"/>
              </w:rPr>
            </w:pPr>
            <w:r w:rsidRPr="0012659D">
              <w:rPr>
                <w:rFonts w:ascii="Arial" w:hAnsi="Arial" w:cs="Arial"/>
                <w:b/>
                <w:bCs/>
                <w:sz w:val="16"/>
                <w:szCs w:val="16"/>
              </w:rPr>
              <w:lastRenderedPageBreak/>
              <w:t>3. Strategic Fit  -</w:t>
            </w:r>
            <w:r w:rsidRPr="0012659D">
              <w:rPr>
                <w:rFonts w:ascii="Arial" w:hAnsi="Arial" w:cs="Arial"/>
                <w:sz w:val="16"/>
                <w:szCs w:val="16"/>
              </w:rPr>
              <w:t xml:space="preserve"> identify key relevant external and internal strategic drivers (e.g. NSF’s, IOG’s, care group priorities , KPI’s etc) and how the bid supports their delivery. How it fits in with departmental and corporate (e.g. IT) strategies</w:t>
            </w:r>
          </w:p>
          <w:p w:rsidR="00DE50AF" w:rsidRPr="0012659D" w:rsidRDefault="00DE50AF" w:rsidP="00DE50AF">
            <w:pPr>
              <w:numPr>
                <w:ilvl w:val="0"/>
                <w:numId w:val="8"/>
              </w:numPr>
              <w:spacing w:before="120" w:after="0" w:line="240" w:lineRule="auto"/>
              <w:rPr>
                <w:rFonts w:ascii="Verdana" w:hAnsi="Verdana" w:cs="Arial"/>
                <w:bCs/>
                <w:sz w:val="16"/>
                <w:szCs w:val="16"/>
              </w:rPr>
            </w:pPr>
            <w:r w:rsidRPr="0012659D">
              <w:rPr>
                <w:rFonts w:ascii="Verdana" w:hAnsi="Verdana" w:cs="Arial"/>
                <w:b/>
                <w:bCs/>
                <w:sz w:val="16"/>
                <w:szCs w:val="16"/>
              </w:rPr>
              <w:t>Financial benefits</w:t>
            </w:r>
            <w:r w:rsidRPr="0012659D">
              <w:rPr>
                <w:rFonts w:ascii="Verdana" w:hAnsi="Verdana" w:cs="Arial"/>
                <w:bCs/>
                <w:sz w:val="16"/>
                <w:szCs w:val="16"/>
              </w:rPr>
              <w:t xml:space="preserve"> –</w:t>
            </w:r>
          </w:p>
          <w:p w:rsidR="00DE50AF" w:rsidRPr="0012659D" w:rsidRDefault="00DE50AF" w:rsidP="00DE50AF">
            <w:pPr>
              <w:numPr>
                <w:ilvl w:val="0"/>
                <w:numId w:val="8"/>
              </w:numPr>
              <w:spacing w:before="120" w:after="0" w:line="240" w:lineRule="auto"/>
              <w:rPr>
                <w:rFonts w:ascii="Arial" w:hAnsi="Arial" w:cs="Arial"/>
                <w:sz w:val="16"/>
                <w:szCs w:val="16"/>
              </w:rPr>
            </w:pPr>
            <w:r w:rsidRPr="0012659D">
              <w:rPr>
                <w:rFonts w:ascii="Verdana" w:hAnsi="Verdana" w:cs="Arial"/>
                <w:b/>
                <w:bCs/>
                <w:sz w:val="16"/>
                <w:szCs w:val="16"/>
              </w:rPr>
              <w:t>Improve patient care</w:t>
            </w:r>
            <w:r w:rsidRPr="0012659D">
              <w:rPr>
                <w:rFonts w:ascii="Verdana" w:hAnsi="Verdana" w:cs="Arial"/>
                <w:bCs/>
                <w:sz w:val="16"/>
                <w:szCs w:val="16"/>
              </w:rPr>
              <w:t xml:space="preserve"> </w:t>
            </w:r>
          </w:p>
          <w:p w:rsidR="00DE50AF" w:rsidRPr="0012659D" w:rsidRDefault="00DE50AF" w:rsidP="00DE50AF">
            <w:pPr>
              <w:numPr>
                <w:ilvl w:val="0"/>
                <w:numId w:val="8"/>
              </w:numPr>
              <w:spacing w:before="120" w:after="0" w:line="240" w:lineRule="auto"/>
              <w:rPr>
                <w:rFonts w:ascii="Arial" w:hAnsi="Arial" w:cs="Arial"/>
                <w:sz w:val="16"/>
                <w:szCs w:val="16"/>
              </w:rPr>
            </w:pPr>
            <w:r w:rsidRPr="0012659D">
              <w:rPr>
                <w:rFonts w:ascii="Verdana" w:hAnsi="Verdana" w:cs="Arial"/>
                <w:b/>
                <w:bCs/>
                <w:sz w:val="16"/>
                <w:szCs w:val="16"/>
              </w:rPr>
              <w:t>Improve patient access</w:t>
            </w:r>
            <w:r w:rsidRPr="0012659D">
              <w:rPr>
                <w:rFonts w:ascii="Verdana" w:hAnsi="Verdana" w:cs="Arial"/>
                <w:bCs/>
                <w:sz w:val="16"/>
                <w:szCs w:val="16"/>
              </w:rPr>
              <w:t xml:space="preserve"> </w:t>
            </w:r>
          </w:p>
          <w:p w:rsidR="00DE50AF" w:rsidRPr="0012659D" w:rsidRDefault="00DE50AF" w:rsidP="00DE50AF">
            <w:pPr>
              <w:pStyle w:val="Header"/>
              <w:numPr>
                <w:ilvl w:val="0"/>
                <w:numId w:val="8"/>
              </w:numPr>
              <w:tabs>
                <w:tab w:val="clear" w:pos="4153"/>
                <w:tab w:val="clear" w:pos="8306"/>
              </w:tabs>
              <w:spacing w:before="120"/>
              <w:rPr>
                <w:rFonts w:ascii="Verdana" w:hAnsi="Verdana" w:cs="Arial"/>
                <w:b w:val="0"/>
                <w:sz w:val="16"/>
                <w:szCs w:val="16"/>
              </w:rPr>
            </w:pPr>
            <w:r w:rsidRPr="0012659D">
              <w:rPr>
                <w:rFonts w:ascii="Verdana" w:hAnsi="Verdana" w:cs="Arial"/>
                <w:sz w:val="16"/>
                <w:szCs w:val="16"/>
              </w:rPr>
              <w:t>Improve pharmacy services for IPs and discharge –</w:t>
            </w:r>
          </w:p>
          <w:p w:rsidR="00DE50AF" w:rsidRPr="0012659D" w:rsidRDefault="00DE50AF" w:rsidP="00DE50AF">
            <w:pPr>
              <w:pStyle w:val="Header"/>
              <w:numPr>
                <w:ilvl w:val="0"/>
                <w:numId w:val="8"/>
              </w:numPr>
              <w:tabs>
                <w:tab w:val="clear" w:pos="4153"/>
                <w:tab w:val="clear" w:pos="8306"/>
              </w:tabs>
              <w:spacing w:before="120"/>
              <w:rPr>
                <w:rFonts w:cs="Arial"/>
                <w:sz w:val="16"/>
                <w:szCs w:val="16"/>
              </w:rPr>
            </w:pPr>
            <w:r w:rsidRPr="0012659D">
              <w:rPr>
                <w:rFonts w:ascii="Verdana" w:hAnsi="Verdana" w:cs="Arial"/>
                <w:sz w:val="16"/>
                <w:szCs w:val="16"/>
              </w:rPr>
              <w:t>Staff benefits</w:t>
            </w:r>
            <w:r w:rsidRPr="0012659D">
              <w:rPr>
                <w:rFonts w:ascii="Verdana" w:hAnsi="Verdana" w:cs="Arial"/>
                <w:b w:val="0"/>
                <w:sz w:val="16"/>
                <w:szCs w:val="16"/>
              </w:rPr>
              <w:t xml:space="preserve"> –</w:t>
            </w:r>
          </w:p>
        </w:tc>
      </w:tr>
      <w:tr w:rsidR="00DE50AF" w:rsidRPr="0012659D" w:rsidTr="00662E65">
        <w:trPr>
          <w:cantSplit/>
          <w:trHeight w:val="945"/>
        </w:trPr>
        <w:tc>
          <w:tcPr>
            <w:tcW w:w="9720" w:type="dxa"/>
            <w:gridSpan w:val="3"/>
          </w:tcPr>
          <w:p w:rsidR="00DE50AF" w:rsidRPr="0012659D" w:rsidRDefault="00DE50AF" w:rsidP="00662E65">
            <w:pPr>
              <w:spacing w:before="120"/>
              <w:rPr>
                <w:rFonts w:ascii="Arial" w:hAnsi="Arial" w:cs="Arial"/>
                <w:b/>
                <w:bCs/>
                <w:sz w:val="16"/>
                <w:szCs w:val="16"/>
              </w:rPr>
            </w:pPr>
            <w:r w:rsidRPr="0012659D">
              <w:rPr>
                <w:rFonts w:ascii="Arial" w:hAnsi="Arial" w:cs="Arial"/>
                <w:b/>
                <w:bCs/>
                <w:sz w:val="16"/>
                <w:szCs w:val="16"/>
              </w:rPr>
              <w:t xml:space="preserve">4. Define objectives – </w:t>
            </w:r>
            <w:r w:rsidRPr="0012659D">
              <w:rPr>
                <w:rFonts w:ascii="Arial" w:hAnsi="Arial" w:cs="Arial"/>
                <w:sz w:val="16"/>
                <w:szCs w:val="16"/>
              </w:rPr>
              <w:t>identify the key objectives which the bid seeks to deliver, making these ‘SMART’ and include measurable out-comes e.g.</w:t>
            </w:r>
          </w:p>
          <w:p w:rsidR="00DE50AF" w:rsidRPr="0012659D" w:rsidRDefault="00DE50AF" w:rsidP="00DE50AF">
            <w:pPr>
              <w:numPr>
                <w:ilvl w:val="0"/>
                <w:numId w:val="3"/>
              </w:numPr>
              <w:spacing w:before="120" w:after="0" w:line="240" w:lineRule="auto"/>
              <w:rPr>
                <w:rFonts w:ascii="Verdana" w:hAnsi="Verdana" w:cs="Arial"/>
                <w:sz w:val="16"/>
                <w:szCs w:val="16"/>
              </w:rPr>
            </w:pPr>
            <w:r w:rsidRPr="0012659D">
              <w:rPr>
                <w:rFonts w:ascii="Verdana" w:hAnsi="Verdana" w:cs="Arial"/>
                <w:sz w:val="16"/>
                <w:szCs w:val="16"/>
              </w:rPr>
              <w:t xml:space="preserve">Save money for the NHS: </w:t>
            </w:r>
          </w:p>
          <w:p w:rsidR="00DE50AF" w:rsidRPr="0012659D" w:rsidRDefault="00DE50AF" w:rsidP="00DE50AF">
            <w:pPr>
              <w:numPr>
                <w:ilvl w:val="0"/>
                <w:numId w:val="3"/>
              </w:numPr>
              <w:spacing w:before="120" w:after="0" w:line="240" w:lineRule="auto"/>
              <w:rPr>
                <w:rFonts w:ascii="Verdana" w:hAnsi="Verdana" w:cs="Arial"/>
                <w:sz w:val="16"/>
                <w:szCs w:val="16"/>
              </w:rPr>
            </w:pPr>
            <w:r w:rsidRPr="0012659D">
              <w:rPr>
                <w:rFonts w:ascii="Verdana" w:hAnsi="Verdana" w:cs="Arial"/>
                <w:sz w:val="16"/>
                <w:szCs w:val="16"/>
              </w:rPr>
              <w:t>Save money for organisation</w:t>
            </w:r>
          </w:p>
          <w:p w:rsidR="00DE50AF" w:rsidRPr="0012659D" w:rsidRDefault="00DE50AF" w:rsidP="00DE50AF">
            <w:pPr>
              <w:numPr>
                <w:ilvl w:val="0"/>
                <w:numId w:val="3"/>
              </w:numPr>
              <w:spacing w:before="120" w:after="0" w:line="240" w:lineRule="auto"/>
              <w:rPr>
                <w:rFonts w:ascii="Verdana" w:hAnsi="Verdana" w:cs="Arial"/>
                <w:sz w:val="16"/>
                <w:szCs w:val="16"/>
              </w:rPr>
            </w:pPr>
            <w:r w:rsidRPr="0012659D">
              <w:rPr>
                <w:rFonts w:ascii="Verdana" w:hAnsi="Verdana" w:cs="Arial"/>
                <w:sz w:val="16"/>
                <w:szCs w:val="16"/>
              </w:rPr>
              <w:t xml:space="preserve">Improve outpatient dispensing waiting times: </w:t>
            </w:r>
          </w:p>
          <w:p w:rsidR="00DE50AF" w:rsidRPr="0012659D" w:rsidRDefault="00DE50AF" w:rsidP="00DE50AF">
            <w:pPr>
              <w:numPr>
                <w:ilvl w:val="0"/>
                <w:numId w:val="3"/>
              </w:numPr>
              <w:spacing w:before="120" w:after="0" w:line="240" w:lineRule="auto"/>
              <w:rPr>
                <w:rFonts w:ascii="Verdana" w:hAnsi="Verdana" w:cs="Arial"/>
                <w:sz w:val="16"/>
                <w:szCs w:val="16"/>
              </w:rPr>
            </w:pPr>
            <w:r w:rsidRPr="0012659D">
              <w:rPr>
                <w:rFonts w:ascii="Verdana" w:hAnsi="Verdana" w:cs="Arial"/>
                <w:sz w:val="16"/>
                <w:szCs w:val="16"/>
              </w:rPr>
              <w:t>Increase options by which outpatients obtain their medicines</w:t>
            </w:r>
          </w:p>
          <w:p w:rsidR="00DE50AF" w:rsidRPr="0012659D" w:rsidRDefault="00DE50AF" w:rsidP="00DE50AF">
            <w:pPr>
              <w:numPr>
                <w:ilvl w:val="0"/>
                <w:numId w:val="3"/>
              </w:numPr>
              <w:spacing w:before="120" w:after="0" w:line="240" w:lineRule="auto"/>
              <w:rPr>
                <w:rFonts w:ascii="Verdana" w:hAnsi="Verdana" w:cs="Arial"/>
                <w:sz w:val="16"/>
                <w:szCs w:val="16"/>
              </w:rPr>
            </w:pPr>
            <w:r w:rsidRPr="0012659D">
              <w:rPr>
                <w:rFonts w:ascii="Verdana" w:hAnsi="Verdana" w:cs="Arial"/>
                <w:sz w:val="16"/>
                <w:szCs w:val="16"/>
              </w:rPr>
              <w:t>Improve pharmacy services for inpatients and speedier discharges</w:t>
            </w:r>
          </w:p>
        </w:tc>
      </w:tr>
      <w:tr w:rsidR="00DE50AF" w:rsidRPr="0012659D" w:rsidTr="00662E65">
        <w:trPr>
          <w:cantSplit/>
          <w:trHeight w:val="758"/>
        </w:trPr>
        <w:tc>
          <w:tcPr>
            <w:tcW w:w="9720" w:type="dxa"/>
            <w:gridSpan w:val="3"/>
            <w:tcBorders>
              <w:bottom w:val="single" w:sz="4" w:space="0" w:color="auto"/>
            </w:tcBorders>
          </w:tcPr>
          <w:p w:rsidR="00DE50AF" w:rsidRPr="0012659D" w:rsidRDefault="00DE50AF" w:rsidP="00662E65">
            <w:pPr>
              <w:spacing w:before="120"/>
              <w:rPr>
                <w:rFonts w:ascii="Arial" w:hAnsi="Arial" w:cs="Arial"/>
                <w:b/>
                <w:bCs/>
                <w:sz w:val="16"/>
                <w:szCs w:val="16"/>
              </w:rPr>
            </w:pPr>
            <w:r w:rsidRPr="0012659D">
              <w:rPr>
                <w:rFonts w:ascii="Arial" w:hAnsi="Arial" w:cs="Arial"/>
                <w:b/>
                <w:bCs/>
                <w:sz w:val="16"/>
                <w:szCs w:val="16"/>
              </w:rPr>
              <w:t xml:space="preserve">5. Options – </w:t>
            </w:r>
            <w:r w:rsidRPr="0012659D">
              <w:rPr>
                <w:rFonts w:ascii="Arial" w:hAnsi="Arial" w:cs="Arial"/>
                <w:sz w:val="16"/>
                <w:szCs w:val="16"/>
              </w:rPr>
              <w:t>Identify a range of options for how the problem or opportunity can be addressed or capitalised briefly summarising each.</w:t>
            </w:r>
            <w:r w:rsidRPr="0012659D">
              <w:rPr>
                <w:rFonts w:ascii="Arial" w:hAnsi="Arial" w:cs="Arial"/>
                <w:b/>
                <w:bCs/>
                <w:sz w:val="16"/>
                <w:szCs w:val="16"/>
              </w:rPr>
              <w:t xml:space="preserve"> Include a do nothing option</w:t>
            </w:r>
          </w:p>
        </w:tc>
      </w:tr>
      <w:tr w:rsidR="00DE50AF" w:rsidRPr="0012659D" w:rsidTr="00662E65">
        <w:trPr>
          <w:cantSplit/>
          <w:trHeight w:val="1403"/>
        </w:trPr>
        <w:tc>
          <w:tcPr>
            <w:tcW w:w="9720" w:type="dxa"/>
            <w:gridSpan w:val="3"/>
          </w:tcPr>
          <w:p w:rsidR="00DE50AF" w:rsidRPr="0012659D" w:rsidRDefault="00DE50AF" w:rsidP="00DE50AF">
            <w:pPr>
              <w:pStyle w:val="Header"/>
              <w:numPr>
                <w:ilvl w:val="0"/>
                <w:numId w:val="3"/>
              </w:numPr>
              <w:tabs>
                <w:tab w:val="clear" w:pos="4153"/>
                <w:tab w:val="clear" w:pos="8306"/>
              </w:tabs>
              <w:spacing w:before="120"/>
              <w:rPr>
                <w:rFonts w:cs="Arial"/>
                <w:sz w:val="16"/>
                <w:szCs w:val="16"/>
              </w:rPr>
            </w:pPr>
            <w:r w:rsidRPr="0012659D">
              <w:rPr>
                <w:rFonts w:cs="Arial"/>
                <w:sz w:val="16"/>
                <w:szCs w:val="16"/>
              </w:rPr>
              <w:t xml:space="preserve">Non financial appraisal of options (including risk analysis) – </w:t>
            </w:r>
            <w:r w:rsidRPr="0012659D">
              <w:rPr>
                <w:rFonts w:cs="Arial"/>
                <w:b w:val="0"/>
                <w:bCs/>
                <w:sz w:val="16"/>
                <w:szCs w:val="16"/>
              </w:rPr>
              <w:t>identify the extent to which each option meets the objectives listed in section 4. Noting key risks associated with each.</w:t>
            </w:r>
            <w:r w:rsidRPr="0012659D">
              <w:rPr>
                <w:rFonts w:cs="Arial"/>
                <w:sz w:val="16"/>
                <w:szCs w:val="16"/>
              </w:rPr>
              <w:t xml:space="preserve"> </w:t>
            </w:r>
          </w:p>
          <w:p w:rsidR="00DE50AF" w:rsidRPr="0012659D" w:rsidRDefault="00DE50AF" w:rsidP="00662E65">
            <w:pPr>
              <w:pStyle w:val="Header"/>
              <w:tabs>
                <w:tab w:val="clear" w:pos="4153"/>
                <w:tab w:val="clear" w:pos="8306"/>
              </w:tabs>
              <w:spacing w:before="120"/>
              <w:ind w:left="36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72"/>
              <w:gridCol w:w="2372"/>
              <w:gridCol w:w="2373"/>
            </w:tblGrid>
            <w:tr w:rsidR="00DE50AF" w:rsidRPr="0012659D" w:rsidTr="00662E65">
              <w:tc>
                <w:tcPr>
                  <w:tcW w:w="2372" w:type="dxa"/>
                  <w:shd w:val="clear" w:color="auto" w:fill="auto"/>
                </w:tcPr>
                <w:p w:rsidR="00DE50AF" w:rsidRPr="0012659D" w:rsidRDefault="00DE50AF" w:rsidP="00662E65">
                  <w:pPr>
                    <w:pStyle w:val="Header"/>
                    <w:tabs>
                      <w:tab w:val="clear" w:pos="4153"/>
                      <w:tab w:val="clear" w:pos="8306"/>
                    </w:tabs>
                    <w:spacing w:before="120"/>
                    <w:rPr>
                      <w:rFonts w:ascii="Verdana" w:hAnsi="Verdana" w:cs="Arial"/>
                      <w:sz w:val="16"/>
                      <w:szCs w:val="16"/>
                    </w:rPr>
                  </w:pPr>
                </w:p>
                <w:p w:rsidR="00DE50AF" w:rsidRPr="0012659D" w:rsidRDefault="00DE50AF" w:rsidP="00662E65">
                  <w:pPr>
                    <w:pStyle w:val="Header"/>
                    <w:tabs>
                      <w:tab w:val="clear" w:pos="4153"/>
                      <w:tab w:val="clear" w:pos="8306"/>
                    </w:tabs>
                    <w:spacing w:before="120"/>
                    <w:rPr>
                      <w:rFonts w:ascii="Verdana" w:hAnsi="Verdana" w:cs="Arial"/>
                      <w:sz w:val="16"/>
                      <w:szCs w:val="16"/>
                    </w:rPr>
                  </w:pPr>
                </w:p>
                <w:p w:rsidR="00DE50AF" w:rsidRPr="0012659D" w:rsidRDefault="00DE50AF" w:rsidP="00662E65">
                  <w:pPr>
                    <w:pStyle w:val="Header"/>
                    <w:tabs>
                      <w:tab w:val="clear" w:pos="4153"/>
                      <w:tab w:val="clear" w:pos="8306"/>
                    </w:tabs>
                    <w:spacing w:before="120"/>
                    <w:rPr>
                      <w:rFonts w:ascii="Verdana" w:hAnsi="Verdana" w:cs="Arial"/>
                      <w:sz w:val="16"/>
                      <w:szCs w:val="16"/>
                    </w:rPr>
                  </w:pPr>
                </w:p>
                <w:p w:rsidR="00DE50AF" w:rsidRPr="0012659D" w:rsidRDefault="00DE50AF" w:rsidP="00662E65">
                  <w:pPr>
                    <w:pStyle w:val="Header"/>
                    <w:tabs>
                      <w:tab w:val="clear" w:pos="4153"/>
                      <w:tab w:val="clear" w:pos="8306"/>
                    </w:tabs>
                    <w:spacing w:before="120"/>
                    <w:rPr>
                      <w:rFonts w:ascii="Verdana" w:hAnsi="Verdana" w:cs="Arial"/>
                      <w:sz w:val="16"/>
                      <w:szCs w:val="16"/>
                    </w:rPr>
                  </w:pPr>
                  <w:r w:rsidRPr="0012659D">
                    <w:rPr>
                      <w:rFonts w:ascii="Verdana" w:hAnsi="Verdana" w:cs="Arial"/>
                      <w:sz w:val="16"/>
                      <w:szCs w:val="16"/>
                    </w:rPr>
                    <w:t>OBJECTIVES</w:t>
                  </w:r>
                </w:p>
              </w:tc>
              <w:tc>
                <w:tcPr>
                  <w:tcW w:w="2372" w:type="dxa"/>
                  <w:shd w:val="clear" w:color="auto" w:fill="auto"/>
                </w:tcPr>
                <w:p w:rsidR="00DE50AF" w:rsidRPr="0012659D" w:rsidRDefault="00DE50AF" w:rsidP="00662E65">
                  <w:pPr>
                    <w:spacing w:before="120"/>
                    <w:rPr>
                      <w:rFonts w:ascii="Verdana" w:hAnsi="Verdana" w:cs="Arial"/>
                      <w:b/>
                      <w:bCs/>
                      <w:sz w:val="16"/>
                      <w:szCs w:val="16"/>
                    </w:rPr>
                  </w:pPr>
                  <w:r w:rsidRPr="0012659D">
                    <w:rPr>
                      <w:rFonts w:ascii="Verdana" w:hAnsi="Verdana" w:cs="Arial"/>
                      <w:b/>
                      <w:bCs/>
                      <w:sz w:val="16"/>
                      <w:szCs w:val="16"/>
                    </w:rPr>
                    <w:t>Option 1</w:t>
                  </w:r>
                </w:p>
              </w:tc>
              <w:tc>
                <w:tcPr>
                  <w:tcW w:w="2372" w:type="dxa"/>
                  <w:shd w:val="clear" w:color="auto" w:fill="auto"/>
                </w:tcPr>
                <w:p w:rsidR="00DE50AF" w:rsidRPr="0012659D" w:rsidRDefault="00DE50AF" w:rsidP="00662E65">
                  <w:pPr>
                    <w:pStyle w:val="Header"/>
                    <w:tabs>
                      <w:tab w:val="clear" w:pos="4153"/>
                      <w:tab w:val="clear" w:pos="8306"/>
                    </w:tabs>
                    <w:spacing w:before="120"/>
                    <w:rPr>
                      <w:rFonts w:ascii="Verdana" w:hAnsi="Verdana" w:cs="Arial"/>
                      <w:sz w:val="16"/>
                      <w:szCs w:val="16"/>
                    </w:rPr>
                  </w:pPr>
                  <w:r w:rsidRPr="0012659D">
                    <w:rPr>
                      <w:rFonts w:ascii="Verdana" w:hAnsi="Verdana" w:cs="Arial"/>
                      <w:sz w:val="16"/>
                      <w:szCs w:val="16"/>
                    </w:rPr>
                    <w:t>Option 2</w:t>
                  </w:r>
                </w:p>
              </w:tc>
              <w:tc>
                <w:tcPr>
                  <w:tcW w:w="2373" w:type="dxa"/>
                  <w:shd w:val="clear" w:color="auto" w:fill="auto"/>
                </w:tcPr>
                <w:p w:rsidR="00DE50AF" w:rsidRPr="0012659D" w:rsidRDefault="00DE50AF" w:rsidP="00662E65">
                  <w:pPr>
                    <w:pStyle w:val="Header"/>
                    <w:tabs>
                      <w:tab w:val="clear" w:pos="4153"/>
                      <w:tab w:val="clear" w:pos="8306"/>
                    </w:tabs>
                    <w:spacing w:before="120"/>
                    <w:rPr>
                      <w:rFonts w:ascii="Verdana" w:hAnsi="Verdana" w:cs="Arial"/>
                      <w:sz w:val="16"/>
                      <w:szCs w:val="16"/>
                    </w:rPr>
                  </w:pPr>
                  <w:r w:rsidRPr="0012659D">
                    <w:rPr>
                      <w:rFonts w:ascii="Verdana" w:hAnsi="Verdana" w:cs="Arial"/>
                      <w:sz w:val="16"/>
                      <w:szCs w:val="16"/>
                    </w:rPr>
                    <w:t>Option 3</w:t>
                  </w:r>
                </w:p>
              </w:tc>
            </w:tr>
            <w:tr w:rsidR="00DE50AF" w:rsidRPr="0012659D" w:rsidTr="00662E65">
              <w:tc>
                <w:tcPr>
                  <w:tcW w:w="2372" w:type="dxa"/>
                  <w:shd w:val="clear" w:color="auto" w:fill="auto"/>
                </w:tcPr>
                <w:p w:rsidR="00DE50AF" w:rsidRPr="0012659D" w:rsidRDefault="00DE50AF" w:rsidP="00662E65">
                  <w:pPr>
                    <w:pStyle w:val="Header"/>
                    <w:tabs>
                      <w:tab w:val="clear" w:pos="4153"/>
                      <w:tab w:val="clear" w:pos="8306"/>
                    </w:tabs>
                    <w:spacing w:before="120"/>
                    <w:rPr>
                      <w:rFonts w:ascii="Verdana" w:hAnsi="Verdana" w:cs="Arial"/>
                      <w:b w:val="0"/>
                      <w:sz w:val="16"/>
                      <w:szCs w:val="16"/>
                    </w:rPr>
                  </w:pPr>
                  <w:r w:rsidRPr="0012659D">
                    <w:rPr>
                      <w:rFonts w:ascii="Verdana" w:hAnsi="Verdana" w:cs="Arial"/>
                      <w:b w:val="0"/>
                      <w:sz w:val="16"/>
                      <w:szCs w:val="16"/>
                    </w:rPr>
                    <w:t>1. Save money for the NHS</w:t>
                  </w: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3"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r>
            <w:tr w:rsidR="00DE50AF" w:rsidRPr="0012659D" w:rsidTr="00662E65">
              <w:tc>
                <w:tcPr>
                  <w:tcW w:w="2372" w:type="dxa"/>
                  <w:shd w:val="clear" w:color="auto" w:fill="auto"/>
                </w:tcPr>
                <w:p w:rsidR="00DE50AF" w:rsidRPr="0012659D" w:rsidRDefault="00DE50AF" w:rsidP="00662E65">
                  <w:pPr>
                    <w:pStyle w:val="Header"/>
                    <w:tabs>
                      <w:tab w:val="clear" w:pos="4153"/>
                      <w:tab w:val="clear" w:pos="8306"/>
                    </w:tabs>
                    <w:spacing w:before="120"/>
                    <w:rPr>
                      <w:rFonts w:ascii="Verdana" w:hAnsi="Verdana" w:cs="Arial"/>
                      <w:b w:val="0"/>
                      <w:sz w:val="16"/>
                      <w:szCs w:val="16"/>
                    </w:rPr>
                  </w:pPr>
                  <w:r w:rsidRPr="0012659D">
                    <w:rPr>
                      <w:rFonts w:ascii="Verdana" w:hAnsi="Verdana" w:cs="Arial"/>
                      <w:b w:val="0"/>
                      <w:sz w:val="16"/>
                      <w:szCs w:val="16"/>
                    </w:rPr>
                    <w:t>2. Save money for organisation</w:t>
                  </w: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3"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r>
            <w:tr w:rsidR="00DE50AF" w:rsidRPr="0012659D" w:rsidTr="00662E65">
              <w:tc>
                <w:tcPr>
                  <w:tcW w:w="2372" w:type="dxa"/>
                  <w:shd w:val="clear" w:color="auto" w:fill="auto"/>
                </w:tcPr>
                <w:p w:rsidR="00DE50AF" w:rsidRPr="0012659D" w:rsidRDefault="00DE50AF" w:rsidP="00662E65">
                  <w:pPr>
                    <w:pStyle w:val="Header"/>
                    <w:tabs>
                      <w:tab w:val="clear" w:pos="4153"/>
                      <w:tab w:val="clear" w:pos="8306"/>
                    </w:tabs>
                    <w:spacing w:before="120"/>
                    <w:rPr>
                      <w:rFonts w:ascii="Verdana" w:hAnsi="Verdana" w:cs="Arial"/>
                      <w:b w:val="0"/>
                      <w:sz w:val="16"/>
                      <w:szCs w:val="16"/>
                    </w:rPr>
                  </w:pPr>
                  <w:r w:rsidRPr="0012659D">
                    <w:rPr>
                      <w:rFonts w:ascii="Verdana" w:hAnsi="Verdana" w:cs="Arial"/>
                      <w:b w:val="0"/>
                      <w:sz w:val="16"/>
                      <w:szCs w:val="16"/>
                    </w:rPr>
                    <w:t>3. Improve outpatient dispensing waiting times</w:t>
                  </w: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3"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r>
            <w:tr w:rsidR="00DE50AF" w:rsidRPr="0012659D" w:rsidTr="00662E65">
              <w:tc>
                <w:tcPr>
                  <w:tcW w:w="2372" w:type="dxa"/>
                  <w:shd w:val="clear" w:color="auto" w:fill="auto"/>
                </w:tcPr>
                <w:p w:rsidR="00DE50AF" w:rsidRPr="0012659D" w:rsidRDefault="00DE50AF" w:rsidP="00662E65">
                  <w:pPr>
                    <w:spacing w:before="120"/>
                    <w:rPr>
                      <w:rFonts w:ascii="Verdana" w:hAnsi="Verdana" w:cs="Arial"/>
                      <w:sz w:val="16"/>
                      <w:szCs w:val="16"/>
                    </w:rPr>
                  </w:pPr>
                  <w:r w:rsidRPr="0012659D">
                    <w:rPr>
                      <w:rFonts w:ascii="Verdana" w:hAnsi="Verdana"/>
                      <w:sz w:val="16"/>
                      <w:szCs w:val="16"/>
                    </w:rPr>
                    <w:t>4. Increase options by which outpatients obtain their medicines</w:t>
                  </w: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3"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r>
            <w:tr w:rsidR="00DE50AF" w:rsidRPr="0012659D" w:rsidTr="00662E65">
              <w:tc>
                <w:tcPr>
                  <w:tcW w:w="2372" w:type="dxa"/>
                  <w:shd w:val="clear" w:color="auto" w:fill="auto"/>
                </w:tcPr>
                <w:p w:rsidR="00DE50AF" w:rsidRPr="0012659D" w:rsidRDefault="00DE50AF" w:rsidP="00662E65">
                  <w:pPr>
                    <w:spacing w:before="120"/>
                    <w:rPr>
                      <w:rFonts w:ascii="Verdana" w:hAnsi="Verdana" w:cs="Arial"/>
                      <w:sz w:val="16"/>
                      <w:szCs w:val="16"/>
                    </w:rPr>
                  </w:pPr>
                  <w:r w:rsidRPr="0012659D">
                    <w:rPr>
                      <w:rFonts w:ascii="Verdana" w:hAnsi="Verdana"/>
                      <w:sz w:val="16"/>
                      <w:szCs w:val="16"/>
                    </w:rPr>
                    <w:t>5. Improve pharmacy services for inpatients and discharge</w:t>
                  </w: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2"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c>
                <w:tcPr>
                  <w:tcW w:w="2373" w:type="dxa"/>
                  <w:shd w:val="clear" w:color="auto" w:fill="auto"/>
                </w:tcPr>
                <w:p w:rsidR="00DE50AF" w:rsidRPr="0012659D" w:rsidRDefault="00DE50AF" w:rsidP="00662E65">
                  <w:pPr>
                    <w:pStyle w:val="Header"/>
                    <w:tabs>
                      <w:tab w:val="clear" w:pos="4153"/>
                      <w:tab w:val="clear" w:pos="8306"/>
                    </w:tabs>
                    <w:spacing w:before="120"/>
                    <w:jc w:val="center"/>
                    <w:rPr>
                      <w:rFonts w:ascii="Verdana" w:hAnsi="Verdana" w:cs="Arial"/>
                      <w:b w:val="0"/>
                      <w:sz w:val="16"/>
                      <w:szCs w:val="16"/>
                    </w:rPr>
                  </w:pPr>
                </w:p>
              </w:tc>
            </w:tr>
          </w:tbl>
          <w:p w:rsidR="00DE50AF" w:rsidRPr="0012659D" w:rsidRDefault="00DE50AF" w:rsidP="00662E65">
            <w:pPr>
              <w:pStyle w:val="Header"/>
              <w:tabs>
                <w:tab w:val="clear" w:pos="4153"/>
                <w:tab w:val="clear" w:pos="8306"/>
              </w:tabs>
              <w:spacing w:before="120"/>
              <w:rPr>
                <w:rFonts w:ascii="Verdana" w:hAnsi="Verdana" w:cs="Arial"/>
                <w:b w:val="0"/>
                <w:sz w:val="16"/>
                <w:szCs w:val="16"/>
              </w:rPr>
            </w:pPr>
          </w:p>
          <w:p w:rsidR="00DE50AF" w:rsidRPr="0012659D" w:rsidRDefault="00DE50AF" w:rsidP="00662E65">
            <w:pPr>
              <w:pStyle w:val="Header"/>
              <w:tabs>
                <w:tab w:val="clear" w:pos="4153"/>
                <w:tab w:val="clear" w:pos="8306"/>
              </w:tabs>
              <w:spacing w:before="120"/>
              <w:rPr>
                <w:rFonts w:cs="Arial"/>
                <w:sz w:val="16"/>
                <w:szCs w:val="16"/>
              </w:rPr>
            </w:pPr>
          </w:p>
        </w:tc>
      </w:tr>
      <w:tr w:rsidR="00DE50AF" w:rsidRPr="0012659D" w:rsidTr="00662E65">
        <w:trPr>
          <w:cantSplit/>
          <w:trHeight w:val="6653"/>
        </w:trPr>
        <w:tc>
          <w:tcPr>
            <w:tcW w:w="9720" w:type="dxa"/>
            <w:gridSpan w:val="3"/>
          </w:tcPr>
          <w:p w:rsidR="00DE50AF" w:rsidRPr="0012659D" w:rsidRDefault="00DE50AF" w:rsidP="00662E65">
            <w:pPr>
              <w:spacing w:before="120"/>
              <w:rPr>
                <w:rFonts w:ascii="Arial" w:hAnsi="Arial" w:cs="Arial"/>
                <w:sz w:val="16"/>
                <w:szCs w:val="16"/>
              </w:rPr>
            </w:pPr>
            <w:r w:rsidRPr="0012659D">
              <w:rPr>
                <w:rFonts w:ascii="Arial" w:hAnsi="Arial" w:cs="Arial"/>
                <w:b/>
                <w:bCs/>
                <w:sz w:val="16"/>
                <w:szCs w:val="16"/>
              </w:rPr>
              <w:lastRenderedPageBreak/>
              <w:t xml:space="preserve">7.  Financial appraisal of options – </w:t>
            </w:r>
            <w:r w:rsidRPr="0012659D">
              <w:rPr>
                <w:rFonts w:ascii="Arial" w:hAnsi="Arial" w:cs="Arial"/>
                <w:sz w:val="16"/>
                <w:szCs w:val="16"/>
              </w:rPr>
              <w:t>Identify and quantify revenue and capital costs for each option, taking into account costs that may be incurred within other departments, e.g. IT Appraisals for Option 1, 2 etc as identified in section 5 and 6</w:t>
            </w:r>
          </w:p>
          <w:p w:rsidR="00DE50AF" w:rsidRPr="0012659D" w:rsidRDefault="00DE50AF" w:rsidP="00662E65">
            <w:pPr>
              <w:spacing w:before="120"/>
              <w:rPr>
                <w:rFonts w:ascii="Arial" w:hAnsi="Arial" w:cs="Arial"/>
                <w:sz w:val="16"/>
                <w:szCs w:val="16"/>
              </w:rPr>
            </w:pPr>
            <w:r w:rsidRPr="0012659D">
              <w:rPr>
                <w:rFonts w:ascii="Verdana" w:hAnsi="Verdana" w:cs="Arial"/>
                <w:b/>
                <w:bCs/>
                <w:sz w:val="16"/>
                <w:szCs w:val="16"/>
              </w:rPr>
              <w:t>Explanation of financial factors</w:t>
            </w:r>
          </w:p>
          <w:p w:rsidR="00DE50AF" w:rsidRPr="0012659D" w:rsidRDefault="00DE50AF" w:rsidP="00662E65">
            <w:pPr>
              <w:spacing w:before="120"/>
              <w:rPr>
                <w:rFonts w:ascii="Verdana" w:hAnsi="Verdana" w:cs="Arial"/>
                <w:b/>
                <w:bCs/>
                <w:sz w:val="16"/>
                <w:szCs w:val="16"/>
              </w:rPr>
            </w:pPr>
            <w:r w:rsidRPr="0012659D">
              <w:rPr>
                <w:rFonts w:ascii="Verdana" w:hAnsi="Verdana" w:cs="Arial"/>
                <w:b/>
                <w:bCs/>
                <w:sz w:val="16"/>
                <w:szCs w:val="16"/>
              </w:rPr>
              <w:t>7.1 Income/ Savings</w:t>
            </w:r>
          </w:p>
          <w:p w:rsidR="00DE50AF" w:rsidRPr="002264FC" w:rsidRDefault="00DE50AF" w:rsidP="00DE50AF">
            <w:pPr>
              <w:numPr>
                <w:ilvl w:val="0"/>
                <w:numId w:val="5"/>
              </w:numPr>
              <w:spacing w:before="120" w:after="0" w:line="240" w:lineRule="auto"/>
              <w:rPr>
                <w:rFonts w:ascii="Verdana" w:hAnsi="Verdana" w:cs="Arial"/>
                <w:bCs/>
                <w:sz w:val="16"/>
                <w:szCs w:val="16"/>
              </w:rPr>
            </w:pPr>
            <w:r w:rsidRPr="002264FC">
              <w:rPr>
                <w:rFonts w:ascii="Verdana" w:hAnsi="Verdana" w:cs="Arial"/>
                <w:bCs/>
                <w:sz w:val="16"/>
                <w:szCs w:val="16"/>
              </w:rPr>
              <w:t>VAT savings –</w:t>
            </w:r>
          </w:p>
          <w:p w:rsidR="00DE50AF" w:rsidRPr="002264FC" w:rsidRDefault="00DE50AF" w:rsidP="00DE50AF">
            <w:pPr>
              <w:numPr>
                <w:ilvl w:val="0"/>
                <w:numId w:val="5"/>
              </w:numPr>
              <w:spacing w:before="120" w:after="0" w:line="240" w:lineRule="auto"/>
              <w:rPr>
                <w:rFonts w:ascii="Verdana" w:hAnsi="Verdana" w:cs="Arial"/>
                <w:bCs/>
                <w:sz w:val="16"/>
                <w:szCs w:val="16"/>
              </w:rPr>
            </w:pPr>
            <w:r w:rsidRPr="002264FC">
              <w:rPr>
                <w:rFonts w:ascii="Verdana" w:hAnsi="Verdana" w:cs="Arial"/>
                <w:bCs/>
                <w:sz w:val="16"/>
                <w:szCs w:val="16"/>
              </w:rPr>
              <w:t xml:space="preserve">Staff savings </w:t>
            </w:r>
          </w:p>
          <w:p w:rsidR="00DE50AF" w:rsidRPr="002264FC" w:rsidRDefault="00DE50AF" w:rsidP="00DE50AF">
            <w:pPr>
              <w:numPr>
                <w:ilvl w:val="0"/>
                <w:numId w:val="5"/>
              </w:numPr>
              <w:spacing w:before="120" w:after="0" w:line="240" w:lineRule="auto"/>
              <w:rPr>
                <w:rFonts w:ascii="Verdana" w:hAnsi="Verdana" w:cs="Arial"/>
                <w:bCs/>
                <w:sz w:val="16"/>
                <w:szCs w:val="16"/>
              </w:rPr>
            </w:pPr>
            <w:r w:rsidRPr="002264FC">
              <w:rPr>
                <w:rFonts w:ascii="Verdana" w:hAnsi="Verdana" w:cs="Arial"/>
                <w:bCs/>
                <w:sz w:val="16"/>
                <w:szCs w:val="16"/>
              </w:rPr>
              <w:t xml:space="preserve">Rental charges </w:t>
            </w:r>
          </w:p>
          <w:p w:rsidR="00DE50AF" w:rsidRPr="002264FC" w:rsidRDefault="00DE50AF" w:rsidP="00DE50AF">
            <w:pPr>
              <w:numPr>
                <w:ilvl w:val="0"/>
                <w:numId w:val="5"/>
              </w:numPr>
              <w:spacing w:before="120" w:after="0" w:line="240" w:lineRule="auto"/>
              <w:rPr>
                <w:rFonts w:ascii="Verdana" w:hAnsi="Verdana" w:cs="Arial"/>
                <w:bCs/>
                <w:sz w:val="16"/>
                <w:szCs w:val="16"/>
              </w:rPr>
            </w:pPr>
            <w:r w:rsidRPr="002264FC">
              <w:rPr>
                <w:rFonts w:ascii="Verdana" w:hAnsi="Verdana" w:cs="Arial"/>
                <w:bCs/>
                <w:sz w:val="16"/>
                <w:szCs w:val="16"/>
              </w:rPr>
              <w:t xml:space="preserve">% Retail Turnover </w:t>
            </w:r>
          </w:p>
          <w:p w:rsidR="00DE50AF" w:rsidRPr="0012659D" w:rsidRDefault="00DE50AF" w:rsidP="00662E65">
            <w:pPr>
              <w:spacing w:before="120"/>
              <w:rPr>
                <w:rFonts w:ascii="Verdana" w:hAnsi="Verdana" w:cs="Arial"/>
                <w:b/>
                <w:bCs/>
                <w:sz w:val="16"/>
                <w:szCs w:val="16"/>
              </w:rPr>
            </w:pPr>
            <w:r w:rsidRPr="0012659D">
              <w:rPr>
                <w:rFonts w:ascii="Verdana" w:hAnsi="Verdana" w:cs="Arial"/>
                <w:b/>
                <w:bCs/>
                <w:sz w:val="16"/>
                <w:szCs w:val="16"/>
              </w:rPr>
              <w:t>7.2 Costs / Expenditure</w:t>
            </w:r>
          </w:p>
          <w:p w:rsidR="00DE50AF" w:rsidRPr="002264FC" w:rsidRDefault="00DE50AF" w:rsidP="00DE50AF">
            <w:pPr>
              <w:numPr>
                <w:ilvl w:val="0"/>
                <w:numId w:val="6"/>
              </w:numPr>
              <w:spacing w:before="120" w:after="0" w:line="240" w:lineRule="auto"/>
              <w:rPr>
                <w:rFonts w:ascii="Verdana" w:hAnsi="Verdana" w:cs="Arial"/>
                <w:bCs/>
                <w:sz w:val="16"/>
                <w:szCs w:val="16"/>
              </w:rPr>
            </w:pPr>
            <w:r w:rsidRPr="002264FC">
              <w:rPr>
                <w:rFonts w:ascii="Verdana" w:hAnsi="Verdana" w:cs="Arial"/>
                <w:bCs/>
                <w:sz w:val="16"/>
                <w:szCs w:val="16"/>
              </w:rPr>
              <w:t xml:space="preserve">Service costs </w:t>
            </w:r>
          </w:p>
          <w:p w:rsidR="00DE50AF" w:rsidRPr="002264FC" w:rsidRDefault="00DE50AF" w:rsidP="00DE50AF">
            <w:pPr>
              <w:numPr>
                <w:ilvl w:val="0"/>
                <w:numId w:val="6"/>
              </w:numPr>
              <w:spacing w:after="0" w:line="240" w:lineRule="auto"/>
              <w:rPr>
                <w:rFonts w:ascii="Verdana" w:hAnsi="Verdana" w:cs="Arial"/>
                <w:sz w:val="16"/>
                <w:szCs w:val="16"/>
              </w:rPr>
            </w:pPr>
            <w:r w:rsidRPr="002264FC">
              <w:rPr>
                <w:rFonts w:ascii="Verdana" w:hAnsi="Verdana" w:cs="Arial"/>
                <w:sz w:val="16"/>
                <w:szCs w:val="16"/>
              </w:rPr>
              <w:t xml:space="preserve">Staff – monitoring &amp; administration of </w:t>
            </w:r>
          </w:p>
          <w:p w:rsidR="00DE50AF" w:rsidRPr="002264FC" w:rsidRDefault="00DE50AF" w:rsidP="00DE50AF">
            <w:pPr>
              <w:numPr>
                <w:ilvl w:val="0"/>
                <w:numId w:val="6"/>
              </w:numPr>
              <w:spacing w:before="120" w:after="0" w:line="240" w:lineRule="auto"/>
              <w:rPr>
                <w:rFonts w:ascii="Verdana" w:hAnsi="Verdana" w:cs="Arial"/>
                <w:bCs/>
                <w:sz w:val="16"/>
                <w:szCs w:val="16"/>
              </w:rPr>
            </w:pPr>
            <w:r w:rsidRPr="002264FC">
              <w:rPr>
                <w:rFonts w:ascii="Verdana" w:hAnsi="Verdana" w:cs="Arial"/>
                <w:bCs/>
                <w:sz w:val="16"/>
                <w:szCs w:val="16"/>
              </w:rPr>
              <w:t xml:space="preserve">Project Management </w:t>
            </w:r>
          </w:p>
          <w:p w:rsidR="00DE50AF" w:rsidRPr="002264FC" w:rsidRDefault="00DE50AF" w:rsidP="00DE50AF">
            <w:pPr>
              <w:numPr>
                <w:ilvl w:val="0"/>
                <w:numId w:val="6"/>
              </w:numPr>
              <w:spacing w:before="120" w:after="0" w:line="240" w:lineRule="auto"/>
              <w:rPr>
                <w:rFonts w:ascii="Verdana" w:hAnsi="Verdana" w:cs="Arial"/>
                <w:bCs/>
                <w:sz w:val="16"/>
                <w:szCs w:val="16"/>
              </w:rPr>
            </w:pPr>
            <w:r w:rsidRPr="002264FC">
              <w:rPr>
                <w:rFonts w:ascii="Verdana" w:hAnsi="Verdana" w:cs="Arial"/>
                <w:sz w:val="16"/>
                <w:szCs w:val="16"/>
              </w:rPr>
              <w:t xml:space="preserve">Building works </w:t>
            </w:r>
          </w:p>
          <w:p w:rsidR="00DE50AF" w:rsidRPr="002264FC" w:rsidRDefault="00DE50AF" w:rsidP="00DE50AF">
            <w:pPr>
              <w:numPr>
                <w:ilvl w:val="0"/>
                <w:numId w:val="6"/>
              </w:numPr>
              <w:spacing w:before="120" w:after="0" w:line="240" w:lineRule="auto"/>
              <w:rPr>
                <w:rFonts w:ascii="Verdana" w:hAnsi="Verdana" w:cs="Arial"/>
                <w:bCs/>
                <w:sz w:val="16"/>
                <w:szCs w:val="16"/>
              </w:rPr>
            </w:pPr>
            <w:r w:rsidRPr="002264FC">
              <w:rPr>
                <w:rFonts w:ascii="Verdana" w:hAnsi="Verdana" w:cs="Arial"/>
                <w:sz w:val="16"/>
                <w:szCs w:val="16"/>
              </w:rPr>
              <w:t xml:space="preserve">IT </w:t>
            </w:r>
            <w:r>
              <w:rPr>
                <w:rFonts w:ascii="Verdana" w:hAnsi="Verdana" w:cs="Arial"/>
                <w:sz w:val="16"/>
                <w:szCs w:val="16"/>
              </w:rPr>
              <w:t>costs</w:t>
            </w:r>
            <w:r w:rsidRPr="002264FC">
              <w:rPr>
                <w:rFonts w:ascii="Verdana" w:hAnsi="Verdana" w:cs="Arial"/>
                <w:sz w:val="16"/>
                <w:szCs w:val="16"/>
              </w:rPr>
              <w:t>(NB these can be considerable).</w:t>
            </w:r>
          </w:p>
          <w:p w:rsidR="00DE50AF" w:rsidRPr="002264FC" w:rsidRDefault="00DE50AF" w:rsidP="00DE50AF">
            <w:pPr>
              <w:numPr>
                <w:ilvl w:val="0"/>
                <w:numId w:val="6"/>
              </w:numPr>
              <w:spacing w:before="120" w:after="0" w:line="240" w:lineRule="auto"/>
              <w:rPr>
                <w:rFonts w:ascii="Verdana" w:hAnsi="Verdana" w:cs="Arial"/>
                <w:bCs/>
                <w:sz w:val="16"/>
                <w:szCs w:val="16"/>
              </w:rPr>
            </w:pPr>
            <w:r>
              <w:rPr>
                <w:rFonts w:ascii="Verdana" w:hAnsi="Verdana" w:cs="Arial"/>
                <w:sz w:val="16"/>
                <w:szCs w:val="16"/>
              </w:rPr>
              <w:t>Infrastructure costs</w:t>
            </w:r>
          </w:p>
          <w:p w:rsidR="00DE50AF" w:rsidRPr="002264FC" w:rsidRDefault="00DE50AF" w:rsidP="00DE50AF">
            <w:pPr>
              <w:numPr>
                <w:ilvl w:val="0"/>
                <w:numId w:val="6"/>
              </w:numPr>
              <w:spacing w:before="120" w:after="0" w:line="240" w:lineRule="auto"/>
              <w:rPr>
                <w:rFonts w:ascii="Verdana" w:hAnsi="Verdana" w:cs="Arial"/>
                <w:bCs/>
                <w:sz w:val="16"/>
                <w:szCs w:val="16"/>
              </w:rPr>
            </w:pPr>
            <w:r>
              <w:rPr>
                <w:rFonts w:ascii="Verdana" w:hAnsi="Verdana" w:cs="Arial"/>
                <w:sz w:val="16"/>
                <w:szCs w:val="16"/>
              </w:rPr>
              <w:t>Ongoing costs due to changes in maintenance contracts.</w:t>
            </w:r>
          </w:p>
          <w:p w:rsidR="00DE50AF" w:rsidRPr="0012659D" w:rsidRDefault="00DE50AF" w:rsidP="00662E65">
            <w:pPr>
              <w:spacing w:before="120"/>
              <w:rPr>
                <w:rFonts w:ascii="Verdana" w:hAnsi="Verdana" w:cs="Arial"/>
                <w:b/>
                <w:bCs/>
                <w:sz w:val="16"/>
                <w:szCs w:val="16"/>
              </w:rPr>
            </w:pPr>
            <w:r w:rsidRPr="0012659D">
              <w:rPr>
                <w:rFonts w:ascii="Verdana" w:hAnsi="Verdana" w:cs="Arial"/>
                <w:b/>
                <w:bCs/>
                <w:sz w:val="16"/>
                <w:szCs w:val="16"/>
              </w:rPr>
              <w:t xml:space="preserve">7.3 </w:t>
            </w:r>
            <w:r>
              <w:rPr>
                <w:rFonts w:ascii="Verdana" w:hAnsi="Verdana" w:cs="Arial"/>
                <w:b/>
                <w:bCs/>
                <w:sz w:val="16"/>
                <w:szCs w:val="16"/>
              </w:rPr>
              <w:t>Savings to NHS</w:t>
            </w:r>
          </w:p>
          <w:p w:rsidR="00DE50AF" w:rsidRPr="0012659D" w:rsidRDefault="00DE50AF" w:rsidP="00662E65">
            <w:pPr>
              <w:spacing w:before="120"/>
              <w:rPr>
                <w:rFonts w:ascii="Verdana" w:hAnsi="Verdana" w:cs="Arial"/>
                <w:b/>
                <w:bCs/>
                <w:sz w:val="16"/>
                <w:szCs w:val="16"/>
              </w:rPr>
            </w:pPr>
            <w:r w:rsidRPr="0012659D">
              <w:rPr>
                <w:rFonts w:ascii="Verdana" w:hAnsi="Verdana" w:cs="Arial"/>
                <w:b/>
                <w:bCs/>
                <w:sz w:val="16"/>
                <w:szCs w:val="16"/>
              </w:rPr>
              <w:t xml:space="preserve">7.4 Savings </w:t>
            </w:r>
            <w:r>
              <w:rPr>
                <w:rFonts w:ascii="Verdana" w:hAnsi="Verdana" w:cs="Arial"/>
                <w:b/>
                <w:bCs/>
                <w:sz w:val="16"/>
                <w:szCs w:val="16"/>
              </w:rPr>
              <w:t>to organisation</w:t>
            </w:r>
          </w:p>
          <w:p w:rsidR="00DE50AF" w:rsidRPr="0012659D" w:rsidRDefault="00DE50AF" w:rsidP="00662E65">
            <w:pPr>
              <w:spacing w:before="120"/>
              <w:rPr>
                <w:rFonts w:ascii="Verdana" w:hAnsi="Verdana" w:cs="Arial"/>
                <w:b/>
                <w:bCs/>
                <w:sz w:val="16"/>
                <w:szCs w:val="16"/>
              </w:rPr>
            </w:pPr>
            <w:r w:rsidRPr="0012659D">
              <w:rPr>
                <w:rFonts w:ascii="Verdana" w:hAnsi="Verdana" w:cs="Arial"/>
                <w:b/>
                <w:bCs/>
                <w:sz w:val="16"/>
                <w:szCs w:val="16"/>
              </w:rPr>
              <w:t>7.5 Other financial factors considered</w:t>
            </w:r>
          </w:p>
          <w:p w:rsidR="00DE50AF" w:rsidRPr="002264FC" w:rsidRDefault="00DE50AF" w:rsidP="00DE50AF">
            <w:pPr>
              <w:numPr>
                <w:ilvl w:val="0"/>
                <w:numId w:val="7"/>
              </w:numPr>
              <w:spacing w:before="120" w:after="0" w:line="240" w:lineRule="auto"/>
              <w:rPr>
                <w:rFonts w:ascii="Verdana" w:hAnsi="Verdana" w:cs="Arial"/>
                <w:bCs/>
                <w:sz w:val="16"/>
                <w:szCs w:val="16"/>
              </w:rPr>
            </w:pPr>
            <w:r w:rsidRPr="002264FC">
              <w:rPr>
                <w:rFonts w:ascii="Verdana" w:hAnsi="Verdana" w:cs="Arial"/>
                <w:bCs/>
                <w:sz w:val="16"/>
                <w:szCs w:val="16"/>
              </w:rPr>
              <w:t>TUPE/Redundancy costs –</w:t>
            </w:r>
          </w:p>
          <w:p w:rsidR="00DE50AF" w:rsidRPr="002264FC" w:rsidRDefault="00DE50AF" w:rsidP="00DE50AF">
            <w:pPr>
              <w:numPr>
                <w:ilvl w:val="0"/>
                <w:numId w:val="7"/>
              </w:numPr>
              <w:spacing w:before="120" w:after="0" w:line="240" w:lineRule="auto"/>
              <w:rPr>
                <w:rFonts w:ascii="Verdana" w:hAnsi="Verdana" w:cs="Arial"/>
                <w:bCs/>
                <w:sz w:val="16"/>
                <w:szCs w:val="16"/>
              </w:rPr>
            </w:pPr>
            <w:r w:rsidRPr="002264FC">
              <w:rPr>
                <w:rFonts w:ascii="Verdana" w:hAnsi="Verdana" w:cs="Arial"/>
                <w:bCs/>
                <w:sz w:val="16"/>
                <w:szCs w:val="16"/>
              </w:rPr>
              <w:t xml:space="preserve">Prescription charge income </w:t>
            </w:r>
          </w:p>
          <w:p w:rsidR="00DE50AF" w:rsidRPr="002264FC" w:rsidRDefault="00DE50AF" w:rsidP="00DE50AF">
            <w:pPr>
              <w:numPr>
                <w:ilvl w:val="0"/>
                <w:numId w:val="7"/>
              </w:numPr>
              <w:spacing w:before="120" w:after="0" w:line="240" w:lineRule="auto"/>
              <w:rPr>
                <w:rFonts w:ascii="Verdana" w:hAnsi="Verdana" w:cs="Arial"/>
                <w:sz w:val="16"/>
                <w:szCs w:val="16"/>
              </w:rPr>
            </w:pPr>
            <w:r w:rsidRPr="002264FC">
              <w:rPr>
                <w:rFonts w:ascii="Verdana" w:hAnsi="Verdana" w:cs="Arial"/>
                <w:bCs/>
                <w:sz w:val="16"/>
                <w:szCs w:val="16"/>
              </w:rPr>
              <w:t>NHSLA Trust Indemnity –</w:t>
            </w:r>
          </w:p>
          <w:p w:rsidR="00DE50AF" w:rsidRPr="0012659D" w:rsidRDefault="00DE50AF" w:rsidP="00662E65">
            <w:pPr>
              <w:spacing w:before="120"/>
              <w:ind w:left="113"/>
              <w:rPr>
                <w:rFonts w:ascii="Verdana" w:hAnsi="Verdana" w:cs="Arial"/>
                <w:bCs/>
                <w:sz w:val="16"/>
                <w:szCs w:val="16"/>
              </w:rPr>
            </w:pPr>
          </w:p>
        </w:tc>
      </w:tr>
      <w:tr w:rsidR="00DE50AF" w:rsidRPr="0012659D" w:rsidTr="00662E65">
        <w:trPr>
          <w:cantSplit/>
          <w:trHeight w:val="1035"/>
        </w:trPr>
        <w:tc>
          <w:tcPr>
            <w:tcW w:w="9720" w:type="dxa"/>
            <w:gridSpan w:val="3"/>
          </w:tcPr>
          <w:p w:rsidR="00DE50AF" w:rsidRPr="0012659D" w:rsidRDefault="00DE50AF" w:rsidP="00662E65">
            <w:pPr>
              <w:spacing w:before="120"/>
              <w:rPr>
                <w:rFonts w:ascii="Arial" w:hAnsi="Arial" w:cs="Arial"/>
                <w:b/>
                <w:bCs/>
                <w:sz w:val="16"/>
                <w:szCs w:val="16"/>
              </w:rPr>
            </w:pPr>
            <w:r w:rsidRPr="0012659D">
              <w:rPr>
                <w:rFonts w:ascii="Arial" w:hAnsi="Arial" w:cs="Arial"/>
                <w:b/>
                <w:bCs/>
                <w:sz w:val="16"/>
                <w:szCs w:val="16"/>
              </w:rPr>
              <w:t xml:space="preserve">8.  Stakeholder support – </w:t>
            </w:r>
            <w:r w:rsidRPr="0012659D">
              <w:rPr>
                <w:rFonts w:ascii="Arial" w:hAnsi="Arial" w:cs="Arial"/>
                <w:sz w:val="16"/>
                <w:szCs w:val="16"/>
              </w:rPr>
              <w:t>identify key internal and external stakeholders demonstrating that they have been consulted and support the proposal</w:t>
            </w:r>
            <w:r w:rsidRPr="0012659D">
              <w:rPr>
                <w:rFonts w:ascii="Arial" w:hAnsi="Arial" w:cs="Arial"/>
                <w:b/>
                <w:bCs/>
                <w:sz w:val="16"/>
                <w:szCs w:val="16"/>
              </w:rPr>
              <w:t xml:space="preserve"> </w:t>
            </w:r>
            <w:r w:rsidRPr="0012659D">
              <w:rPr>
                <w:rFonts w:ascii="Arial" w:hAnsi="Arial" w:cs="Arial"/>
                <w:sz w:val="16"/>
                <w:szCs w:val="16"/>
              </w:rPr>
              <w:t>(e.g. PCT support for any service developments) and that the relevant checklists have been appropriately completed</w:t>
            </w:r>
          </w:p>
          <w:p w:rsidR="00DE50AF" w:rsidRPr="0012659D" w:rsidRDefault="00DE50AF" w:rsidP="00662E65">
            <w:pPr>
              <w:spacing w:before="120"/>
              <w:rPr>
                <w:rFonts w:ascii="Arial" w:hAnsi="Arial" w:cs="Arial"/>
                <w:sz w:val="16"/>
                <w:szCs w:val="16"/>
              </w:rPr>
            </w:pPr>
          </w:p>
        </w:tc>
      </w:tr>
      <w:tr w:rsidR="00DE50AF" w:rsidRPr="0012659D" w:rsidTr="00662E65">
        <w:trPr>
          <w:cantSplit/>
          <w:trHeight w:val="560"/>
        </w:trPr>
        <w:tc>
          <w:tcPr>
            <w:tcW w:w="9720" w:type="dxa"/>
            <w:gridSpan w:val="3"/>
          </w:tcPr>
          <w:p w:rsidR="00DE50AF" w:rsidRPr="0012659D" w:rsidRDefault="00DE50AF" w:rsidP="00662E65">
            <w:pPr>
              <w:spacing w:before="120"/>
              <w:rPr>
                <w:rFonts w:ascii="Arial" w:hAnsi="Arial" w:cs="Arial"/>
                <w:b/>
                <w:bCs/>
                <w:sz w:val="16"/>
                <w:szCs w:val="16"/>
              </w:rPr>
            </w:pPr>
            <w:r w:rsidRPr="0012659D">
              <w:rPr>
                <w:rFonts w:ascii="Arial" w:hAnsi="Arial" w:cs="Arial"/>
                <w:b/>
                <w:bCs/>
                <w:sz w:val="16"/>
                <w:szCs w:val="16"/>
              </w:rPr>
              <w:t xml:space="preserve">9.  Preferred option – </w:t>
            </w:r>
            <w:r w:rsidRPr="0012659D">
              <w:rPr>
                <w:rFonts w:ascii="Arial" w:hAnsi="Arial" w:cs="Arial"/>
                <w:sz w:val="16"/>
                <w:szCs w:val="16"/>
              </w:rPr>
              <w:t>based on non-financial and financial appraisal identify the preferred option summarising why this is the case</w:t>
            </w:r>
          </w:p>
          <w:p w:rsidR="00DE50AF" w:rsidRPr="0012659D" w:rsidRDefault="00DE50AF" w:rsidP="00662E65">
            <w:pPr>
              <w:spacing w:before="120"/>
              <w:rPr>
                <w:rFonts w:ascii="Arial" w:hAnsi="Arial" w:cs="Arial"/>
                <w:b/>
                <w:bCs/>
                <w:sz w:val="16"/>
                <w:szCs w:val="16"/>
              </w:rPr>
            </w:pPr>
          </w:p>
        </w:tc>
      </w:tr>
      <w:tr w:rsidR="00DE50AF" w:rsidRPr="0012659D" w:rsidTr="00662E65">
        <w:trPr>
          <w:cantSplit/>
        </w:trPr>
        <w:tc>
          <w:tcPr>
            <w:tcW w:w="9720" w:type="dxa"/>
            <w:gridSpan w:val="3"/>
          </w:tcPr>
          <w:p w:rsidR="00DE50AF" w:rsidRPr="0012659D" w:rsidRDefault="00DE50AF" w:rsidP="00662E65">
            <w:pPr>
              <w:pStyle w:val="Header"/>
              <w:tabs>
                <w:tab w:val="clear" w:pos="4153"/>
                <w:tab w:val="clear" w:pos="8306"/>
              </w:tabs>
              <w:spacing w:before="120"/>
              <w:rPr>
                <w:rFonts w:cs="Arial"/>
                <w:sz w:val="16"/>
                <w:szCs w:val="16"/>
              </w:rPr>
            </w:pPr>
            <w:r w:rsidRPr="0012659D">
              <w:rPr>
                <w:rFonts w:cs="Arial"/>
                <w:sz w:val="16"/>
                <w:szCs w:val="16"/>
              </w:rPr>
              <w:t xml:space="preserve">10.  Implementation Plan , </w:t>
            </w:r>
            <w:r w:rsidRPr="0012659D">
              <w:rPr>
                <w:rFonts w:cs="Arial"/>
                <w:b w:val="0"/>
                <w:bCs/>
                <w:sz w:val="16"/>
                <w:szCs w:val="16"/>
              </w:rPr>
              <w:t>timetable, responsibility, compliance with procurement rules etc</w:t>
            </w:r>
            <w:r>
              <w:rPr>
                <w:rFonts w:cs="Arial"/>
                <w:b w:val="0"/>
                <w:bCs/>
                <w:sz w:val="16"/>
                <w:szCs w:val="16"/>
              </w:rPr>
              <w:t>.</w:t>
            </w:r>
          </w:p>
          <w:p w:rsidR="00DE50AF" w:rsidRPr="0012659D" w:rsidRDefault="00DE50AF" w:rsidP="00662E65">
            <w:pPr>
              <w:spacing w:before="120"/>
              <w:ind w:left="340"/>
              <w:rPr>
                <w:rFonts w:ascii="Arial" w:hAnsi="Arial" w:cs="Arial"/>
                <w:b/>
                <w:bCs/>
                <w:sz w:val="16"/>
                <w:szCs w:val="16"/>
              </w:rPr>
            </w:pPr>
          </w:p>
        </w:tc>
      </w:tr>
      <w:tr w:rsidR="00DE50AF" w:rsidRPr="0012659D" w:rsidTr="00662E65">
        <w:trPr>
          <w:cantSplit/>
        </w:trPr>
        <w:tc>
          <w:tcPr>
            <w:tcW w:w="9720" w:type="dxa"/>
            <w:gridSpan w:val="3"/>
          </w:tcPr>
          <w:p w:rsidR="00DE50AF" w:rsidRPr="006806A7" w:rsidRDefault="00DE50AF" w:rsidP="00662E65">
            <w:pPr>
              <w:pStyle w:val="Header"/>
              <w:tabs>
                <w:tab w:val="clear" w:pos="4153"/>
                <w:tab w:val="clear" w:pos="8306"/>
              </w:tabs>
              <w:spacing w:before="120"/>
              <w:rPr>
                <w:rFonts w:cs="Arial"/>
                <w:sz w:val="16"/>
                <w:szCs w:val="16"/>
              </w:rPr>
            </w:pPr>
            <w:r w:rsidRPr="0012659D">
              <w:rPr>
                <w:rFonts w:cs="Arial"/>
                <w:sz w:val="16"/>
                <w:szCs w:val="16"/>
              </w:rPr>
              <w:t xml:space="preserve">11.  Risk Assessment – </w:t>
            </w:r>
            <w:r w:rsidRPr="0012659D">
              <w:rPr>
                <w:rFonts w:cs="Arial"/>
                <w:b w:val="0"/>
                <w:bCs/>
                <w:sz w:val="16"/>
                <w:szCs w:val="16"/>
              </w:rPr>
              <w:t>describe any risks with any of the options (including clinical risk, risk of loss of activity / income, loss of reputation – and risk to business continuity)</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Change to VAT rules</w:t>
            </w:r>
            <w:r w:rsidRPr="0012659D">
              <w:rPr>
                <w:rFonts w:ascii="Verdana" w:hAnsi="Verdana"/>
                <w:sz w:val="16"/>
                <w:szCs w:val="16"/>
              </w:rPr>
              <w:t xml:space="preserve"> –</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Changes to service volume</w:t>
            </w:r>
            <w:r w:rsidRPr="0012659D">
              <w:rPr>
                <w:rFonts w:ascii="Verdana" w:hAnsi="Verdana"/>
                <w:sz w:val="16"/>
                <w:szCs w:val="16"/>
              </w:rPr>
              <w:t xml:space="preserve"> –</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HIV Consortium agreement</w:t>
            </w:r>
            <w:r w:rsidRPr="0012659D">
              <w:rPr>
                <w:rFonts w:ascii="Verdana" w:hAnsi="Verdana"/>
                <w:sz w:val="16"/>
                <w:szCs w:val="16"/>
              </w:rPr>
              <w:t xml:space="preserve"> (if applicable)</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HIV patient concerns</w:t>
            </w:r>
            <w:r w:rsidRPr="0012659D">
              <w:rPr>
                <w:rFonts w:ascii="Verdana" w:hAnsi="Verdana"/>
                <w:sz w:val="16"/>
                <w:szCs w:val="16"/>
              </w:rPr>
              <w:t xml:space="preserve"> – (if applicable)</w:t>
            </w:r>
          </w:p>
          <w:p w:rsidR="00DE50AF" w:rsidRPr="006806A7"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HIV Infrastructure costs</w:t>
            </w:r>
            <w:r w:rsidRPr="0012659D">
              <w:rPr>
                <w:rFonts w:ascii="Verdana" w:hAnsi="Verdana"/>
                <w:sz w:val="16"/>
                <w:szCs w:val="16"/>
              </w:rPr>
              <w:t xml:space="preserve"> – the impact of this scheme on infrastructure costs that the trust receives from the HIV Consortium will need to be considered.</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Tendering process</w:t>
            </w:r>
            <w:r w:rsidRPr="0012659D">
              <w:rPr>
                <w:rFonts w:ascii="Verdana" w:hAnsi="Verdana"/>
                <w:sz w:val="16"/>
                <w:szCs w:val="16"/>
              </w:rPr>
              <w:t xml:space="preserve"> –</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Hospital prices</w:t>
            </w:r>
            <w:r w:rsidRPr="0012659D">
              <w:rPr>
                <w:rFonts w:ascii="Verdana" w:hAnsi="Verdana"/>
                <w:sz w:val="16"/>
                <w:szCs w:val="16"/>
              </w:rPr>
              <w:t xml:space="preserve"> </w:t>
            </w:r>
          </w:p>
          <w:p w:rsidR="00DE50AF" w:rsidRPr="0012659D" w:rsidRDefault="00DE50AF" w:rsidP="00DE50AF">
            <w:pPr>
              <w:numPr>
                <w:ilvl w:val="0"/>
                <w:numId w:val="4"/>
              </w:numPr>
              <w:spacing w:after="0" w:line="240" w:lineRule="auto"/>
              <w:rPr>
                <w:rFonts w:ascii="Verdana" w:hAnsi="Verdana"/>
                <w:sz w:val="16"/>
                <w:szCs w:val="16"/>
              </w:rPr>
            </w:pPr>
            <w:r w:rsidRPr="0012659D">
              <w:rPr>
                <w:rFonts w:ascii="Verdana" w:hAnsi="Verdana"/>
                <w:b/>
                <w:sz w:val="16"/>
                <w:szCs w:val="16"/>
              </w:rPr>
              <w:t>Public/political opinion</w:t>
            </w:r>
            <w:r w:rsidRPr="0012659D">
              <w:rPr>
                <w:rFonts w:ascii="Verdana" w:hAnsi="Verdana"/>
                <w:sz w:val="16"/>
                <w:szCs w:val="16"/>
              </w:rPr>
              <w:t xml:space="preserve"> –</w:t>
            </w:r>
          </w:p>
          <w:p w:rsidR="00DE50AF" w:rsidRPr="0012659D" w:rsidRDefault="00DE50AF" w:rsidP="00DE50AF">
            <w:pPr>
              <w:numPr>
                <w:ilvl w:val="0"/>
                <w:numId w:val="4"/>
              </w:numPr>
              <w:spacing w:after="0" w:line="240" w:lineRule="auto"/>
              <w:rPr>
                <w:rFonts w:cs="Arial"/>
                <w:sz w:val="16"/>
                <w:szCs w:val="16"/>
              </w:rPr>
            </w:pPr>
            <w:r w:rsidRPr="0012659D">
              <w:rPr>
                <w:rFonts w:ascii="Verdana" w:hAnsi="Verdana"/>
                <w:b/>
                <w:sz w:val="16"/>
                <w:szCs w:val="16"/>
              </w:rPr>
              <w:t>Formulary control</w:t>
            </w:r>
            <w:r w:rsidRPr="0012659D">
              <w:rPr>
                <w:rFonts w:ascii="Verdana" w:hAnsi="Verdana"/>
                <w:sz w:val="16"/>
                <w:szCs w:val="16"/>
              </w:rPr>
              <w:t xml:space="preserve"> –</w:t>
            </w:r>
          </w:p>
        </w:tc>
      </w:tr>
      <w:tr w:rsidR="00DE50AF" w:rsidRPr="0012659D" w:rsidTr="00662E65">
        <w:trPr>
          <w:cantSplit/>
        </w:trPr>
        <w:tc>
          <w:tcPr>
            <w:tcW w:w="9720" w:type="dxa"/>
            <w:gridSpan w:val="3"/>
          </w:tcPr>
          <w:p w:rsidR="00DE50AF" w:rsidRPr="0012659D" w:rsidRDefault="00DE50AF" w:rsidP="00662E65">
            <w:pPr>
              <w:pStyle w:val="Header"/>
              <w:tabs>
                <w:tab w:val="clear" w:pos="4153"/>
                <w:tab w:val="clear" w:pos="8306"/>
              </w:tabs>
              <w:spacing w:before="120"/>
              <w:rPr>
                <w:rFonts w:cs="Arial"/>
                <w:sz w:val="16"/>
                <w:szCs w:val="16"/>
              </w:rPr>
            </w:pPr>
            <w:r w:rsidRPr="0012659D">
              <w:rPr>
                <w:rFonts w:cs="Arial"/>
                <w:sz w:val="16"/>
                <w:szCs w:val="16"/>
              </w:rPr>
              <w:t>12.  Equality Impact Assessment –</w:t>
            </w:r>
          </w:p>
        </w:tc>
      </w:tr>
    </w:tbl>
    <w:p w:rsidR="00DE50AF" w:rsidRDefault="00DE50AF" w:rsidP="0096418D">
      <w:pPr>
        <w:pStyle w:val="NoSpacing"/>
        <w:rPr>
          <w:b/>
          <w:u w:val="single"/>
        </w:rPr>
      </w:pPr>
    </w:p>
    <w:p w:rsidR="00DE50AF" w:rsidRDefault="00DE50AF" w:rsidP="0096418D">
      <w:pPr>
        <w:pStyle w:val="NoSpacing"/>
        <w:rPr>
          <w:b/>
          <w:u w:val="single"/>
        </w:rPr>
      </w:pPr>
    </w:p>
    <w:p w:rsidR="00DE50AF" w:rsidRDefault="00DE50AF" w:rsidP="0096418D">
      <w:pPr>
        <w:pStyle w:val="NoSpacing"/>
        <w:rPr>
          <w:b/>
          <w:u w:val="single"/>
        </w:rPr>
      </w:pPr>
    </w:p>
    <w:p w:rsidR="00DE50AF" w:rsidRPr="00E35F97" w:rsidRDefault="00DE50AF" w:rsidP="0096418D">
      <w:pPr>
        <w:pStyle w:val="NoSpacing"/>
        <w:rPr>
          <w:b/>
          <w:u w:val="single"/>
        </w:rPr>
      </w:pPr>
    </w:p>
    <w:p w:rsidR="0096418D" w:rsidRDefault="00663451" w:rsidP="0096418D">
      <w:pPr>
        <w:pStyle w:val="NoSpacing"/>
        <w:rPr>
          <w:b/>
          <w:u w:val="single"/>
        </w:rPr>
      </w:pPr>
      <w:r>
        <w:rPr>
          <w:b/>
          <w:u w:val="single"/>
        </w:rPr>
        <w:t>Appendix 4</w:t>
      </w:r>
      <w:r w:rsidR="00811DBD">
        <w:rPr>
          <w:b/>
          <w:u w:val="single"/>
        </w:rPr>
        <w:t xml:space="preserve"> </w:t>
      </w:r>
      <w:r w:rsidR="0096418D" w:rsidRPr="00E35F97">
        <w:rPr>
          <w:b/>
          <w:u w:val="single"/>
        </w:rPr>
        <w:t>OOCMG members</w:t>
      </w:r>
    </w:p>
    <w:p w:rsidR="00811DBD" w:rsidRPr="00E35F97" w:rsidRDefault="00811DBD" w:rsidP="0096418D">
      <w:pPr>
        <w:pStyle w:val="NoSpacing"/>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976"/>
      </w:tblGrid>
      <w:tr w:rsidR="0096418D" w:rsidTr="0077312E">
        <w:tc>
          <w:tcPr>
            <w:tcW w:w="2802" w:type="dxa"/>
            <w:shd w:val="clear" w:color="auto" w:fill="auto"/>
          </w:tcPr>
          <w:p w:rsidR="0096418D" w:rsidRDefault="0096418D" w:rsidP="0077312E">
            <w:pPr>
              <w:pStyle w:val="NoSpacing"/>
            </w:pPr>
            <w:r>
              <w:t>Amanda Scott-Clark</w:t>
            </w:r>
          </w:p>
        </w:tc>
        <w:tc>
          <w:tcPr>
            <w:tcW w:w="2976" w:type="dxa"/>
            <w:shd w:val="clear" w:color="auto" w:fill="auto"/>
          </w:tcPr>
          <w:p w:rsidR="0096418D" w:rsidRDefault="0096418D" w:rsidP="0077312E">
            <w:pPr>
              <w:pStyle w:val="NoSpacing"/>
            </w:pPr>
            <w:r>
              <w:t>Guys and St Thomas</w:t>
            </w:r>
          </w:p>
        </w:tc>
      </w:tr>
      <w:tr w:rsidR="0096418D" w:rsidTr="0077312E">
        <w:tc>
          <w:tcPr>
            <w:tcW w:w="2802" w:type="dxa"/>
            <w:shd w:val="clear" w:color="auto" w:fill="auto"/>
          </w:tcPr>
          <w:p w:rsidR="0096418D" w:rsidRDefault="0096418D" w:rsidP="0077312E">
            <w:pPr>
              <w:pStyle w:val="NoSpacing"/>
            </w:pPr>
            <w:r>
              <w:t>Andrea Ridley</w:t>
            </w:r>
          </w:p>
        </w:tc>
        <w:tc>
          <w:tcPr>
            <w:tcW w:w="2976" w:type="dxa"/>
            <w:shd w:val="clear" w:color="auto" w:fill="auto"/>
          </w:tcPr>
          <w:p w:rsidR="0096418D" w:rsidRDefault="0096418D" w:rsidP="0077312E">
            <w:pPr>
              <w:pStyle w:val="NoSpacing"/>
            </w:pPr>
            <w:r>
              <w:t>UCLH</w:t>
            </w:r>
          </w:p>
        </w:tc>
      </w:tr>
      <w:tr w:rsidR="0096418D" w:rsidTr="0077312E">
        <w:tc>
          <w:tcPr>
            <w:tcW w:w="2802" w:type="dxa"/>
            <w:shd w:val="clear" w:color="auto" w:fill="auto"/>
          </w:tcPr>
          <w:p w:rsidR="0096418D" w:rsidRDefault="0096418D" w:rsidP="0077312E">
            <w:pPr>
              <w:pStyle w:val="NoSpacing"/>
            </w:pPr>
            <w:r>
              <w:t>Ann Mounsey</w:t>
            </w:r>
          </w:p>
        </w:tc>
        <w:tc>
          <w:tcPr>
            <w:tcW w:w="2976" w:type="dxa"/>
            <w:shd w:val="clear" w:color="auto" w:fill="auto"/>
          </w:tcPr>
          <w:p w:rsidR="0096418D" w:rsidRDefault="0096418D" w:rsidP="0077312E">
            <w:pPr>
              <w:pStyle w:val="NoSpacing"/>
            </w:pPr>
            <w:r>
              <w:t xml:space="preserve">Imperial </w:t>
            </w:r>
          </w:p>
        </w:tc>
      </w:tr>
      <w:tr w:rsidR="0096418D" w:rsidTr="0077312E">
        <w:tc>
          <w:tcPr>
            <w:tcW w:w="2802" w:type="dxa"/>
            <w:shd w:val="clear" w:color="auto" w:fill="auto"/>
          </w:tcPr>
          <w:p w:rsidR="0096418D" w:rsidRDefault="0096418D" w:rsidP="0077312E">
            <w:pPr>
              <w:pStyle w:val="NoSpacing"/>
            </w:pPr>
            <w:r>
              <w:t>Chisha McDonald</w:t>
            </w:r>
          </w:p>
        </w:tc>
        <w:tc>
          <w:tcPr>
            <w:tcW w:w="2976" w:type="dxa"/>
            <w:shd w:val="clear" w:color="auto" w:fill="auto"/>
          </w:tcPr>
          <w:p w:rsidR="0096418D" w:rsidRDefault="0096418D" w:rsidP="0077312E">
            <w:pPr>
              <w:pStyle w:val="NoSpacing"/>
            </w:pPr>
            <w:r>
              <w:t>West Middlesex Hospital</w:t>
            </w:r>
          </w:p>
        </w:tc>
      </w:tr>
      <w:tr w:rsidR="0096418D" w:rsidTr="0077312E">
        <w:tc>
          <w:tcPr>
            <w:tcW w:w="2802" w:type="dxa"/>
            <w:shd w:val="clear" w:color="auto" w:fill="auto"/>
          </w:tcPr>
          <w:p w:rsidR="0096418D" w:rsidRDefault="0096418D" w:rsidP="0077312E">
            <w:pPr>
              <w:pStyle w:val="NoSpacing"/>
            </w:pPr>
            <w:r>
              <w:t>Chris Barrass</w:t>
            </w:r>
          </w:p>
        </w:tc>
        <w:tc>
          <w:tcPr>
            <w:tcW w:w="2976" w:type="dxa"/>
            <w:shd w:val="clear" w:color="auto" w:fill="auto"/>
          </w:tcPr>
          <w:p w:rsidR="0096418D" w:rsidRDefault="0096418D" w:rsidP="0077312E">
            <w:pPr>
              <w:pStyle w:val="NoSpacing"/>
            </w:pPr>
            <w:r>
              <w:t>Kings College Hospital</w:t>
            </w:r>
          </w:p>
        </w:tc>
      </w:tr>
      <w:tr w:rsidR="0096418D" w:rsidTr="0077312E">
        <w:tc>
          <w:tcPr>
            <w:tcW w:w="2802" w:type="dxa"/>
            <w:shd w:val="clear" w:color="auto" w:fill="auto"/>
          </w:tcPr>
          <w:p w:rsidR="0096418D" w:rsidRDefault="0096418D" w:rsidP="0077312E">
            <w:pPr>
              <w:pStyle w:val="NoSpacing"/>
            </w:pPr>
            <w:r>
              <w:t>Claire McIntyre</w:t>
            </w:r>
          </w:p>
        </w:tc>
        <w:tc>
          <w:tcPr>
            <w:tcW w:w="2976" w:type="dxa"/>
            <w:shd w:val="clear" w:color="auto" w:fill="auto"/>
          </w:tcPr>
          <w:p w:rsidR="0096418D" w:rsidRDefault="0096418D" w:rsidP="0077312E">
            <w:pPr>
              <w:pStyle w:val="NoSpacing"/>
            </w:pPr>
            <w:r>
              <w:t>Peterborough</w:t>
            </w:r>
          </w:p>
        </w:tc>
      </w:tr>
      <w:tr w:rsidR="0096418D" w:rsidTr="0077312E">
        <w:tc>
          <w:tcPr>
            <w:tcW w:w="2802" w:type="dxa"/>
            <w:shd w:val="clear" w:color="auto" w:fill="auto"/>
          </w:tcPr>
          <w:p w:rsidR="0096418D" w:rsidRDefault="0096418D" w:rsidP="0077312E">
            <w:pPr>
              <w:pStyle w:val="NoSpacing"/>
            </w:pPr>
            <w:r>
              <w:t>Damien Kelly</w:t>
            </w:r>
          </w:p>
        </w:tc>
        <w:tc>
          <w:tcPr>
            <w:tcW w:w="2976" w:type="dxa"/>
            <w:shd w:val="clear" w:color="auto" w:fill="auto"/>
          </w:tcPr>
          <w:p w:rsidR="0096418D" w:rsidRDefault="0096418D" w:rsidP="0077312E">
            <w:pPr>
              <w:pStyle w:val="NoSpacing"/>
            </w:pPr>
            <w:r>
              <w:t>Barts Health</w:t>
            </w:r>
          </w:p>
        </w:tc>
      </w:tr>
      <w:tr w:rsidR="0096418D" w:rsidTr="0077312E">
        <w:tc>
          <w:tcPr>
            <w:tcW w:w="2802" w:type="dxa"/>
            <w:shd w:val="clear" w:color="auto" w:fill="auto"/>
          </w:tcPr>
          <w:p w:rsidR="0096418D" w:rsidRDefault="0096418D" w:rsidP="0077312E">
            <w:pPr>
              <w:pStyle w:val="NoSpacing"/>
            </w:pPr>
            <w:r>
              <w:t>Daniel Johnson</w:t>
            </w:r>
          </w:p>
        </w:tc>
        <w:tc>
          <w:tcPr>
            <w:tcW w:w="2976" w:type="dxa"/>
            <w:shd w:val="clear" w:color="auto" w:fill="auto"/>
          </w:tcPr>
          <w:p w:rsidR="0096418D" w:rsidRDefault="0096418D" w:rsidP="0077312E">
            <w:pPr>
              <w:pStyle w:val="NoSpacing"/>
            </w:pPr>
            <w:r>
              <w:t>Lewisham</w:t>
            </w:r>
          </w:p>
        </w:tc>
      </w:tr>
      <w:tr w:rsidR="0096418D" w:rsidTr="0077312E">
        <w:tc>
          <w:tcPr>
            <w:tcW w:w="2802" w:type="dxa"/>
            <w:shd w:val="clear" w:color="auto" w:fill="auto"/>
          </w:tcPr>
          <w:p w:rsidR="0096418D" w:rsidRDefault="0096418D" w:rsidP="0077312E">
            <w:pPr>
              <w:pStyle w:val="NoSpacing"/>
            </w:pPr>
            <w:r>
              <w:t>Darragh Murphey</w:t>
            </w:r>
          </w:p>
        </w:tc>
        <w:tc>
          <w:tcPr>
            <w:tcW w:w="2976" w:type="dxa"/>
            <w:shd w:val="clear" w:color="auto" w:fill="auto"/>
          </w:tcPr>
          <w:p w:rsidR="0096418D" w:rsidRDefault="0096418D" w:rsidP="0077312E">
            <w:pPr>
              <w:pStyle w:val="NoSpacing"/>
            </w:pPr>
            <w:r>
              <w:t>Imperial</w:t>
            </w:r>
          </w:p>
        </w:tc>
      </w:tr>
      <w:tr w:rsidR="0096418D" w:rsidTr="0077312E">
        <w:tc>
          <w:tcPr>
            <w:tcW w:w="2802" w:type="dxa"/>
            <w:shd w:val="clear" w:color="auto" w:fill="auto"/>
          </w:tcPr>
          <w:p w:rsidR="0096418D" w:rsidRDefault="0096418D" w:rsidP="0077312E">
            <w:pPr>
              <w:pStyle w:val="NoSpacing"/>
            </w:pPr>
            <w:r>
              <w:t>David Heller</w:t>
            </w:r>
          </w:p>
        </w:tc>
        <w:tc>
          <w:tcPr>
            <w:tcW w:w="2976" w:type="dxa"/>
            <w:shd w:val="clear" w:color="auto" w:fill="auto"/>
          </w:tcPr>
          <w:p w:rsidR="0096418D" w:rsidRDefault="0096418D" w:rsidP="0077312E">
            <w:pPr>
              <w:pStyle w:val="NoSpacing"/>
            </w:pPr>
            <w:r>
              <w:t>Surrey and Sussex</w:t>
            </w:r>
          </w:p>
        </w:tc>
      </w:tr>
      <w:tr w:rsidR="0096418D" w:rsidTr="0077312E">
        <w:tc>
          <w:tcPr>
            <w:tcW w:w="2802" w:type="dxa"/>
            <w:shd w:val="clear" w:color="auto" w:fill="auto"/>
          </w:tcPr>
          <w:p w:rsidR="0096418D" w:rsidRDefault="0096418D" w:rsidP="0077312E">
            <w:pPr>
              <w:pStyle w:val="NoSpacing"/>
            </w:pPr>
            <w:r>
              <w:t>Deidre Linnare</w:t>
            </w:r>
          </w:p>
        </w:tc>
        <w:tc>
          <w:tcPr>
            <w:tcW w:w="2976" w:type="dxa"/>
            <w:shd w:val="clear" w:color="auto" w:fill="auto"/>
          </w:tcPr>
          <w:p w:rsidR="0096418D" w:rsidRDefault="0096418D" w:rsidP="0077312E">
            <w:pPr>
              <w:pStyle w:val="NoSpacing"/>
            </w:pPr>
            <w:r>
              <w:t>Chelsea and Westminster</w:t>
            </w:r>
          </w:p>
        </w:tc>
      </w:tr>
      <w:tr w:rsidR="0096418D" w:rsidTr="0077312E">
        <w:tc>
          <w:tcPr>
            <w:tcW w:w="2802" w:type="dxa"/>
            <w:shd w:val="clear" w:color="auto" w:fill="auto"/>
          </w:tcPr>
          <w:p w:rsidR="0096418D" w:rsidRDefault="0096418D" w:rsidP="0077312E">
            <w:pPr>
              <w:pStyle w:val="NoSpacing"/>
            </w:pPr>
            <w:r>
              <w:t>Ellisha Halford</w:t>
            </w:r>
          </w:p>
        </w:tc>
        <w:tc>
          <w:tcPr>
            <w:tcW w:w="2976" w:type="dxa"/>
            <w:shd w:val="clear" w:color="auto" w:fill="auto"/>
          </w:tcPr>
          <w:p w:rsidR="0096418D" w:rsidRPr="00D0037D" w:rsidRDefault="0096418D" w:rsidP="0077312E">
            <w:pPr>
              <w:pStyle w:val="NoSpacing"/>
              <w:rPr>
                <w:highlight w:val="yellow"/>
              </w:rPr>
            </w:pPr>
            <w:r>
              <w:t xml:space="preserve">Lewisham </w:t>
            </w:r>
          </w:p>
        </w:tc>
      </w:tr>
      <w:tr w:rsidR="0096418D" w:rsidTr="0077312E">
        <w:tc>
          <w:tcPr>
            <w:tcW w:w="2802" w:type="dxa"/>
            <w:shd w:val="clear" w:color="auto" w:fill="auto"/>
          </w:tcPr>
          <w:p w:rsidR="0096418D" w:rsidRDefault="0096418D" w:rsidP="0077312E">
            <w:pPr>
              <w:pStyle w:val="NoSpacing"/>
            </w:pPr>
            <w:r>
              <w:t>Evelyn Allen</w:t>
            </w:r>
          </w:p>
        </w:tc>
        <w:tc>
          <w:tcPr>
            <w:tcW w:w="2976" w:type="dxa"/>
            <w:shd w:val="clear" w:color="auto" w:fill="auto"/>
          </w:tcPr>
          <w:p w:rsidR="0096418D" w:rsidRDefault="0096418D" w:rsidP="0077312E">
            <w:pPr>
              <w:pStyle w:val="NoSpacing"/>
            </w:pPr>
            <w:r>
              <w:t>Southend Hospital</w:t>
            </w:r>
          </w:p>
        </w:tc>
      </w:tr>
      <w:tr w:rsidR="0096418D" w:rsidTr="0077312E">
        <w:tc>
          <w:tcPr>
            <w:tcW w:w="2802" w:type="dxa"/>
            <w:shd w:val="clear" w:color="auto" w:fill="auto"/>
          </w:tcPr>
          <w:p w:rsidR="0096418D" w:rsidRDefault="0096418D" w:rsidP="0077312E">
            <w:pPr>
              <w:pStyle w:val="NoSpacing"/>
            </w:pPr>
            <w:r>
              <w:t>Gary Donald</w:t>
            </w:r>
          </w:p>
        </w:tc>
        <w:tc>
          <w:tcPr>
            <w:tcW w:w="2976" w:type="dxa"/>
            <w:shd w:val="clear" w:color="auto" w:fill="auto"/>
          </w:tcPr>
          <w:p w:rsidR="0096418D" w:rsidRDefault="0096418D" w:rsidP="0077312E">
            <w:pPr>
              <w:pStyle w:val="NoSpacing"/>
            </w:pPr>
            <w:r>
              <w:t>St Georges Hospital</w:t>
            </w:r>
          </w:p>
        </w:tc>
      </w:tr>
      <w:tr w:rsidR="0096418D" w:rsidTr="0077312E">
        <w:tc>
          <w:tcPr>
            <w:tcW w:w="2802" w:type="dxa"/>
            <w:shd w:val="clear" w:color="auto" w:fill="auto"/>
          </w:tcPr>
          <w:p w:rsidR="0096418D" w:rsidRDefault="0096418D" w:rsidP="0077312E">
            <w:pPr>
              <w:pStyle w:val="NoSpacing"/>
            </w:pPr>
            <w:r>
              <w:t>Gill Eyers</w:t>
            </w:r>
          </w:p>
        </w:tc>
        <w:tc>
          <w:tcPr>
            <w:tcW w:w="2976" w:type="dxa"/>
            <w:shd w:val="clear" w:color="auto" w:fill="auto"/>
          </w:tcPr>
          <w:p w:rsidR="0096418D" w:rsidRDefault="0096418D" w:rsidP="0077312E">
            <w:pPr>
              <w:pStyle w:val="NoSpacing"/>
            </w:pPr>
            <w:r>
              <w:t>Kingston</w:t>
            </w:r>
          </w:p>
        </w:tc>
      </w:tr>
      <w:tr w:rsidR="0096418D" w:rsidTr="0077312E">
        <w:tc>
          <w:tcPr>
            <w:tcW w:w="2802" w:type="dxa"/>
            <w:shd w:val="clear" w:color="auto" w:fill="auto"/>
          </w:tcPr>
          <w:p w:rsidR="0096418D" w:rsidRDefault="0096418D" w:rsidP="0077312E">
            <w:pPr>
              <w:pStyle w:val="NoSpacing"/>
            </w:pPr>
            <w:r>
              <w:t>Gill Honeywell</w:t>
            </w:r>
          </w:p>
        </w:tc>
        <w:tc>
          <w:tcPr>
            <w:tcW w:w="2976" w:type="dxa"/>
            <w:shd w:val="clear" w:color="auto" w:fill="auto"/>
          </w:tcPr>
          <w:p w:rsidR="0096418D" w:rsidRDefault="0096418D" w:rsidP="0077312E">
            <w:pPr>
              <w:pStyle w:val="NoSpacing"/>
            </w:pPr>
            <w:r>
              <w:t>Isle of Wight</w:t>
            </w:r>
          </w:p>
        </w:tc>
      </w:tr>
      <w:tr w:rsidR="0096418D" w:rsidTr="0077312E">
        <w:tc>
          <w:tcPr>
            <w:tcW w:w="2802" w:type="dxa"/>
            <w:shd w:val="clear" w:color="auto" w:fill="auto"/>
          </w:tcPr>
          <w:p w:rsidR="0096418D" w:rsidRDefault="0096418D" w:rsidP="0077312E">
            <w:pPr>
              <w:pStyle w:val="NoSpacing"/>
            </w:pPr>
            <w:r>
              <w:t>Jacqueline Bowden</w:t>
            </w:r>
          </w:p>
        </w:tc>
        <w:tc>
          <w:tcPr>
            <w:tcW w:w="2976" w:type="dxa"/>
            <w:shd w:val="clear" w:color="auto" w:fill="auto"/>
          </w:tcPr>
          <w:p w:rsidR="0096418D" w:rsidRDefault="0096418D" w:rsidP="0077312E">
            <w:pPr>
              <w:pStyle w:val="NoSpacing"/>
            </w:pPr>
            <w:r>
              <w:t>Bournemouth</w:t>
            </w:r>
          </w:p>
        </w:tc>
      </w:tr>
      <w:tr w:rsidR="0096418D" w:rsidTr="0077312E">
        <w:tc>
          <w:tcPr>
            <w:tcW w:w="2802" w:type="dxa"/>
            <w:shd w:val="clear" w:color="auto" w:fill="auto"/>
          </w:tcPr>
          <w:p w:rsidR="0096418D" w:rsidRDefault="0096418D" w:rsidP="0077312E">
            <w:pPr>
              <w:pStyle w:val="NoSpacing"/>
            </w:pPr>
            <w:r>
              <w:t>Katey Hewitt</w:t>
            </w:r>
          </w:p>
        </w:tc>
        <w:tc>
          <w:tcPr>
            <w:tcW w:w="2976" w:type="dxa"/>
            <w:shd w:val="clear" w:color="auto" w:fill="auto"/>
          </w:tcPr>
          <w:p w:rsidR="0096418D" w:rsidRDefault="0096418D" w:rsidP="0077312E">
            <w:pPr>
              <w:pStyle w:val="NoSpacing"/>
            </w:pPr>
            <w:r>
              <w:t>Chelsea and Westminster</w:t>
            </w:r>
          </w:p>
        </w:tc>
      </w:tr>
      <w:tr w:rsidR="0096418D" w:rsidTr="0077312E">
        <w:tc>
          <w:tcPr>
            <w:tcW w:w="2802" w:type="dxa"/>
            <w:shd w:val="clear" w:color="auto" w:fill="auto"/>
          </w:tcPr>
          <w:p w:rsidR="0096418D" w:rsidRDefault="0096418D" w:rsidP="0077312E">
            <w:pPr>
              <w:pStyle w:val="NoSpacing"/>
            </w:pPr>
            <w:r>
              <w:t>Kay Buttars</w:t>
            </w:r>
          </w:p>
        </w:tc>
        <w:tc>
          <w:tcPr>
            <w:tcW w:w="2976" w:type="dxa"/>
            <w:shd w:val="clear" w:color="auto" w:fill="auto"/>
          </w:tcPr>
          <w:p w:rsidR="0096418D" w:rsidRDefault="0096418D" w:rsidP="0077312E">
            <w:pPr>
              <w:pStyle w:val="NoSpacing"/>
            </w:pPr>
            <w:r>
              <w:t>Addenbrookes</w:t>
            </w:r>
          </w:p>
        </w:tc>
      </w:tr>
      <w:tr w:rsidR="0096418D" w:rsidTr="0077312E">
        <w:tc>
          <w:tcPr>
            <w:tcW w:w="2802" w:type="dxa"/>
            <w:shd w:val="clear" w:color="auto" w:fill="auto"/>
          </w:tcPr>
          <w:p w:rsidR="0096418D" w:rsidRDefault="0096418D" w:rsidP="0077312E">
            <w:pPr>
              <w:pStyle w:val="NoSpacing"/>
            </w:pPr>
            <w:r>
              <w:t>Kevan Wind</w:t>
            </w:r>
          </w:p>
        </w:tc>
        <w:tc>
          <w:tcPr>
            <w:tcW w:w="2976" w:type="dxa"/>
            <w:shd w:val="clear" w:color="auto" w:fill="auto"/>
          </w:tcPr>
          <w:p w:rsidR="0096418D" w:rsidRDefault="0096418D" w:rsidP="0077312E">
            <w:pPr>
              <w:pStyle w:val="NoSpacing"/>
            </w:pPr>
            <w:r>
              <w:t>Specialist Pharmacy Services</w:t>
            </w:r>
          </w:p>
        </w:tc>
      </w:tr>
      <w:tr w:rsidR="0096418D" w:rsidTr="0077312E">
        <w:tc>
          <w:tcPr>
            <w:tcW w:w="2802" w:type="dxa"/>
            <w:shd w:val="clear" w:color="auto" w:fill="auto"/>
          </w:tcPr>
          <w:p w:rsidR="0096418D" w:rsidRDefault="0096418D" w:rsidP="0077312E">
            <w:pPr>
              <w:pStyle w:val="NoSpacing"/>
            </w:pPr>
            <w:r>
              <w:t>Kiran Bhogal</w:t>
            </w:r>
          </w:p>
        </w:tc>
        <w:tc>
          <w:tcPr>
            <w:tcW w:w="2976" w:type="dxa"/>
            <w:shd w:val="clear" w:color="auto" w:fill="auto"/>
          </w:tcPr>
          <w:p w:rsidR="0096418D" w:rsidRDefault="0096418D" w:rsidP="0077312E">
            <w:pPr>
              <w:pStyle w:val="NoSpacing"/>
            </w:pPr>
            <w:r>
              <w:t>Croydon</w:t>
            </w:r>
          </w:p>
        </w:tc>
      </w:tr>
      <w:tr w:rsidR="0096418D" w:rsidTr="0077312E">
        <w:tc>
          <w:tcPr>
            <w:tcW w:w="2802" w:type="dxa"/>
            <w:shd w:val="clear" w:color="auto" w:fill="auto"/>
          </w:tcPr>
          <w:p w:rsidR="0096418D" w:rsidRDefault="0096418D" w:rsidP="0077312E">
            <w:pPr>
              <w:pStyle w:val="NoSpacing"/>
            </w:pPr>
            <w:r>
              <w:t>Liz Bure</w:t>
            </w:r>
          </w:p>
        </w:tc>
        <w:tc>
          <w:tcPr>
            <w:tcW w:w="2976" w:type="dxa"/>
            <w:shd w:val="clear" w:color="auto" w:fill="auto"/>
          </w:tcPr>
          <w:p w:rsidR="0096418D" w:rsidRPr="00D0037D" w:rsidRDefault="0096418D" w:rsidP="0077312E">
            <w:pPr>
              <w:pStyle w:val="NoSpacing"/>
              <w:rPr>
                <w:highlight w:val="yellow"/>
              </w:rPr>
            </w:pPr>
            <w:r w:rsidRPr="003554AE">
              <w:t>West  Middlesex</w:t>
            </w:r>
          </w:p>
        </w:tc>
      </w:tr>
      <w:tr w:rsidR="0096418D" w:rsidTr="0077312E">
        <w:tc>
          <w:tcPr>
            <w:tcW w:w="2802" w:type="dxa"/>
            <w:shd w:val="clear" w:color="auto" w:fill="auto"/>
          </w:tcPr>
          <w:p w:rsidR="0096418D" w:rsidRDefault="0096418D" w:rsidP="0077312E">
            <w:pPr>
              <w:pStyle w:val="NoSpacing"/>
            </w:pPr>
            <w:r>
              <w:t>Mark Pepperell</w:t>
            </w:r>
          </w:p>
        </w:tc>
        <w:tc>
          <w:tcPr>
            <w:tcW w:w="2976" w:type="dxa"/>
            <w:shd w:val="clear" w:color="auto" w:fill="auto"/>
          </w:tcPr>
          <w:p w:rsidR="0096418D" w:rsidRDefault="0096418D" w:rsidP="0077312E">
            <w:pPr>
              <w:pStyle w:val="NoSpacing"/>
            </w:pPr>
            <w:r>
              <w:t>Southampton</w:t>
            </w:r>
          </w:p>
        </w:tc>
      </w:tr>
      <w:tr w:rsidR="0096418D" w:rsidTr="0077312E">
        <w:tc>
          <w:tcPr>
            <w:tcW w:w="2802" w:type="dxa"/>
            <w:shd w:val="clear" w:color="auto" w:fill="auto"/>
          </w:tcPr>
          <w:p w:rsidR="0096418D" w:rsidRDefault="0096418D" w:rsidP="0077312E">
            <w:pPr>
              <w:pStyle w:val="NoSpacing"/>
            </w:pPr>
            <w:r>
              <w:t>Nigel Brinklow</w:t>
            </w:r>
          </w:p>
        </w:tc>
        <w:tc>
          <w:tcPr>
            <w:tcW w:w="2976" w:type="dxa"/>
            <w:shd w:val="clear" w:color="auto" w:fill="auto"/>
          </w:tcPr>
          <w:p w:rsidR="0096418D" w:rsidRDefault="0096418D" w:rsidP="0077312E">
            <w:pPr>
              <w:pStyle w:val="NoSpacing"/>
            </w:pPr>
            <w:r>
              <w:t>Kings College Hospital</w:t>
            </w:r>
          </w:p>
        </w:tc>
      </w:tr>
      <w:tr w:rsidR="0096418D" w:rsidTr="0077312E">
        <w:tc>
          <w:tcPr>
            <w:tcW w:w="2802" w:type="dxa"/>
            <w:shd w:val="clear" w:color="auto" w:fill="auto"/>
          </w:tcPr>
          <w:p w:rsidR="0096418D" w:rsidRDefault="0096418D" w:rsidP="0077312E">
            <w:pPr>
              <w:pStyle w:val="NoSpacing"/>
            </w:pPr>
            <w:r>
              <w:t>Roger Fernandes</w:t>
            </w:r>
          </w:p>
        </w:tc>
        <w:tc>
          <w:tcPr>
            <w:tcW w:w="2976" w:type="dxa"/>
            <w:shd w:val="clear" w:color="auto" w:fill="auto"/>
          </w:tcPr>
          <w:p w:rsidR="0096418D" w:rsidRDefault="0096418D" w:rsidP="0077312E">
            <w:pPr>
              <w:pStyle w:val="NoSpacing"/>
            </w:pPr>
            <w:r>
              <w:t>Lewisham</w:t>
            </w:r>
          </w:p>
        </w:tc>
      </w:tr>
      <w:tr w:rsidR="0096418D" w:rsidTr="0077312E">
        <w:tc>
          <w:tcPr>
            <w:tcW w:w="2802" w:type="dxa"/>
            <w:shd w:val="clear" w:color="auto" w:fill="auto"/>
          </w:tcPr>
          <w:p w:rsidR="0096418D" w:rsidRDefault="0096418D" w:rsidP="0077312E">
            <w:pPr>
              <w:pStyle w:val="NoSpacing"/>
            </w:pPr>
            <w:r>
              <w:t>Sakeb Hussain</w:t>
            </w:r>
          </w:p>
        </w:tc>
        <w:tc>
          <w:tcPr>
            <w:tcW w:w="2976" w:type="dxa"/>
            <w:shd w:val="clear" w:color="auto" w:fill="auto"/>
          </w:tcPr>
          <w:p w:rsidR="0096418D" w:rsidRDefault="0096418D" w:rsidP="0077312E">
            <w:pPr>
              <w:pStyle w:val="NoSpacing"/>
            </w:pPr>
            <w:r>
              <w:t>Royal Berkshire</w:t>
            </w:r>
          </w:p>
        </w:tc>
      </w:tr>
      <w:tr w:rsidR="0096418D" w:rsidTr="0077312E">
        <w:tc>
          <w:tcPr>
            <w:tcW w:w="2802" w:type="dxa"/>
            <w:shd w:val="clear" w:color="auto" w:fill="auto"/>
          </w:tcPr>
          <w:p w:rsidR="0096418D" w:rsidRDefault="0096418D" w:rsidP="0077312E">
            <w:pPr>
              <w:pStyle w:val="NoSpacing"/>
            </w:pPr>
            <w:r>
              <w:t>Sarla Drayan</w:t>
            </w:r>
          </w:p>
        </w:tc>
        <w:tc>
          <w:tcPr>
            <w:tcW w:w="2976" w:type="dxa"/>
            <w:shd w:val="clear" w:color="auto" w:fill="auto"/>
          </w:tcPr>
          <w:p w:rsidR="0096418D" w:rsidRDefault="0096418D" w:rsidP="0077312E">
            <w:pPr>
              <w:pStyle w:val="NoSpacing"/>
            </w:pPr>
            <w:r>
              <w:t>North Middlesex Hospital</w:t>
            </w:r>
          </w:p>
        </w:tc>
      </w:tr>
      <w:tr w:rsidR="0096418D" w:rsidTr="0077312E">
        <w:tc>
          <w:tcPr>
            <w:tcW w:w="2802" w:type="dxa"/>
            <w:shd w:val="clear" w:color="auto" w:fill="auto"/>
          </w:tcPr>
          <w:p w:rsidR="0096418D" w:rsidRDefault="0096418D" w:rsidP="0077312E">
            <w:pPr>
              <w:pStyle w:val="NoSpacing"/>
            </w:pPr>
            <w:r>
              <w:t>Steve Williams</w:t>
            </w:r>
          </w:p>
        </w:tc>
        <w:tc>
          <w:tcPr>
            <w:tcW w:w="2976" w:type="dxa"/>
            <w:shd w:val="clear" w:color="auto" w:fill="auto"/>
          </w:tcPr>
          <w:p w:rsidR="0096418D" w:rsidRDefault="0096418D" w:rsidP="0077312E">
            <w:pPr>
              <w:pStyle w:val="NoSpacing"/>
            </w:pPr>
            <w:r>
              <w:t>Lewisham</w:t>
            </w:r>
          </w:p>
        </w:tc>
      </w:tr>
      <w:tr w:rsidR="0096418D" w:rsidTr="0077312E">
        <w:tc>
          <w:tcPr>
            <w:tcW w:w="2802" w:type="dxa"/>
            <w:shd w:val="clear" w:color="auto" w:fill="auto"/>
          </w:tcPr>
          <w:p w:rsidR="0096418D" w:rsidRDefault="0096418D" w:rsidP="0077312E">
            <w:pPr>
              <w:pStyle w:val="NoSpacing"/>
            </w:pPr>
            <w:r>
              <w:t>Stuart Chandler</w:t>
            </w:r>
          </w:p>
        </w:tc>
        <w:tc>
          <w:tcPr>
            <w:tcW w:w="2976" w:type="dxa"/>
            <w:shd w:val="clear" w:color="auto" w:fill="auto"/>
          </w:tcPr>
          <w:p w:rsidR="0096418D" w:rsidRDefault="0096418D" w:rsidP="0077312E">
            <w:pPr>
              <w:pStyle w:val="NoSpacing"/>
            </w:pPr>
            <w:r>
              <w:t>Southend Hospital</w:t>
            </w:r>
          </w:p>
        </w:tc>
      </w:tr>
      <w:tr w:rsidR="0096418D" w:rsidTr="0077312E">
        <w:tc>
          <w:tcPr>
            <w:tcW w:w="2802" w:type="dxa"/>
            <w:shd w:val="clear" w:color="auto" w:fill="auto"/>
          </w:tcPr>
          <w:p w:rsidR="0096418D" w:rsidRDefault="0096418D" w:rsidP="0077312E">
            <w:pPr>
              <w:pStyle w:val="NoSpacing"/>
            </w:pPr>
            <w:r>
              <w:t>Sue Schecter</w:t>
            </w:r>
          </w:p>
        </w:tc>
        <w:tc>
          <w:tcPr>
            <w:tcW w:w="2976" w:type="dxa"/>
            <w:shd w:val="clear" w:color="auto" w:fill="auto"/>
          </w:tcPr>
          <w:p w:rsidR="0096418D" w:rsidRDefault="0096418D" w:rsidP="0077312E">
            <w:pPr>
              <w:pStyle w:val="NoSpacing"/>
            </w:pPr>
            <w:r>
              <w:t>West Hertfordshire Hospitals</w:t>
            </w:r>
          </w:p>
        </w:tc>
      </w:tr>
      <w:tr w:rsidR="0096418D" w:rsidTr="0077312E">
        <w:tc>
          <w:tcPr>
            <w:tcW w:w="2802" w:type="dxa"/>
            <w:shd w:val="clear" w:color="auto" w:fill="auto"/>
          </w:tcPr>
          <w:p w:rsidR="0096418D" w:rsidRDefault="0096418D" w:rsidP="0077312E">
            <w:pPr>
              <w:pStyle w:val="NoSpacing"/>
            </w:pPr>
            <w:r>
              <w:t>Suraya Quadir</w:t>
            </w:r>
          </w:p>
        </w:tc>
        <w:tc>
          <w:tcPr>
            <w:tcW w:w="2976" w:type="dxa"/>
            <w:shd w:val="clear" w:color="auto" w:fill="auto"/>
          </w:tcPr>
          <w:p w:rsidR="0096418D" w:rsidRDefault="0096418D" w:rsidP="0077312E">
            <w:pPr>
              <w:pStyle w:val="NoSpacing"/>
            </w:pPr>
            <w:r>
              <w:t>Royal Marsden Hospital</w:t>
            </w:r>
          </w:p>
        </w:tc>
      </w:tr>
      <w:tr w:rsidR="0096418D" w:rsidTr="0077312E">
        <w:tc>
          <w:tcPr>
            <w:tcW w:w="2802" w:type="dxa"/>
            <w:shd w:val="clear" w:color="auto" w:fill="auto"/>
          </w:tcPr>
          <w:p w:rsidR="0096418D" w:rsidRDefault="0096418D" w:rsidP="0077312E">
            <w:pPr>
              <w:pStyle w:val="NoSpacing"/>
            </w:pPr>
            <w:r>
              <w:t>Susan Gibert</w:t>
            </w:r>
          </w:p>
        </w:tc>
        <w:tc>
          <w:tcPr>
            <w:tcW w:w="2976" w:type="dxa"/>
            <w:shd w:val="clear" w:color="auto" w:fill="auto"/>
          </w:tcPr>
          <w:p w:rsidR="0096418D" w:rsidRDefault="0096418D" w:rsidP="0077312E">
            <w:pPr>
              <w:pStyle w:val="NoSpacing"/>
            </w:pPr>
            <w:r>
              <w:t>Thames Valley and Wessex</w:t>
            </w:r>
          </w:p>
        </w:tc>
      </w:tr>
      <w:tr w:rsidR="0096418D" w:rsidTr="0077312E">
        <w:tc>
          <w:tcPr>
            <w:tcW w:w="2802" w:type="dxa"/>
            <w:shd w:val="clear" w:color="auto" w:fill="auto"/>
          </w:tcPr>
          <w:p w:rsidR="0096418D" w:rsidRDefault="0096418D" w:rsidP="0077312E">
            <w:pPr>
              <w:pStyle w:val="NoSpacing"/>
            </w:pPr>
            <w:r>
              <w:t>Scott Sweeney</w:t>
            </w:r>
          </w:p>
        </w:tc>
        <w:tc>
          <w:tcPr>
            <w:tcW w:w="2976" w:type="dxa"/>
            <w:shd w:val="clear" w:color="auto" w:fill="auto"/>
          </w:tcPr>
          <w:p w:rsidR="0096418D" w:rsidRDefault="0096418D" w:rsidP="0077312E">
            <w:pPr>
              <w:pStyle w:val="NoSpacing"/>
            </w:pPr>
            <w:r>
              <w:t>Basildon Hospital</w:t>
            </w:r>
          </w:p>
        </w:tc>
      </w:tr>
      <w:tr w:rsidR="0096418D" w:rsidTr="0077312E">
        <w:tc>
          <w:tcPr>
            <w:tcW w:w="2802" w:type="dxa"/>
            <w:shd w:val="clear" w:color="auto" w:fill="auto"/>
          </w:tcPr>
          <w:p w:rsidR="0096418D" w:rsidRDefault="0096418D" w:rsidP="0077312E">
            <w:pPr>
              <w:pStyle w:val="NoSpacing"/>
            </w:pPr>
            <w:r>
              <w:t>Tim McCarthy</w:t>
            </w:r>
          </w:p>
        </w:tc>
        <w:tc>
          <w:tcPr>
            <w:tcW w:w="2976" w:type="dxa"/>
            <w:shd w:val="clear" w:color="auto" w:fill="auto"/>
          </w:tcPr>
          <w:p w:rsidR="0096418D" w:rsidRDefault="0096418D" w:rsidP="0077312E">
            <w:pPr>
              <w:pStyle w:val="NoSpacing"/>
            </w:pPr>
            <w:r>
              <w:t>Royal Marsden Hospital</w:t>
            </w:r>
          </w:p>
        </w:tc>
      </w:tr>
      <w:tr w:rsidR="0096418D" w:rsidTr="0077312E">
        <w:tc>
          <w:tcPr>
            <w:tcW w:w="2802" w:type="dxa"/>
            <w:shd w:val="clear" w:color="auto" w:fill="auto"/>
          </w:tcPr>
          <w:p w:rsidR="0096418D" w:rsidRDefault="0096418D" w:rsidP="0077312E">
            <w:pPr>
              <w:pStyle w:val="NoSpacing"/>
            </w:pPr>
            <w:r>
              <w:t>Tina Coggan</w:t>
            </w:r>
          </w:p>
        </w:tc>
        <w:tc>
          <w:tcPr>
            <w:tcW w:w="2976" w:type="dxa"/>
            <w:shd w:val="clear" w:color="auto" w:fill="auto"/>
          </w:tcPr>
          <w:p w:rsidR="0096418D" w:rsidRDefault="0096418D" w:rsidP="0077312E">
            <w:pPr>
              <w:pStyle w:val="NoSpacing"/>
            </w:pPr>
            <w:r>
              <w:t>Royal Berkshire</w:t>
            </w:r>
          </w:p>
        </w:tc>
      </w:tr>
      <w:tr w:rsidR="0096418D" w:rsidTr="0077312E">
        <w:tc>
          <w:tcPr>
            <w:tcW w:w="2802" w:type="dxa"/>
            <w:shd w:val="clear" w:color="auto" w:fill="auto"/>
          </w:tcPr>
          <w:p w:rsidR="0096418D" w:rsidRDefault="0096418D" w:rsidP="0077312E">
            <w:pPr>
              <w:pStyle w:val="NoSpacing"/>
            </w:pPr>
            <w:r>
              <w:t>Wendy Spicer</w:t>
            </w:r>
          </w:p>
        </w:tc>
        <w:tc>
          <w:tcPr>
            <w:tcW w:w="2976" w:type="dxa"/>
            <w:shd w:val="clear" w:color="auto" w:fill="auto"/>
          </w:tcPr>
          <w:p w:rsidR="0096418D" w:rsidRDefault="0096418D" w:rsidP="0077312E">
            <w:pPr>
              <w:pStyle w:val="NoSpacing"/>
            </w:pPr>
            <w:r>
              <w:t>Royal Free Hospital</w:t>
            </w:r>
          </w:p>
        </w:tc>
      </w:tr>
    </w:tbl>
    <w:p w:rsidR="000103AC" w:rsidRDefault="00BA64D5"/>
    <w:sectPr w:rsidR="0001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4F0"/>
    <w:multiLevelType w:val="hybridMultilevel"/>
    <w:tmpl w:val="BD18C844"/>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7636510"/>
    <w:multiLevelType w:val="hybridMultilevel"/>
    <w:tmpl w:val="CDD4E41A"/>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804D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45469F"/>
    <w:multiLevelType w:val="hybridMultilevel"/>
    <w:tmpl w:val="F8DA66C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2A07D3A"/>
    <w:multiLevelType w:val="hybridMultilevel"/>
    <w:tmpl w:val="FDDED7B8"/>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6B4458"/>
    <w:multiLevelType w:val="hybridMultilevel"/>
    <w:tmpl w:val="8BACDC78"/>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87F0416"/>
    <w:multiLevelType w:val="multilevel"/>
    <w:tmpl w:val="309897E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DAC2A46"/>
    <w:multiLevelType w:val="hybridMultilevel"/>
    <w:tmpl w:val="FA288692"/>
    <w:lvl w:ilvl="0" w:tplc="D0E69FC0">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DD"/>
    <w:rsid w:val="0007071C"/>
    <w:rsid w:val="001359FE"/>
    <w:rsid w:val="002677DD"/>
    <w:rsid w:val="00311771"/>
    <w:rsid w:val="004D6F36"/>
    <w:rsid w:val="00663451"/>
    <w:rsid w:val="006E39F3"/>
    <w:rsid w:val="00740321"/>
    <w:rsid w:val="00811DBD"/>
    <w:rsid w:val="00843559"/>
    <w:rsid w:val="0096418D"/>
    <w:rsid w:val="00A67877"/>
    <w:rsid w:val="00B2300B"/>
    <w:rsid w:val="00BA64D5"/>
    <w:rsid w:val="00C84EEF"/>
    <w:rsid w:val="00CD394B"/>
    <w:rsid w:val="00DE50AF"/>
    <w:rsid w:val="00E7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8D"/>
    <w:rPr>
      <w:rFonts w:ascii="Calibri" w:eastAsia="Calibri" w:hAnsi="Calibri" w:cs="Times New Roman"/>
    </w:rPr>
  </w:style>
  <w:style w:type="paragraph" w:styleId="Heading2">
    <w:name w:val="heading 2"/>
    <w:basedOn w:val="Normal"/>
    <w:next w:val="Normal"/>
    <w:link w:val="Heading2Char"/>
    <w:qFormat/>
    <w:rsid w:val="00DE50AF"/>
    <w:pPr>
      <w:keepNext/>
      <w:spacing w:after="0" w:line="240" w:lineRule="auto"/>
      <w:outlineLvl w:val="1"/>
    </w:pPr>
    <w:rPr>
      <w:rFonts w:ascii="Arial" w:eastAsia="Times New Roman"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418D"/>
    <w:pPr>
      <w:spacing w:after="0" w:line="240" w:lineRule="auto"/>
    </w:pPr>
    <w:rPr>
      <w:rFonts w:ascii="Calibri" w:eastAsia="Calibri" w:hAnsi="Calibri" w:cs="Times New Roman"/>
    </w:rPr>
  </w:style>
  <w:style w:type="character" w:customStyle="1" w:styleId="NoSpacingChar">
    <w:name w:val="No Spacing Char"/>
    <w:link w:val="NoSpacing"/>
    <w:uiPriority w:val="1"/>
    <w:rsid w:val="0096418D"/>
    <w:rPr>
      <w:rFonts w:ascii="Calibri" w:eastAsia="Calibri" w:hAnsi="Calibri" w:cs="Times New Roman"/>
    </w:rPr>
  </w:style>
  <w:style w:type="character" w:customStyle="1" w:styleId="Heading2Char">
    <w:name w:val="Heading 2 Char"/>
    <w:basedOn w:val="DefaultParagraphFont"/>
    <w:link w:val="Heading2"/>
    <w:rsid w:val="00DE50AF"/>
    <w:rPr>
      <w:rFonts w:ascii="Arial" w:eastAsia="Times New Roman" w:hAnsi="Arial" w:cs="Times New Roman"/>
      <w:b/>
      <w:sz w:val="36"/>
      <w:szCs w:val="20"/>
    </w:rPr>
  </w:style>
  <w:style w:type="paragraph" w:styleId="Header">
    <w:name w:val="header"/>
    <w:basedOn w:val="Normal"/>
    <w:link w:val="HeaderChar"/>
    <w:rsid w:val="00DE50AF"/>
    <w:pPr>
      <w:tabs>
        <w:tab w:val="center" w:pos="4153"/>
        <w:tab w:val="right" w:pos="8306"/>
      </w:tabs>
      <w:spacing w:after="0" w:line="240" w:lineRule="auto"/>
    </w:pPr>
    <w:rPr>
      <w:rFonts w:ascii="Arial" w:eastAsia="Times New Roman" w:hAnsi="Arial"/>
      <w:b/>
      <w:sz w:val="28"/>
      <w:szCs w:val="20"/>
    </w:rPr>
  </w:style>
  <w:style w:type="character" w:customStyle="1" w:styleId="HeaderChar">
    <w:name w:val="Header Char"/>
    <w:basedOn w:val="DefaultParagraphFont"/>
    <w:link w:val="Header"/>
    <w:rsid w:val="00DE50AF"/>
    <w:rPr>
      <w:rFonts w:ascii="Arial" w:eastAsia="Times New Roman" w:hAnsi="Arial" w:cs="Times New Roman"/>
      <w:b/>
      <w:sz w:val="28"/>
      <w:szCs w:val="20"/>
    </w:rPr>
  </w:style>
  <w:style w:type="paragraph" w:styleId="Footer">
    <w:name w:val="footer"/>
    <w:basedOn w:val="Normal"/>
    <w:link w:val="FooterChar"/>
    <w:rsid w:val="00DE50AF"/>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DE50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8D"/>
    <w:rPr>
      <w:rFonts w:ascii="Calibri" w:eastAsia="Calibri" w:hAnsi="Calibri" w:cs="Times New Roman"/>
    </w:rPr>
  </w:style>
  <w:style w:type="paragraph" w:styleId="Heading2">
    <w:name w:val="heading 2"/>
    <w:basedOn w:val="Normal"/>
    <w:next w:val="Normal"/>
    <w:link w:val="Heading2Char"/>
    <w:qFormat/>
    <w:rsid w:val="00DE50AF"/>
    <w:pPr>
      <w:keepNext/>
      <w:spacing w:after="0" w:line="240" w:lineRule="auto"/>
      <w:outlineLvl w:val="1"/>
    </w:pPr>
    <w:rPr>
      <w:rFonts w:ascii="Arial" w:eastAsia="Times New Roman"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418D"/>
    <w:pPr>
      <w:spacing w:after="0" w:line="240" w:lineRule="auto"/>
    </w:pPr>
    <w:rPr>
      <w:rFonts w:ascii="Calibri" w:eastAsia="Calibri" w:hAnsi="Calibri" w:cs="Times New Roman"/>
    </w:rPr>
  </w:style>
  <w:style w:type="character" w:customStyle="1" w:styleId="NoSpacingChar">
    <w:name w:val="No Spacing Char"/>
    <w:link w:val="NoSpacing"/>
    <w:uiPriority w:val="1"/>
    <w:rsid w:val="0096418D"/>
    <w:rPr>
      <w:rFonts w:ascii="Calibri" w:eastAsia="Calibri" w:hAnsi="Calibri" w:cs="Times New Roman"/>
    </w:rPr>
  </w:style>
  <w:style w:type="character" w:customStyle="1" w:styleId="Heading2Char">
    <w:name w:val="Heading 2 Char"/>
    <w:basedOn w:val="DefaultParagraphFont"/>
    <w:link w:val="Heading2"/>
    <w:rsid w:val="00DE50AF"/>
    <w:rPr>
      <w:rFonts w:ascii="Arial" w:eastAsia="Times New Roman" w:hAnsi="Arial" w:cs="Times New Roman"/>
      <w:b/>
      <w:sz w:val="36"/>
      <w:szCs w:val="20"/>
    </w:rPr>
  </w:style>
  <w:style w:type="paragraph" w:styleId="Header">
    <w:name w:val="header"/>
    <w:basedOn w:val="Normal"/>
    <w:link w:val="HeaderChar"/>
    <w:rsid w:val="00DE50AF"/>
    <w:pPr>
      <w:tabs>
        <w:tab w:val="center" w:pos="4153"/>
        <w:tab w:val="right" w:pos="8306"/>
      </w:tabs>
      <w:spacing w:after="0" w:line="240" w:lineRule="auto"/>
    </w:pPr>
    <w:rPr>
      <w:rFonts w:ascii="Arial" w:eastAsia="Times New Roman" w:hAnsi="Arial"/>
      <w:b/>
      <w:sz w:val="28"/>
      <w:szCs w:val="20"/>
    </w:rPr>
  </w:style>
  <w:style w:type="character" w:customStyle="1" w:styleId="HeaderChar">
    <w:name w:val="Header Char"/>
    <w:basedOn w:val="DefaultParagraphFont"/>
    <w:link w:val="Header"/>
    <w:rsid w:val="00DE50AF"/>
    <w:rPr>
      <w:rFonts w:ascii="Arial" w:eastAsia="Times New Roman" w:hAnsi="Arial" w:cs="Times New Roman"/>
      <w:b/>
      <w:sz w:val="28"/>
      <w:szCs w:val="20"/>
    </w:rPr>
  </w:style>
  <w:style w:type="paragraph" w:styleId="Footer">
    <w:name w:val="footer"/>
    <w:basedOn w:val="Normal"/>
    <w:link w:val="FooterChar"/>
    <w:rsid w:val="00DE50AF"/>
    <w:pPr>
      <w:tabs>
        <w:tab w:val="center" w:pos="4153"/>
        <w:tab w:val="right" w:pos="8306"/>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DE50A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mu.nhs.uk/secure/EDIS/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u.nhs.uk/secure/EDIS/Login.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Southend University Hospital NHS Foundation Trust</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Kevan Wind</cp:lastModifiedBy>
  <cp:revision>2</cp:revision>
  <dcterms:created xsi:type="dcterms:W3CDTF">2016-03-14T09:05:00Z</dcterms:created>
  <dcterms:modified xsi:type="dcterms:W3CDTF">2016-03-14T09:05:00Z</dcterms:modified>
</cp:coreProperties>
</file>