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2FA" w:rsidRDefault="00E532FA" w:rsidP="00CB0281">
      <w:pPr>
        <w:pStyle w:val="NoSpacing"/>
        <w:jc w:val="center"/>
        <w:rPr>
          <w:b/>
          <w:sz w:val="32"/>
          <w:szCs w:val="32"/>
        </w:rPr>
      </w:pPr>
      <w:bookmarkStart w:id="0" w:name="_GoBack"/>
      <w:bookmarkEnd w:id="0"/>
      <w:r w:rsidRPr="00E532FA">
        <w:rPr>
          <w:b/>
          <w:sz w:val="32"/>
          <w:szCs w:val="32"/>
        </w:rPr>
        <w:t>Title Page</w:t>
      </w:r>
    </w:p>
    <w:p w:rsidR="00E532FA" w:rsidRDefault="00E532FA" w:rsidP="00CB0281">
      <w:pPr>
        <w:pStyle w:val="NoSpacing"/>
        <w:jc w:val="center"/>
        <w:rPr>
          <w:b/>
          <w:sz w:val="32"/>
          <w:szCs w:val="32"/>
        </w:rPr>
      </w:pPr>
    </w:p>
    <w:p w:rsidR="00E532FA" w:rsidRDefault="00E532FA" w:rsidP="00E532FA">
      <w:pPr>
        <w:pStyle w:val="NoSpacing"/>
        <w:rPr>
          <w:sz w:val="24"/>
          <w:szCs w:val="24"/>
        </w:rPr>
      </w:pPr>
      <w:r>
        <w:rPr>
          <w:sz w:val="24"/>
          <w:szCs w:val="24"/>
        </w:rPr>
        <w:t>Authors Name</w:t>
      </w:r>
      <w:r>
        <w:rPr>
          <w:sz w:val="24"/>
          <w:szCs w:val="24"/>
        </w:rPr>
        <w:tab/>
      </w:r>
      <w:r>
        <w:rPr>
          <w:sz w:val="24"/>
          <w:szCs w:val="24"/>
        </w:rPr>
        <w:tab/>
      </w:r>
      <w:r>
        <w:rPr>
          <w:sz w:val="24"/>
          <w:szCs w:val="24"/>
        </w:rPr>
        <w:tab/>
        <w:t>Kevan Ian Wind</w:t>
      </w:r>
    </w:p>
    <w:p w:rsidR="00E532FA" w:rsidRDefault="00E532FA" w:rsidP="00E532FA">
      <w:pPr>
        <w:pStyle w:val="NoSpacing"/>
        <w:rPr>
          <w:sz w:val="24"/>
          <w:szCs w:val="24"/>
        </w:rPr>
      </w:pPr>
    </w:p>
    <w:p w:rsidR="00E532FA" w:rsidRDefault="00E532FA" w:rsidP="00E532FA">
      <w:pPr>
        <w:pStyle w:val="NoSpacing"/>
        <w:rPr>
          <w:sz w:val="24"/>
          <w:szCs w:val="24"/>
        </w:rPr>
      </w:pPr>
      <w:r>
        <w:rPr>
          <w:sz w:val="24"/>
          <w:szCs w:val="24"/>
        </w:rPr>
        <w:t>Role</w:t>
      </w:r>
      <w:r>
        <w:rPr>
          <w:sz w:val="24"/>
          <w:szCs w:val="24"/>
        </w:rPr>
        <w:tab/>
      </w:r>
      <w:r>
        <w:rPr>
          <w:sz w:val="24"/>
          <w:szCs w:val="24"/>
        </w:rPr>
        <w:tab/>
      </w:r>
      <w:r>
        <w:rPr>
          <w:sz w:val="24"/>
          <w:szCs w:val="24"/>
        </w:rPr>
        <w:tab/>
      </w:r>
      <w:r>
        <w:rPr>
          <w:sz w:val="24"/>
          <w:szCs w:val="24"/>
        </w:rPr>
        <w:tab/>
        <w:t>Procurement Specialist Pharmacist</w:t>
      </w:r>
    </w:p>
    <w:p w:rsidR="00E532FA" w:rsidRDefault="00E532FA" w:rsidP="00E532FA">
      <w:pPr>
        <w:pStyle w:val="NoSpacing"/>
        <w:rPr>
          <w:sz w:val="24"/>
          <w:szCs w:val="24"/>
        </w:rPr>
      </w:pPr>
    </w:p>
    <w:p w:rsidR="00E532FA" w:rsidRDefault="00E532FA" w:rsidP="00E532FA">
      <w:pPr>
        <w:pStyle w:val="NoSpacing"/>
        <w:rPr>
          <w:sz w:val="24"/>
          <w:szCs w:val="24"/>
        </w:rPr>
      </w:pPr>
      <w:r>
        <w:rPr>
          <w:sz w:val="24"/>
          <w:szCs w:val="24"/>
        </w:rPr>
        <w:t>Institution</w:t>
      </w:r>
      <w:r>
        <w:rPr>
          <w:sz w:val="24"/>
          <w:szCs w:val="24"/>
        </w:rPr>
        <w:tab/>
      </w:r>
      <w:r>
        <w:rPr>
          <w:sz w:val="24"/>
          <w:szCs w:val="24"/>
        </w:rPr>
        <w:tab/>
      </w:r>
      <w:r>
        <w:rPr>
          <w:sz w:val="24"/>
          <w:szCs w:val="24"/>
        </w:rPr>
        <w:tab/>
        <w:t>Specialist Pharmacy Service (NHS England)</w:t>
      </w:r>
    </w:p>
    <w:p w:rsidR="00E532FA" w:rsidRDefault="00E532FA" w:rsidP="00E532FA">
      <w:pPr>
        <w:pStyle w:val="NoSpacing"/>
        <w:rPr>
          <w:sz w:val="24"/>
          <w:szCs w:val="24"/>
        </w:rPr>
      </w:pPr>
    </w:p>
    <w:p w:rsidR="00E532FA" w:rsidRDefault="00E532FA" w:rsidP="00E532FA">
      <w:pPr>
        <w:pStyle w:val="NoSpacing"/>
        <w:rPr>
          <w:sz w:val="24"/>
          <w:szCs w:val="24"/>
        </w:rPr>
      </w:pPr>
      <w:r>
        <w:rPr>
          <w:sz w:val="24"/>
          <w:szCs w:val="24"/>
        </w:rPr>
        <w:t>Postal Address</w:t>
      </w:r>
      <w:r>
        <w:rPr>
          <w:sz w:val="24"/>
          <w:szCs w:val="24"/>
        </w:rPr>
        <w:tab/>
      </w:r>
      <w:r>
        <w:rPr>
          <w:sz w:val="24"/>
          <w:szCs w:val="24"/>
        </w:rPr>
        <w:tab/>
      </w:r>
      <w:r>
        <w:rPr>
          <w:sz w:val="24"/>
          <w:szCs w:val="24"/>
        </w:rPr>
        <w:tab/>
        <w:t>c/o Pharmacy Department</w:t>
      </w:r>
    </w:p>
    <w:p w:rsidR="00E532FA" w:rsidRDefault="00E532FA" w:rsidP="00E532FA">
      <w:pPr>
        <w:pStyle w:val="NoSpacing"/>
        <w:rPr>
          <w:sz w:val="24"/>
          <w:szCs w:val="24"/>
        </w:rPr>
      </w:pPr>
      <w:r>
        <w:rPr>
          <w:sz w:val="24"/>
          <w:szCs w:val="24"/>
        </w:rPr>
        <w:tab/>
      </w:r>
      <w:r>
        <w:rPr>
          <w:sz w:val="24"/>
          <w:szCs w:val="24"/>
        </w:rPr>
        <w:tab/>
      </w:r>
      <w:r>
        <w:rPr>
          <w:sz w:val="24"/>
          <w:szCs w:val="24"/>
        </w:rPr>
        <w:tab/>
      </w:r>
      <w:r>
        <w:rPr>
          <w:sz w:val="24"/>
          <w:szCs w:val="24"/>
        </w:rPr>
        <w:tab/>
      </w:r>
      <w:r w:rsidRPr="00E532FA">
        <w:rPr>
          <w:sz w:val="24"/>
          <w:szCs w:val="24"/>
        </w:rPr>
        <w:t>Southend University Hospital NHS Foundation Trust</w:t>
      </w:r>
    </w:p>
    <w:p w:rsidR="00E532FA" w:rsidRDefault="00E532FA" w:rsidP="00E532FA">
      <w:pPr>
        <w:pStyle w:val="NoSpacing"/>
        <w:rPr>
          <w:sz w:val="24"/>
          <w:szCs w:val="24"/>
        </w:rPr>
      </w:pPr>
      <w:r>
        <w:rPr>
          <w:sz w:val="24"/>
          <w:szCs w:val="24"/>
        </w:rPr>
        <w:tab/>
      </w:r>
      <w:r>
        <w:rPr>
          <w:sz w:val="24"/>
          <w:szCs w:val="24"/>
        </w:rPr>
        <w:tab/>
      </w:r>
      <w:r>
        <w:rPr>
          <w:sz w:val="24"/>
          <w:szCs w:val="24"/>
        </w:rPr>
        <w:tab/>
      </w:r>
      <w:r>
        <w:rPr>
          <w:sz w:val="24"/>
          <w:szCs w:val="24"/>
        </w:rPr>
        <w:tab/>
      </w:r>
      <w:proofErr w:type="spellStart"/>
      <w:r>
        <w:rPr>
          <w:sz w:val="24"/>
          <w:szCs w:val="24"/>
        </w:rPr>
        <w:t>Prittlewell</w:t>
      </w:r>
      <w:proofErr w:type="spellEnd"/>
      <w:r>
        <w:rPr>
          <w:sz w:val="24"/>
          <w:szCs w:val="24"/>
        </w:rPr>
        <w:t xml:space="preserve"> Chase</w:t>
      </w:r>
    </w:p>
    <w:p w:rsidR="00E532FA" w:rsidRDefault="00E532FA" w:rsidP="00E532FA">
      <w:pPr>
        <w:pStyle w:val="NoSpacing"/>
        <w:rPr>
          <w:sz w:val="24"/>
          <w:szCs w:val="24"/>
        </w:rPr>
      </w:pPr>
      <w:r>
        <w:rPr>
          <w:sz w:val="24"/>
          <w:szCs w:val="24"/>
        </w:rPr>
        <w:tab/>
      </w:r>
      <w:r>
        <w:rPr>
          <w:sz w:val="24"/>
          <w:szCs w:val="24"/>
        </w:rPr>
        <w:tab/>
      </w:r>
      <w:r>
        <w:rPr>
          <w:sz w:val="24"/>
          <w:szCs w:val="24"/>
        </w:rPr>
        <w:tab/>
      </w:r>
      <w:r>
        <w:rPr>
          <w:sz w:val="24"/>
          <w:szCs w:val="24"/>
        </w:rPr>
        <w:tab/>
      </w:r>
      <w:proofErr w:type="spellStart"/>
      <w:r>
        <w:rPr>
          <w:sz w:val="24"/>
          <w:szCs w:val="24"/>
        </w:rPr>
        <w:t>Westcliff</w:t>
      </w:r>
      <w:proofErr w:type="spellEnd"/>
      <w:r>
        <w:rPr>
          <w:sz w:val="24"/>
          <w:szCs w:val="24"/>
        </w:rPr>
        <w:t xml:space="preserve"> on Sea</w:t>
      </w:r>
    </w:p>
    <w:p w:rsidR="00E532FA" w:rsidRDefault="00E532FA" w:rsidP="00E532FA">
      <w:pPr>
        <w:pStyle w:val="NoSpacing"/>
        <w:rPr>
          <w:sz w:val="24"/>
          <w:szCs w:val="24"/>
        </w:rPr>
      </w:pPr>
      <w:r>
        <w:rPr>
          <w:sz w:val="24"/>
          <w:szCs w:val="24"/>
        </w:rPr>
        <w:tab/>
      </w:r>
      <w:r>
        <w:rPr>
          <w:sz w:val="24"/>
          <w:szCs w:val="24"/>
        </w:rPr>
        <w:tab/>
      </w:r>
      <w:r>
        <w:rPr>
          <w:sz w:val="24"/>
          <w:szCs w:val="24"/>
        </w:rPr>
        <w:tab/>
      </w:r>
      <w:r>
        <w:rPr>
          <w:sz w:val="24"/>
          <w:szCs w:val="24"/>
        </w:rPr>
        <w:tab/>
        <w:t>Essex</w:t>
      </w:r>
    </w:p>
    <w:p w:rsidR="00E532FA" w:rsidRDefault="00E532FA" w:rsidP="00E532FA">
      <w:pPr>
        <w:pStyle w:val="NoSpacing"/>
        <w:rPr>
          <w:sz w:val="24"/>
          <w:szCs w:val="24"/>
        </w:rPr>
      </w:pPr>
      <w:r>
        <w:rPr>
          <w:sz w:val="24"/>
          <w:szCs w:val="24"/>
        </w:rPr>
        <w:tab/>
      </w:r>
      <w:r>
        <w:rPr>
          <w:sz w:val="24"/>
          <w:szCs w:val="24"/>
        </w:rPr>
        <w:tab/>
      </w:r>
      <w:r>
        <w:rPr>
          <w:sz w:val="24"/>
          <w:szCs w:val="24"/>
        </w:rPr>
        <w:tab/>
      </w:r>
      <w:r>
        <w:rPr>
          <w:sz w:val="24"/>
          <w:szCs w:val="24"/>
        </w:rPr>
        <w:tab/>
        <w:t>SS0 0RY</w:t>
      </w:r>
    </w:p>
    <w:p w:rsidR="00E532FA" w:rsidRDefault="00E532FA" w:rsidP="00E532FA">
      <w:pPr>
        <w:pStyle w:val="NoSpacing"/>
        <w:rPr>
          <w:sz w:val="24"/>
          <w:szCs w:val="24"/>
        </w:rPr>
      </w:pPr>
    </w:p>
    <w:p w:rsidR="00E532FA" w:rsidRDefault="00E532FA" w:rsidP="00E532FA">
      <w:pPr>
        <w:pStyle w:val="NoSpacing"/>
        <w:rPr>
          <w:sz w:val="24"/>
          <w:szCs w:val="24"/>
        </w:rPr>
      </w:pPr>
      <w:r w:rsidRPr="00E532FA">
        <w:rPr>
          <w:sz w:val="24"/>
          <w:szCs w:val="24"/>
        </w:rPr>
        <w:t xml:space="preserve">E mail </w:t>
      </w:r>
      <w:r>
        <w:rPr>
          <w:sz w:val="24"/>
          <w:szCs w:val="24"/>
        </w:rPr>
        <w:tab/>
      </w:r>
      <w:r>
        <w:rPr>
          <w:sz w:val="24"/>
          <w:szCs w:val="24"/>
        </w:rPr>
        <w:tab/>
      </w:r>
      <w:r>
        <w:rPr>
          <w:sz w:val="24"/>
          <w:szCs w:val="24"/>
        </w:rPr>
        <w:tab/>
      </w:r>
      <w:r>
        <w:rPr>
          <w:sz w:val="24"/>
          <w:szCs w:val="24"/>
        </w:rPr>
        <w:tab/>
      </w:r>
      <w:hyperlink r:id="rId7" w:history="1">
        <w:r w:rsidRPr="00E92576">
          <w:rPr>
            <w:rStyle w:val="Hyperlink"/>
            <w:sz w:val="24"/>
            <w:szCs w:val="24"/>
          </w:rPr>
          <w:t>Kevan.wind@southend.nhs.uk</w:t>
        </w:r>
      </w:hyperlink>
    </w:p>
    <w:p w:rsidR="00E532FA" w:rsidRDefault="00E532FA" w:rsidP="00E532FA">
      <w:pPr>
        <w:pStyle w:val="NoSpacing"/>
        <w:rPr>
          <w:sz w:val="24"/>
          <w:szCs w:val="24"/>
        </w:rPr>
      </w:pPr>
    </w:p>
    <w:p w:rsidR="00E532FA" w:rsidRDefault="00E532FA" w:rsidP="00E532FA">
      <w:pPr>
        <w:pStyle w:val="NoSpacing"/>
        <w:ind w:left="2880" w:hanging="2880"/>
        <w:rPr>
          <w:sz w:val="24"/>
          <w:szCs w:val="24"/>
        </w:rPr>
      </w:pPr>
      <w:r>
        <w:rPr>
          <w:sz w:val="24"/>
          <w:szCs w:val="24"/>
        </w:rPr>
        <w:t>Key Words</w:t>
      </w:r>
      <w:r>
        <w:rPr>
          <w:sz w:val="24"/>
          <w:szCs w:val="24"/>
        </w:rPr>
        <w:tab/>
        <w:t>Outsourced Outpatients, Outsourcing, Dispensing Services, Contract Manage</w:t>
      </w:r>
      <w:r w:rsidR="00C64BA7">
        <w:rPr>
          <w:sz w:val="24"/>
          <w:szCs w:val="24"/>
        </w:rPr>
        <w:t>ment, Pharmacy, Performance Moni</w:t>
      </w:r>
      <w:r>
        <w:rPr>
          <w:sz w:val="24"/>
          <w:szCs w:val="24"/>
        </w:rPr>
        <w:t>toring.</w:t>
      </w:r>
    </w:p>
    <w:p w:rsidR="00E532FA" w:rsidRDefault="00E532FA" w:rsidP="00E532FA">
      <w:pPr>
        <w:pStyle w:val="NoSpacing"/>
        <w:ind w:left="2880" w:hanging="2880"/>
        <w:rPr>
          <w:sz w:val="32"/>
          <w:szCs w:val="32"/>
        </w:rPr>
      </w:pPr>
    </w:p>
    <w:p w:rsidR="00E532FA" w:rsidRDefault="005A63DC" w:rsidP="00E532FA">
      <w:pPr>
        <w:pStyle w:val="NoSpacing"/>
      </w:pPr>
      <w:r w:rsidRPr="0055170A">
        <w:t xml:space="preserve">Word Count </w:t>
      </w:r>
      <w:r w:rsidRPr="0055170A">
        <w:tab/>
      </w:r>
      <w:r w:rsidRPr="0055170A">
        <w:tab/>
      </w:r>
      <w:r w:rsidR="007D79CC">
        <w:t>3562</w:t>
      </w:r>
    </w:p>
    <w:p w:rsidR="005A63DC" w:rsidRDefault="005A63DC" w:rsidP="00E532FA">
      <w:pPr>
        <w:pStyle w:val="NoSpacing"/>
        <w:ind w:left="2880" w:hanging="2880"/>
      </w:pPr>
    </w:p>
    <w:p w:rsidR="005A63DC" w:rsidRDefault="005A63DC" w:rsidP="005A63DC">
      <w:pPr>
        <w:pStyle w:val="NoSpacing"/>
        <w:rPr>
          <w:u w:val="single"/>
        </w:rPr>
      </w:pPr>
      <w:r>
        <w:rPr>
          <w:u w:val="single"/>
        </w:rPr>
        <w:t>Abstract</w:t>
      </w:r>
    </w:p>
    <w:p w:rsidR="005A63DC" w:rsidRDefault="005A63DC" w:rsidP="005A63DC">
      <w:pPr>
        <w:pStyle w:val="NoSpacing"/>
        <w:ind w:left="720"/>
        <w:rPr>
          <w:u w:val="single"/>
        </w:rPr>
      </w:pPr>
      <w:r>
        <w:rPr>
          <w:u w:val="single"/>
        </w:rPr>
        <w:t>Objectives</w:t>
      </w:r>
    </w:p>
    <w:p w:rsidR="005A63DC" w:rsidRDefault="003939AF" w:rsidP="005A63DC">
      <w:pPr>
        <w:pStyle w:val="NoSpacing"/>
        <w:ind w:left="720"/>
      </w:pPr>
      <w:r>
        <w:t>The successful management of outsourced services is a skill which is increasingly required in the UK NHS.  However it is not something that is widely taught and contract managers tend to operate singly and in isolation.  A group has been created in S.E. England to share expertise and knowledge</w:t>
      </w:r>
      <w:r w:rsidR="00A10F42">
        <w:t xml:space="preserve"> in </w:t>
      </w:r>
      <w:r w:rsidR="00C04A82">
        <w:t xml:space="preserve">contract </w:t>
      </w:r>
      <w:r w:rsidR="00A10F42">
        <w:t>managing outsourced outpatient services in hospital pharmacies</w:t>
      </w:r>
      <w:r>
        <w:t xml:space="preserve">.  The </w:t>
      </w:r>
      <w:r w:rsidR="00A10F42">
        <w:t xml:space="preserve">initial </w:t>
      </w:r>
      <w:r>
        <w:t>activities of this group may be useful to others and are shared in this article.</w:t>
      </w:r>
      <w:r>
        <w:br/>
      </w:r>
    </w:p>
    <w:p w:rsidR="003939AF" w:rsidRDefault="003939AF" w:rsidP="005A63DC">
      <w:pPr>
        <w:pStyle w:val="NoSpacing"/>
        <w:ind w:left="720"/>
        <w:rPr>
          <w:u w:val="single"/>
        </w:rPr>
      </w:pPr>
      <w:r>
        <w:rPr>
          <w:u w:val="single"/>
        </w:rPr>
        <w:t>Methods</w:t>
      </w:r>
    </w:p>
    <w:p w:rsidR="003939AF" w:rsidRDefault="00A10F42" w:rsidP="005A63DC">
      <w:pPr>
        <w:pStyle w:val="NoSpacing"/>
        <w:ind w:left="720"/>
      </w:pPr>
      <w:r>
        <w:t xml:space="preserve">A group of contract managers of outsourced outpatient services in London, East of England and Thames Valley and Wessex has been created to share expertise and knowledge.  The group members come from trusts in the three regions and either </w:t>
      </w:r>
      <w:proofErr w:type="gramStart"/>
      <w:r>
        <w:t>manage</w:t>
      </w:r>
      <w:proofErr w:type="gramEnd"/>
      <w:r>
        <w:t xml:space="preserve"> an existing service or are in the process of letting a contract.  One of the sites manages a subsidiary company (i.e. owned by the trust) which runs the outpatient services separately to the trust pharmacy service.  The group identified a series of tasks which could usefully be undertaken collectively to compare service provision, costs, and contract management techniques (e.g. performance indicators).  </w:t>
      </w:r>
      <w:r>
        <w:br/>
      </w:r>
    </w:p>
    <w:p w:rsidR="00A10F42" w:rsidRDefault="00A10F42" w:rsidP="005A63DC">
      <w:pPr>
        <w:pStyle w:val="NoSpacing"/>
        <w:ind w:left="720"/>
        <w:rPr>
          <w:u w:val="single"/>
        </w:rPr>
      </w:pPr>
      <w:r>
        <w:rPr>
          <w:u w:val="single"/>
        </w:rPr>
        <w:t>Results</w:t>
      </w:r>
    </w:p>
    <w:p w:rsidR="00A10F42" w:rsidRDefault="00A10F42" w:rsidP="005A63DC">
      <w:pPr>
        <w:pStyle w:val="NoSpacing"/>
        <w:ind w:left="720"/>
      </w:pPr>
      <w:r>
        <w:t xml:space="preserve">The initial findings of the group are detailed in the report.  </w:t>
      </w:r>
      <w:r w:rsidR="00077930">
        <w:t>These are</w:t>
      </w:r>
    </w:p>
    <w:p w:rsidR="00077930" w:rsidRDefault="007A5110" w:rsidP="00077930">
      <w:pPr>
        <w:pStyle w:val="NoSpacing"/>
        <w:numPr>
          <w:ilvl w:val="0"/>
          <w:numId w:val="30"/>
        </w:numPr>
      </w:pPr>
      <w:r>
        <w:t>Nature and Type of Services</w:t>
      </w:r>
    </w:p>
    <w:p w:rsidR="007A5110" w:rsidRDefault="007A5110" w:rsidP="00077930">
      <w:pPr>
        <w:pStyle w:val="NoSpacing"/>
        <w:numPr>
          <w:ilvl w:val="0"/>
          <w:numId w:val="30"/>
        </w:numPr>
      </w:pPr>
      <w:r>
        <w:t>Performance Indicators</w:t>
      </w:r>
    </w:p>
    <w:p w:rsidR="007A5110" w:rsidRDefault="007A5110" w:rsidP="00077930">
      <w:pPr>
        <w:pStyle w:val="NoSpacing"/>
        <w:numPr>
          <w:ilvl w:val="0"/>
          <w:numId w:val="30"/>
        </w:numPr>
      </w:pPr>
      <w:r>
        <w:t>Costs</w:t>
      </w:r>
    </w:p>
    <w:p w:rsidR="007A5110" w:rsidRDefault="007A5110" w:rsidP="00077930">
      <w:pPr>
        <w:pStyle w:val="NoSpacing"/>
        <w:numPr>
          <w:ilvl w:val="0"/>
          <w:numId w:val="30"/>
        </w:numPr>
      </w:pPr>
      <w:r>
        <w:t>Staffing and Support Requirements</w:t>
      </w:r>
    </w:p>
    <w:p w:rsidR="007A5110" w:rsidRDefault="007A5110" w:rsidP="00077930">
      <w:pPr>
        <w:pStyle w:val="NoSpacing"/>
        <w:numPr>
          <w:ilvl w:val="0"/>
          <w:numId w:val="30"/>
        </w:numPr>
      </w:pPr>
      <w:r>
        <w:t>Additional Delivery Services</w:t>
      </w:r>
    </w:p>
    <w:p w:rsidR="007A5110" w:rsidRDefault="007A5110" w:rsidP="00077930">
      <w:pPr>
        <w:pStyle w:val="NoSpacing"/>
        <w:numPr>
          <w:ilvl w:val="0"/>
          <w:numId w:val="30"/>
        </w:numPr>
      </w:pPr>
      <w:r>
        <w:lastRenderedPageBreak/>
        <w:t>Issues and Risks Log</w:t>
      </w:r>
    </w:p>
    <w:p w:rsidR="007A5110" w:rsidRDefault="007A5110" w:rsidP="00077930">
      <w:pPr>
        <w:pStyle w:val="NoSpacing"/>
        <w:numPr>
          <w:ilvl w:val="0"/>
          <w:numId w:val="30"/>
        </w:numPr>
      </w:pPr>
      <w:r>
        <w:t>Dealing with PBR excluded medicines and PAS schemes</w:t>
      </w:r>
    </w:p>
    <w:p w:rsidR="007A5110" w:rsidRDefault="007A5110" w:rsidP="00077930">
      <w:pPr>
        <w:pStyle w:val="NoSpacing"/>
        <w:numPr>
          <w:ilvl w:val="0"/>
          <w:numId w:val="30"/>
        </w:numPr>
      </w:pPr>
      <w:r>
        <w:t>Collection of Prescription Charges</w:t>
      </w:r>
    </w:p>
    <w:p w:rsidR="007A5110" w:rsidRDefault="007A5110" w:rsidP="00077930">
      <w:pPr>
        <w:pStyle w:val="NoSpacing"/>
        <w:numPr>
          <w:ilvl w:val="0"/>
          <w:numId w:val="30"/>
        </w:numPr>
      </w:pPr>
      <w:r>
        <w:t>Preparing a Business Case</w:t>
      </w:r>
    </w:p>
    <w:p w:rsidR="007A5110" w:rsidRPr="00A10F42" w:rsidRDefault="007A5110" w:rsidP="007A5110">
      <w:pPr>
        <w:pStyle w:val="NoSpacing"/>
        <w:ind w:left="1080"/>
      </w:pPr>
    </w:p>
    <w:p w:rsidR="005A63DC" w:rsidRPr="008F4278" w:rsidRDefault="008F4278" w:rsidP="008F4278">
      <w:pPr>
        <w:pStyle w:val="NoSpacing"/>
        <w:ind w:left="720"/>
        <w:rPr>
          <w:u w:val="single"/>
        </w:rPr>
      </w:pPr>
      <w:r w:rsidRPr="008F4278">
        <w:rPr>
          <w:u w:val="single"/>
        </w:rPr>
        <w:t>Conclusions</w:t>
      </w:r>
    </w:p>
    <w:p w:rsidR="008F4278" w:rsidRPr="008F4278" w:rsidRDefault="008F4278" w:rsidP="008F4278">
      <w:pPr>
        <w:pStyle w:val="NoSpacing"/>
        <w:ind w:left="720"/>
      </w:pPr>
      <w:r>
        <w:t xml:space="preserve">The operation </w:t>
      </w:r>
      <w:proofErr w:type="spellStart"/>
      <w:r>
        <w:t>f</w:t>
      </w:r>
      <w:proofErr w:type="spellEnd"/>
      <w:r>
        <w:t xml:space="preserve"> the group has allowed sharing of information and expertise within the NHS.  It has been particularly useful for centres about to start a service.  More work needs to be done, particularly on performance indicators but both the NHS and the contractors appreciate a collective approach with the reduction in variation, costs and risk that this entails.  Such an approach has been forced on the NHS by the failures in the homecare market and it seems logical to apply the lessons from the management of one outsourced service to another.</w:t>
      </w:r>
    </w:p>
    <w:p w:rsidR="005A63DC" w:rsidRDefault="005A63DC" w:rsidP="005A63DC">
      <w:pPr>
        <w:pStyle w:val="NoSpacing"/>
        <w:jc w:val="center"/>
        <w:rPr>
          <w:b/>
        </w:rPr>
      </w:pPr>
    </w:p>
    <w:p w:rsidR="00FE133B" w:rsidRDefault="00FE133B" w:rsidP="00FE133B">
      <w:pPr>
        <w:pStyle w:val="NoSpacing"/>
        <w:rPr>
          <w:u w:val="single"/>
        </w:rPr>
      </w:pPr>
      <w:r>
        <w:rPr>
          <w:u w:val="single"/>
        </w:rPr>
        <w:t>Key Messages</w:t>
      </w:r>
    </w:p>
    <w:p w:rsidR="00FE133B" w:rsidRDefault="00FE133B" w:rsidP="00FE133B">
      <w:pPr>
        <w:pStyle w:val="NoSpacing"/>
        <w:numPr>
          <w:ilvl w:val="0"/>
          <w:numId w:val="31"/>
        </w:numPr>
        <w:rPr>
          <w:u w:val="single"/>
        </w:rPr>
      </w:pPr>
      <w:r>
        <w:rPr>
          <w:u w:val="single"/>
        </w:rPr>
        <w:t>What is Known on This Subject</w:t>
      </w:r>
    </w:p>
    <w:p w:rsidR="00FE133B" w:rsidRPr="00FE133B" w:rsidRDefault="00FE133B" w:rsidP="00FE133B">
      <w:pPr>
        <w:pStyle w:val="NoSpacing"/>
        <w:numPr>
          <w:ilvl w:val="1"/>
          <w:numId w:val="31"/>
        </w:numPr>
        <w:rPr>
          <w:u w:val="single"/>
        </w:rPr>
      </w:pPr>
      <w:r>
        <w:t xml:space="preserve">The management of outsourced services can be problematic as the homecare market has </w:t>
      </w:r>
      <w:r w:rsidR="00C04A82">
        <w:t>shown.</w:t>
      </w:r>
    </w:p>
    <w:p w:rsidR="00FE133B" w:rsidRPr="00FE133B" w:rsidRDefault="00FE133B" w:rsidP="00FE133B">
      <w:pPr>
        <w:pStyle w:val="NoSpacing"/>
        <w:numPr>
          <w:ilvl w:val="1"/>
          <w:numId w:val="31"/>
        </w:numPr>
        <w:rPr>
          <w:u w:val="single"/>
        </w:rPr>
      </w:pPr>
      <w:r>
        <w:t xml:space="preserve">To date contract management of outsourced outpatients has been undertaken at a trust level </w:t>
      </w:r>
      <w:r w:rsidR="00C04A82">
        <w:t xml:space="preserve">and </w:t>
      </w:r>
      <w:r>
        <w:t>in isolation.</w:t>
      </w:r>
    </w:p>
    <w:p w:rsidR="00FE133B" w:rsidRPr="00CA09B2" w:rsidRDefault="00FE133B" w:rsidP="00FE133B">
      <w:pPr>
        <w:pStyle w:val="NoSpacing"/>
        <w:numPr>
          <w:ilvl w:val="1"/>
          <w:numId w:val="31"/>
        </w:numPr>
        <w:rPr>
          <w:u w:val="single"/>
        </w:rPr>
      </w:pPr>
      <w:r>
        <w:t xml:space="preserve">The contract management methods have been </w:t>
      </w:r>
      <w:r w:rsidR="00CA09B2">
        <w:t>similar but there is considerable variation in detail and a lot of this is driven by the contractors rather than the NHS.</w:t>
      </w:r>
      <w:r w:rsidR="00CA09B2">
        <w:br/>
      </w:r>
    </w:p>
    <w:p w:rsidR="00CA09B2" w:rsidRDefault="00CA09B2" w:rsidP="00CA09B2">
      <w:pPr>
        <w:pStyle w:val="NoSpacing"/>
        <w:numPr>
          <w:ilvl w:val="0"/>
          <w:numId w:val="31"/>
        </w:numPr>
        <w:rPr>
          <w:u w:val="single"/>
        </w:rPr>
      </w:pPr>
      <w:r>
        <w:rPr>
          <w:u w:val="single"/>
        </w:rPr>
        <w:t>What this Study Adds</w:t>
      </w:r>
    </w:p>
    <w:p w:rsidR="00CA09B2" w:rsidRPr="00CA09B2" w:rsidRDefault="00CA09B2" w:rsidP="00CA09B2">
      <w:pPr>
        <w:pStyle w:val="NoSpacing"/>
        <w:numPr>
          <w:ilvl w:val="1"/>
          <w:numId w:val="31"/>
        </w:numPr>
        <w:rPr>
          <w:u w:val="single"/>
        </w:rPr>
      </w:pPr>
      <w:r>
        <w:t>This study details some of the early steps in drawing together the lessons learned by contract managers of outsourced outpatient services in SE England.</w:t>
      </w:r>
    </w:p>
    <w:p w:rsidR="00CA09B2" w:rsidRPr="00CA09B2" w:rsidRDefault="00CA09B2" w:rsidP="00CA09B2">
      <w:pPr>
        <w:pStyle w:val="NoSpacing"/>
        <w:numPr>
          <w:ilvl w:val="1"/>
          <w:numId w:val="31"/>
        </w:numPr>
        <w:rPr>
          <w:u w:val="single"/>
        </w:rPr>
      </w:pPr>
      <w:r>
        <w:t>The study gives a crude comparison of services, their costs and the support required of the existing trust pharmacy to support the outsourced service.</w:t>
      </w:r>
    </w:p>
    <w:p w:rsidR="00CA09B2" w:rsidRPr="00CA09B2" w:rsidRDefault="00CA09B2" w:rsidP="00CA09B2">
      <w:pPr>
        <w:pStyle w:val="NoSpacing"/>
        <w:numPr>
          <w:ilvl w:val="1"/>
          <w:numId w:val="31"/>
        </w:numPr>
        <w:rPr>
          <w:u w:val="single"/>
        </w:rPr>
      </w:pPr>
      <w:r>
        <w:t>The study points at a potential core set of indicators which could be used to measure the effectiveness of the service.</w:t>
      </w:r>
    </w:p>
    <w:p w:rsidR="00CA09B2" w:rsidRPr="00C04A82" w:rsidRDefault="00CA09B2">
      <w:pPr>
        <w:pStyle w:val="NoSpacing"/>
        <w:numPr>
          <w:ilvl w:val="1"/>
          <w:numId w:val="31"/>
        </w:numPr>
        <w:rPr>
          <w:u w:val="single"/>
        </w:rPr>
      </w:pPr>
      <w:r>
        <w:t xml:space="preserve">The study shares some useful resources </w:t>
      </w:r>
      <w:proofErr w:type="gramStart"/>
      <w:r>
        <w:t>The</w:t>
      </w:r>
      <w:proofErr w:type="gramEnd"/>
      <w:r>
        <w:t xml:space="preserve"> study draws together lessons learned from implementation of contracts in member trusts.</w:t>
      </w:r>
    </w:p>
    <w:p w:rsidR="005A63DC" w:rsidRDefault="00CA09B2" w:rsidP="00CA09B2">
      <w:pPr>
        <w:pStyle w:val="NoSpacing"/>
        <w:rPr>
          <w:b/>
        </w:rPr>
      </w:pPr>
      <w:r>
        <w:rPr>
          <w:b/>
        </w:rPr>
        <w:br w:type="page"/>
      </w:r>
    </w:p>
    <w:p w:rsidR="00CB0281" w:rsidRPr="005A63DC" w:rsidRDefault="00FD3A85" w:rsidP="005A63DC">
      <w:pPr>
        <w:pStyle w:val="NoSpacing"/>
        <w:jc w:val="center"/>
        <w:rPr>
          <w:sz w:val="32"/>
          <w:szCs w:val="32"/>
        </w:rPr>
      </w:pPr>
      <w:r w:rsidRPr="00CB0281">
        <w:rPr>
          <w:b/>
        </w:rPr>
        <w:lastRenderedPageBreak/>
        <w:t>Methodology for the Management of Outsourced Outpatient Services</w:t>
      </w:r>
    </w:p>
    <w:p w:rsidR="000073D8" w:rsidRPr="00CB0281" w:rsidRDefault="00CB0281" w:rsidP="00CB0281">
      <w:pPr>
        <w:pStyle w:val="NoSpacing"/>
        <w:jc w:val="center"/>
        <w:rPr>
          <w:b/>
        </w:rPr>
      </w:pPr>
      <w:proofErr w:type="gramStart"/>
      <w:r w:rsidRPr="00CB0281">
        <w:rPr>
          <w:b/>
        </w:rPr>
        <w:t>Within the NHS Pharmacy Service</w:t>
      </w:r>
      <w:r w:rsidR="00FD3A85" w:rsidRPr="00CB0281">
        <w:rPr>
          <w:b/>
        </w:rPr>
        <w:t>.</w:t>
      </w:r>
      <w:proofErr w:type="gramEnd"/>
    </w:p>
    <w:p w:rsidR="00FD3A85" w:rsidRPr="00FD3A85" w:rsidRDefault="00FD3A85" w:rsidP="00FD3A85">
      <w:pPr>
        <w:pStyle w:val="NoSpacing"/>
        <w:rPr>
          <w:u w:val="single"/>
        </w:rPr>
      </w:pPr>
      <w:r>
        <w:rPr>
          <w:u w:val="single"/>
        </w:rPr>
        <w:t>Introduction</w:t>
      </w:r>
    </w:p>
    <w:p w:rsidR="009D2ECC" w:rsidRDefault="00FD3A85" w:rsidP="00FD3A85">
      <w:pPr>
        <w:pStyle w:val="NoSpacing"/>
      </w:pPr>
      <w:r>
        <w:t xml:space="preserve">If a service is to be outsourced it is essential that a contract management system is employed to measure and govern </w:t>
      </w:r>
      <w:r w:rsidR="005B13E4">
        <w:t>the outsourced partner</w:t>
      </w:r>
      <w:r>
        <w:t xml:space="preserve">.  The </w:t>
      </w:r>
      <w:r w:rsidR="00D95FCF">
        <w:t>National Health Service (</w:t>
      </w:r>
      <w:r>
        <w:t>NHS</w:t>
      </w:r>
      <w:r w:rsidR="00D95FCF">
        <w:t>)</w:t>
      </w:r>
      <w:r>
        <w:t xml:space="preserve"> has learned this les</w:t>
      </w:r>
      <w:r w:rsidR="009B4B2F">
        <w:t xml:space="preserve">son to its cost </w:t>
      </w:r>
      <w:proofErr w:type="gramStart"/>
      <w:r w:rsidR="009B4B2F">
        <w:t>with  recent</w:t>
      </w:r>
      <w:proofErr w:type="gramEnd"/>
      <w:r w:rsidR="009B4B2F">
        <w:t xml:space="preserve"> difficulties within</w:t>
      </w:r>
      <w:r w:rsidR="000840F8">
        <w:t xml:space="preserve"> the homecare market which</w:t>
      </w:r>
      <w:r w:rsidR="00791DB5">
        <w:t xml:space="preserve"> has demonstrated that without coordination, providers</w:t>
      </w:r>
      <w:r w:rsidR="009B4B2F">
        <w:t xml:space="preserve"> can</w:t>
      </w:r>
      <w:r w:rsidR="00CB0281">
        <w:t xml:space="preserve"> behave as individuals</w:t>
      </w:r>
      <w:r w:rsidR="000840F8">
        <w:t xml:space="preserve"> and services are neither consistent nor even appropriate</w:t>
      </w:r>
      <w:r w:rsidR="00CB0281">
        <w:t>.  The NHS has</w:t>
      </w:r>
      <w:r w:rsidR="00791DB5">
        <w:t xml:space="preserve"> found that performance indicators we th</w:t>
      </w:r>
      <w:r w:rsidR="00CB0281">
        <w:t>ought understood were not</w:t>
      </w:r>
      <w:r w:rsidR="00791DB5">
        <w:t xml:space="preserve"> defined clearly enough, incidents and complaints were being dealt with differently </w:t>
      </w:r>
      <w:r w:rsidR="00CB0281">
        <w:t xml:space="preserve">by different providers </w:t>
      </w:r>
      <w:r w:rsidR="00791DB5">
        <w:t>and cultures around patient confidentiality and acceptance of risk were different to</w:t>
      </w:r>
      <w:r w:rsidR="009B4B2F">
        <w:t xml:space="preserve"> that </w:t>
      </w:r>
      <w:r w:rsidR="000840F8">
        <w:t xml:space="preserve">within </w:t>
      </w:r>
      <w:r w:rsidR="00791DB5">
        <w:t xml:space="preserve">the NHS.  </w:t>
      </w:r>
      <w:r w:rsidR="00CB0281">
        <w:t xml:space="preserve">The principle should be that </w:t>
      </w:r>
      <w:r w:rsidR="00791DB5">
        <w:t>NHS patients should receive the same standard of care whether their service is provided by an outsourced partner</w:t>
      </w:r>
      <w:r w:rsidR="00CB0281">
        <w:t xml:space="preserve"> or the NHS</w:t>
      </w:r>
      <w:r w:rsidR="000840F8">
        <w:t xml:space="preserve"> itself and this requires close</w:t>
      </w:r>
      <w:r w:rsidR="009D2ECC">
        <w:t xml:space="preserve"> matching of</w:t>
      </w:r>
      <w:r w:rsidR="0006385B">
        <w:t xml:space="preserve"> service</w:t>
      </w:r>
      <w:r w:rsidR="009D2ECC">
        <w:t xml:space="preserve"> cultures and </w:t>
      </w:r>
      <w:r w:rsidR="0006385B">
        <w:t xml:space="preserve">formal agreement </w:t>
      </w:r>
      <w:r w:rsidR="000840F8">
        <w:t xml:space="preserve">on </w:t>
      </w:r>
      <w:r w:rsidR="009D2ECC">
        <w:t>standards</w:t>
      </w:r>
      <w:r w:rsidR="000840F8">
        <w:t xml:space="preserve"> which are closely monitored</w:t>
      </w:r>
      <w:r w:rsidR="009D2ECC">
        <w:t>.</w:t>
      </w:r>
    </w:p>
    <w:p w:rsidR="009D2ECC" w:rsidRDefault="009D2ECC" w:rsidP="00FD3A85">
      <w:pPr>
        <w:pStyle w:val="NoSpacing"/>
      </w:pPr>
    </w:p>
    <w:p w:rsidR="00D2481D" w:rsidRDefault="00FD3A85" w:rsidP="00026CBF">
      <w:pPr>
        <w:pStyle w:val="NoSpacing"/>
      </w:pPr>
      <w:r>
        <w:t xml:space="preserve">Whilst pharmacists are familiar with the quality assurance of products, the skills required to manage a service are very different and are not widespread in the hospital pharmacy service. </w:t>
      </w:r>
      <w:r w:rsidR="00002AAB">
        <w:t xml:space="preserve"> </w:t>
      </w:r>
    </w:p>
    <w:p w:rsidR="00E40DA5" w:rsidRDefault="00E40DA5" w:rsidP="00FD3A85">
      <w:pPr>
        <w:pStyle w:val="NoSpacing"/>
      </w:pPr>
    </w:p>
    <w:p w:rsidR="00FD3A85" w:rsidRDefault="00C76C6D" w:rsidP="00FD3A85">
      <w:pPr>
        <w:pStyle w:val="NoSpacing"/>
      </w:pPr>
      <w:r>
        <w:t xml:space="preserve">In </w:t>
      </w:r>
      <w:r w:rsidR="0006385B">
        <w:t>order to share and develop the</w:t>
      </w:r>
      <w:r>
        <w:t xml:space="preserve"> expertise </w:t>
      </w:r>
      <w:r w:rsidR="0006385B">
        <w:t xml:space="preserve">required </w:t>
      </w:r>
      <w:r>
        <w:t>a gr</w:t>
      </w:r>
      <w:r w:rsidR="000840F8">
        <w:t xml:space="preserve">oup was created in March 2014 within London and East of England.  </w:t>
      </w:r>
      <w:r>
        <w:t>Imaginatively called the Outsourced Outpatient Contract Managers Group (OOCMG)</w:t>
      </w:r>
      <w:proofErr w:type="gramStart"/>
      <w:r w:rsidR="00627D5F">
        <w:t>,</w:t>
      </w:r>
      <w:r>
        <w:t xml:space="preserve"> </w:t>
      </w:r>
      <w:r w:rsidR="00FD3A85">
        <w:t xml:space="preserve"> </w:t>
      </w:r>
      <w:r>
        <w:t>the</w:t>
      </w:r>
      <w:proofErr w:type="gramEnd"/>
      <w:r>
        <w:t xml:space="preserve"> group consists of the pharmacy staff responsible for contract management of an outsourced partner delivering outpatient services to trusts in London and East of England.  The group has now expanded to include trusts from Thames Valley and Wessex and includes several subsidiary models (where the trust itself creates a company to run the outpatients).  The group is undertaking a number of activities and thought it might be useful to the NHS in general to </w:t>
      </w:r>
      <w:r w:rsidR="000840F8">
        <w:t xml:space="preserve">share </w:t>
      </w:r>
      <w:r>
        <w:t>the various work streams we have started.</w:t>
      </w:r>
    </w:p>
    <w:p w:rsidR="00C66CD9" w:rsidRDefault="00C66CD9" w:rsidP="00FD3A85">
      <w:pPr>
        <w:pStyle w:val="NoSpacing"/>
      </w:pPr>
    </w:p>
    <w:p w:rsidR="00E423C7" w:rsidRPr="00C66CD9" w:rsidRDefault="009D2ECC" w:rsidP="00292F13">
      <w:pPr>
        <w:pStyle w:val="NoSpacing"/>
      </w:pPr>
      <w:r>
        <w:rPr>
          <w:u w:val="single"/>
        </w:rPr>
        <w:t>G</w:t>
      </w:r>
      <w:r w:rsidR="001E5F2A" w:rsidRPr="009D2ECC">
        <w:rPr>
          <w:u w:val="single"/>
        </w:rPr>
        <w:t>roup structure and terms of reference</w:t>
      </w:r>
      <w:r>
        <w:br/>
      </w:r>
      <w:proofErr w:type="gramStart"/>
      <w:r w:rsidR="00D25127">
        <w:t>The</w:t>
      </w:r>
      <w:proofErr w:type="gramEnd"/>
      <w:r w:rsidR="00D25127">
        <w:t xml:space="preserve"> group is made up of trust representatives from London, East of England and now Thames Valley and Wessex.  Members have some level of responsibility for the governance of the outsourced partner and vary</w:t>
      </w:r>
      <w:r w:rsidR="00627D5F">
        <w:t xml:space="preserve"> in grade</w:t>
      </w:r>
      <w:r w:rsidR="00D25127">
        <w:t xml:space="preserve"> from procurement technician to chief pharmacist.  T</w:t>
      </w:r>
      <w:r w:rsidR="005D118B">
        <w:t>he terms of reference are in Appendix 1.</w:t>
      </w:r>
      <w:r w:rsidR="00D25127">
        <w:t xml:space="preserve">  </w:t>
      </w:r>
      <w:r w:rsidR="00292F13" w:rsidRPr="00AC38DE">
        <w:rPr>
          <w:b/>
        </w:rPr>
        <w:br/>
      </w:r>
    </w:p>
    <w:p w:rsidR="00564202" w:rsidRDefault="00564202" w:rsidP="00564202">
      <w:pPr>
        <w:pStyle w:val="NoSpacing"/>
      </w:pPr>
      <w:r>
        <w:rPr>
          <w:u w:val="single"/>
        </w:rPr>
        <w:t>Nature and Type of Services</w:t>
      </w:r>
      <w:r>
        <w:rPr>
          <w:u w:val="single"/>
        </w:rPr>
        <w:br/>
      </w:r>
      <w:proofErr w:type="gramStart"/>
      <w:r>
        <w:t>The</w:t>
      </w:r>
      <w:proofErr w:type="gramEnd"/>
      <w:r>
        <w:t xml:space="preserve"> group have surveyed the types of services that are being commissioned by members to ascertain similarities and differences between the various trusts. (NB </w:t>
      </w:r>
      <w:proofErr w:type="gramStart"/>
      <w:r>
        <w:t>Some</w:t>
      </w:r>
      <w:proofErr w:type="gramEnd"/>
      <w:r>
        <w:t xml:space="preserve"> trusts only partially responded to the survey).</w:t>
      </w:r>
      <w:r w:rsidR="00026CBF">
        <w:t xml:space="preserve">  See Appendix 2 for details.</w:t>
      </w:r>
    </w:p>
    <w:p w:rsidR="00564202" w:rsidRPr="00E91B35" w:rsidRDefault="00564202" w:rsidP="00564202">
      <w:pPr>
        <w:pStyle w:val="NoSpacing"/>
      </w:pPr>
      <w:r w:rsidRPr="00E91B35">
        <w:t>Points of interest</w:t>
      </w:r>
      <w:r w:rsidR="00D96253" w:rsidRPr="00E91B35">
        <w:t xml:space="preserve"> </w:t>
      </w:r>
      <w:r w:rsidR="00026CBF">
        <w:t>were:-</w:t>
      </w:r>
    </w:p>
    <w:p w:rsidR="00B769E5" w:rsidRDefault="00564202" w:rsidP="00564202">
      <w:pPr>
        <w:pStyle w:val="NoSpacing"/>
        <w:numPr>
          <w:ilvl w:val="0"/>
          <w:numId w:val="18"/>
        </w:numPr>
      </w:pPr>
      <w:r>
        <w:t>The opening times varied signi</w:t>
      </w:r>
      <w:r w:rsidR="00E91B35">
        <w:t>ficantly from trust to trust but</w:t>
      </w:r>
      <w:r>
        <w:t xml:space="preserve"> seemed to </w:t>
      </w:r>
      <w:r w:rsidR="00B769E5">
        <w:t xml:space="preserve">reflect </w:t>
      </w:r>
      <w:r>
        <w:t xml:space="preserve"> the </w:t>
      </w:r>
      <w:r w:rsidR="00B769E5">
        <w:t>existing trust pharmacy</w:t>
      </w:r>
      <w:r>
        <w:t xml:space="preserve"> opening times</w:t>
      </w:r>
    </w:p>
    <w:p w:rsidR="00B769E5" w:rsidRDefault="00564202" w:rsidP="00564202">
      <w:pPr>
        <w:pStyle w:val="NoSpacing"/>
        <w:numPr>
          <w:ilvl w:val="0"/>
          <w:numId w:val="18"/>
        </w:numPr>
      </w:pPr>
      <w:r>
        <w:t>The expected and del</w:t>
      </w:r>
      <w:r w:rsidR="00B769E5">
        <w:t>ivered work volume varied considerably from between</w:t>
      </w:r>
      <w:r>
        <w:t xml:space="preserve"> 550 items per month per </w:t>
      </w:r>
      <w:r w:rsidR="00D95FCF">
        <w:t>whole time equivalent (</w:t>
      </w:r>
      <w:r>
        <w:t>WTE</w:t>
      </w:r>
      <w:r w:rsidR="00D95FCF">
        <w:t>)</w:t>
      </w:r>
      <w:r>
        <w:t xml:space="preserve"> to</w:t>
      </w:r>
      <w:r w:rsidR="00B769E5">
        <w:t xml:space="preserve"> 2000 items per WTE per month.  It </w:t>
      </w:r>
      <w:r>
        <w:t xml:space="preserve">would be interesting to see what effect this has on waiting times and </w:t>
      </w:r>
      <w:r w:rsidR="00B769E5">
        <w:t xml:space="preserve">at </w:t>
      </w:r>
      <w:r>
        <w:t>what stage in im</w:t>
      </w:r>
      <w:r w:rsidR="00B769E5">
        <w:t>plementation these trusts have reached</w:t>
      </w:r>
      <w:r>
        <w:t xml:space="preserve">. Is more resource added post implementation to support </w:t>
      </w:r>
      <w:proofErr w:type="gramStart"/>
      <w:r w:rsidR="00D95FCF">
        <w:t xml:space="preserve">contract </w:t>
      </w:r>
      <w:r>
        <w:t xml:space="preserve"> delivery</w:t>
      </w:r>
      <w:proofErr w:type="gramEnd"/>
      <w:r>
        <w:t>?</w:t>
      </w:r>
    </w:p>
    <w:p w:rsidR="00B769E5" w:rsidRDefault="00564202" w:rsidP="00564202">
      <w:pPr>
        <w:pStyle w:val="NoSpacing"/>
        <w:numPr>
          <w:ilvl w:val="0"/>
          <w:numId w:val="18"/>
        </w:numPr>
      </w:pPr>
      <w:r>
        <w:t xml:space="preserve">In all but one of the </w:t>
      </w:r>
      <w:r w:rsidR="00E91B35">
        <w:t>sites surveyed all the provider</w:t>
      </w:r>
      <w:r w:rsidR="00D95FCF">
        <w:t>s</w:t>
      </w:r>
      <w:r w:rsidR="00B769E5">
        <w:t xml:space="preserve"> used the trust pharmacy system</w:t>
      </w:r>
    </w:p>
    <w:p w:rsidR="00B769E5" w:rsidRDefault="00564202" w:rsidP="00564202">
      <w:pPr>
        <w:pStyle w:val="NoSpacing"/>
        <w:numPr>
          <w:ilvl w:val="0"/>
          <w:numId w:val="18"/>
        </w:numPr>
      </w:pPr>
      <w:r>
        <w:t>None of the trusts surveyed had a working home/store delivery system set up which was fully operational</w:t>
      </w:r>
    </w:p>
    <w:p w:rsidR="00B769E5" w:rsidRDefault="00B769E5" w:rsidP="00564202">
      <w:pPr>
        <w:pStyle w:val="NoSpacing"/>
        <w:numPr>
          <w:ilvl w:val="0"/>
          <w:numId w:val="18"/>
        </w:numPr>
      </w:pPr>
      <w:r>
        <w:t>There is no consistency about which types of prescriptions providers are allowed to screen themselves.</w:t>
      </w:r>
    </w:p>
    <w:p w:rsidR="00B769E5" w:rsidRDefault="00564202" w:rsidP="00564202">
      <w:pPr>
        <w:pStyle w:val="NoSpacing"/>
        <w:numPr>
          <w:ilvl w:val="0"/>
          <w:numId w:val="18"/>
        </w:numPr>
      </w:pPr>
      <w:r>
        <w:t>No-one surveyed had taken the steps to include discharge dispe</w:t>
      </w:r>
      <w:r w:rsidR="00B769E5">
        <w:t xml:space="preserve">nsing for </w:t>
      </w:r>
      <w:proofErr w:type="spellStart"/>
      <w:r w:rsidR="00B769E5">
        <w:t>non Day</w:t>
      </w:r>
      <w:proofErr w:type="spellEnd"/>
      <w:r w:rsidR="00B769E5">
        <w:t>-Case patients</w:t>
      </w:r>
    </w:p>
    <w:p w:rsidR="00564202" w:rsidRDefault="00564202" w:rsidP="00564202">
      <w:pPr>
        <w:pStyle w:val="NoSpacing"/>
        <w:numPr>
          <w:ilvl w:val="0"/>
          <w:numId w:val="18"/>
        </w:numPr>
      </w:pPr>
      <w:r>
        <w:t>A lack of space allocated to the third party supplier seemed to be a common theme</w:t>
      </w:r>
    </w:p>
    <w:p w:rsidR="00743C23" w:rsidRDefault="00743C23" w:rsidP="00292F13">
      <w:pPr>
        <w:pStyle w:val="NoSpacing"/>
        <w:rPr>
          <w:color w:val="FF0000"/>
          <w:u w:val="single"/>
        </w:rPr>
      </w:pPr>
    </w:p>
    <w:p w:rsidR="005A0316" w:rsidRPr="00C66CD9" w:rsidRDefault="00D95FCF" w:rsidP="00292F13">
      <w:pPr>
        <w:pStyle w:val="NoSpacing"/>
      </w:pPr>
      <w:r>
        <w:rPr>
          <w:u w:val="single"/>
        </w:rPr>
        <w:t xml:space="preserve">Key </w:t>
      </w:r>
      <w:r w:rsidR="005A0316" w:rsidRPr="00C66CD9">
        <w:rPr>
          <w:u w:val="single"/>
        </w:rPr>
        <w:t>Performance Indicators</w:t>
      </w:r>
      <w:r>
        <w:rPr>
          <w:u w:val="single"/>
        </w:rPr>
        <w:t xml:space="preserve"> (KPIs</w:t>
      </w:r>
      <w:proofErr w:type="gramStart"/>
      <w:r>
        <w:rPr>
          <w:u w:val="single"/>
        </w:rPr>
        <w:t>)</w:t>
      </w:r>
      <w:proofErr w:type="gramEnd"/>
      <w:r w:rsidR="005A0316" w:rsidRPr="00C66CD9">
        <w:rPr>
          <w:u w:val="single"/>
        </w:rPr>
        <w:br/>
      </w:r>
      <w:r w:rsidR="00C66CD9">
        <w:t>The group compared their local indicators and have developed a draft se</w:t>
      </w:r>
      <w:r w:rsidR="002E5732">
        <w:t>t of core indicators (see Table1</w:t>
      </w:r>
      <w:r w:rsidR="00C66CD9">
        <w:t>).  These are now being discussed with providers to develop an industry best practice standard.  Ideally all trusts would utilise at least the core set.  This would allow direct comparison between services in different trusts.  The group plan to develop standards for these indicators and propose standard penalties for continued contravention.</w:t>
      </w:r>
    </w:p>
    <w:p w:rsidR="00743C23" w:rsidRDefault="00743C23" w:rsidP="00292F13">
      <w:pPr>
        <w:pStyle w:val="NoSpacing"/>
      </w:pPr>
    </w:p>
    <w:p w:rsidR="005A0316" w:rsidRDefault="002E5732" w:rsidP="00292F13">
      <w:pPr>
        <w:pStyle w:val="NoSpacing"/>
      </w:pPr>
      <w:r>
        <w:t>Table 1</w:t>
      </w:r>
    </w:p>
    <w:p w:rsidR="00C66CD9" w:rsidRDefault="00C66CD9" w:rsidP="00292F13">
      <w:pPr>
        <w:pStyle w:val="NoSpacing"/>
      </w:pPr>
      <w:r>
        <w:t>Proposed Core Indicator Set</w:t>
      </w:r>
    </w:p>
    <w:tbl>
      <w:tblPr>
        <w:tblW w:w="0" w:type="auto"/>
        <w:tblBorders>
          <w:top w:val="single" w:sz="18" w:space="0" w:color="auto"/>
          <w:bottom w:val="single" w:sz="18" w:space="0" w:color="auto"/>
        </w:tblBorders>
        <w:tblLook w:val="04A0" w:firstRow="1" w:lastRow="0" w:firstColumn="1" w:lastColumn="0" w:noHBand="0" w:noVBand="1"/>
      </w:tblPr>
      <w:tblGrid>
        <w:gridCol w:w="1116"/>
        <w:gridCol w:w="2830"/>
        <w:gridCol w:w="3819"/>
        <w:gridCol w:w="1477"/>
      </w:tblGrid>
      <w:tr w:rsidR="001609EF" w:rsidRPr="00D341AB" w:rsidTr="00D341AB">
        <w:tc>
          <w:tcPr>
            <w:tcW w:w="1100" w:type="dxa"/>
            <w:tcBorders>
              <w:top w:val="single" w:sz="18" w:space="0" w:color="auto"/>
              <w:bottom w:val="single" w:sz="18" w:space="0" w:color="auto"/>
            </w:tcBorders>
            <w:shd w:val="clear" w:color="auto" w:fill="4F81BD"/>
          </w:tcPr>
          <w:p w:rsidR="001609EF" w:rsidRPr="00D341AB" w:rsidRDefault="001609EF" w:rsidP="00DB4857">
            <w:pPr>
              <w:pStyle w:val="NoSpacing"/>
              <w:rPr>
                <w:b/>
                <w:bCs/>
                <w:color w:val="FFFFFF"/>
                <w:sz w:val="18"/>
                <w:szCs w:val="18"/>
              </w:rPr>
            </w:pPr>
            <w:r w:rsidRPr="00D341AB">
              <w:rPr>
                <w:b/>
                <w:bCs/>
                <w:color w:val="FFFFFF"/>
                <w:sz w:val="18"/>
                <w:szCs w:val="18"/>
              </w:rPr>
              <w:t>Category</w:t>
            </w:r>
          </w:p>
        </w:tc>
        <w:tc>
          <w:tcPr>
            <w:tcW w:w="2836" w:type="dxa"/>
            <w:tcBorders>
              <w:top w:val="single" w:sz="18" w:space="0" w:color="auto"/>
              <w:left w:val="nil"/>
              <w:bottom w:val="single" w:sz="18" w:space="0" w:color="auto"/>
              <w:right w:val="nil"/>
            </w:tcBorders>
            <w:shd w:val="clear" w:color="auto" w:fill="4F81BD"/>
          </w:tcPr>
          <w:p w:rsidR="001609EF" w:rsidRPr="00D341AB" w:rsidRDefault="001609EF" w:rsidP="00DB4857">
            <w:pPr>
              <w:pStyle w:val="NoSpacing"/>
              <w:rPr>
                <w:b/>
                <w:bCs/>
                <w:color w:val="FFFFFF"/>
                <w:sz w:val="18"/>
                <w:szCs w:val="18"/>
              </w:rPr>
            </w:pPr>
            <w:r w:rsidRPr="00D341AB">
              <w:rPr>
                <w:b/>
                <w:bCs/>
                <w:color w:val="FFFFFF"/>
                <w:sz w:val="18"/>
                <w:szCs w:val="18"/>
              </w:rPr>
              <w:t>Indicator Description</w:t>
            </w:r>
          </w:p>
        </w:tc>
        <w:tc>
          <w:tcPr>
            <w:tcW w:w="3827" w:type="dxa"/>
            <w:tcBorders>
              <w:top w:val="single" w:sz="18" w:space="0" w:color="auto"/>
              <w:bottom w:val="single" w:sz="18" w:space="0" w:color="auto"/>
            </w:tcBorders>
            <w:shd w:val="clear" w:color="auto" w:fill="4F81BD"/>
          </w:tcPr>
          <w:p w:rsidR="001609EF" w:rsidRPr="00D341AB" w:rsidRDefault="001609EF" w:rsidP="00DB4857">
            <w:pPr>
              <w:pStyle w:val="NoSpacing"/>
              <w:rPr>
                <w:b/>
                <w:bCs/>
                <w:color w:val="FFFFFF"/>
                <w:sz w:val="18"/>
                <w:szCs w:val="18"/>
              </w:rPr>
            </w:pPr>
            <w:r w:rsidRPr="00D341AB">
              <w:rPr>
                <w:b/>
                <w:bCs/>
                <w:color w:val="FFFFFF"/>
                <w:sz w:val="18"/>
                <w:szCs w:val="18"/>
              </w:rPr>
              <w:t>Definition</w:t>
            </w:r>
          </w:p>
        </w:tc>
        <w:tc>
          <w:tcPr>
            <w:tcW w:w="1479" w:type="dxa"/>
            <w:tcBorders>
              <w:top w:val="single" w:sz="18" w:space="0" w:color="auto"/>
              <w:left w:val="nil"/>
              <w:bottom w:val="single" w:sz="18" w:space="0" w:color="auto"/>
              <w:right w:val="nil"/>
            </w:tcBorders>
            <w:shd w:val="clear" w:color="auto" w:fill="4F81BD"/>
          </w:tcPr>
          <w:p w:rsidR="001609EF" w:rsidRPr="00D341AB" w:rsidRDefault="001609EF" w:rsidP="00DB4857">
            <w:pPr>
              <w:pStyle w:val="NoSpacing"/>
              <w:rPr>
                <w:b/>
                <w:bCs/>
                <w:color w:val="FFFFFF"/>
                <w:sz w:val="18"/>
                <w:szCs w:val="18"/>
              </w:rPr>
            </w:pPr>
            <w:r w:rsidRPr="00D341AB">
              <w:rPr>
                <w:b/>
                <w:bCs/>
                <w:color w:val="FFFFFF"/>
                <w:sz w:val="18"/>
                <w:szCs w:val="18"/>
              </w:rPr>
              <w:t>Reporting Frequency</w:t>
            </w:r>
          </w:p>
        </w:tc>
      </w:tr>
      <w:tr w:rsidR="001609EF" w:rsidRPr="00D341AB" w:rsidTr="00D341AB">
        <w:tc>
          <w:tcPr>
            <w:tcW w:w="1100" w:type="dxa"/>
            <w:shd w:val="clear" w:color="auto" w:fill="4F81BD"/>
          </w:tcPr>
          <w:p w:rsidR="001609EF" w:rsidRPr="00D341AB" w:rsidRDefault="001609EF" w:rsidP="00DB4857">
            <w:pPr>
              <w:pStyle w:val="NoSpacing"/>
              <w:rPr>
                <w:b/>
                <w:bCs/>
                <w:color w:val="FFFFFF"/>
                <w:sz w:val="18"/>
                <w:szCs w:val="18"/>
              </w:rPr>
            </w:pPr>
            <w:r w:rsidRPr="00D341AB">
              <w:rPr>
                <w:b/>
                <w:bCs/>
                <w:color w:val="FFFFFF"/>
                <w:sz w:val="18"/>
                <w:szCs w:val="18"/>
              </w:rPr>
              <w:t>Patient Experience</w:t>
            </w:r>
          </w:p>
        </w:tc>
        <w:tc>
          <w:tcPr>
            <w:tcW w:w="2836" w:type="dxa"/>
            <w:shd w:val="clear" w:color="auto" w:fill="D8D8D8"/>
          </w:tcPr>
          <w:p w:rsidR="001609EF" w:rsidRPr="00D341AB" w:rsidRDefault="001609EF" w:rsidP="00DB4857">
            <w:pPr>
              <w:pStyle w:val="NoSpacing"/>
              <w:rPr>
                <w:sz w:val="18"/>
                <w:szCs w:val="18"/>
              </w:rPr>
            </w:pPr>
            <w:r w:rsidRPr="00D341AB">
              <w:rPr>
                <w:sz w:val="18"/>
                <w:szCs w:val="18"/>
              </w:rPr>
              <w:t>Availability of Stock</w:t>
            </w:r>
          </w:p>
        </w:tc>
        <w:tc>
          <w:tcPr>
            <w:tcW w:w="3827" w:type="dxa"/>
            <w:shd w:val="clear" w:color="auto" w:fill="D8D8D8"/>
          </w:tcPr>
          <w:p w:rsidR="001609EF" w:rsidRPr="00D341AB" w:rsidRDefault="001609EF" w:rsidP="00DB4857">
            <w:pPr>
              <w:pStyle w:val="NoSpacing"/>
              <w:rPr>
                <w:sz w:val="18"/>
                <w:szCs w:val="18"/>
              </w:rPr>
            </w:pPr>
            <w:r w:rsidRPr="00D341AB">
              <w:rPr>
                <w:sz w:val="18"/>
                <w:szCs w:val="18"/>
              </w:rPr>
              <w:t>Prescription items not met in full first time as a percentage of total items dispensed.</w:t>
            </w:r>
          </w:p>
        </w:tc>
        <w:tc>
          <w:tcPr>
            <w:tcW w:w="1479" w:type="dxa"/>
            <w:shd w:val="clear" w:color="auto" w:fill="D8D8D8"/>
          </w:tcPr>
          <w:p w:rsidR="001609EF" w:rsidRPr="00D341AB" w:rsidRDefault="001609EF" w:rsidP="00DB4857">
            <w:pPr>
              <w:pStyle w:val="NoSpacing"/>
              <w:rPr>
                <w:sz w:val="18"/>
                <w:szCs w:val="18"/>
              </w:rPr>
            </w:pPr>
            <w:r w:rsidRPr="00D341AB">
              <w:rPr>
                <w:sz w:val="18"/>
                <w:szCs w:val="18"/>
              </w:rPr>
              <w:t>Monthly</w:t>
            </w:r>
          </w:p>
        </w:tc>
      </w:tr>
      <w:tr w:rsidR="001609EF" w:rsidRPr="00D341AB" w:rsidTr="00D341AB">
        <w:tc>
          <w:tcPr>
            <w:tcW w:w="1100" w:type="dxa"/>
            <w:shd w:val="clear" w:color="auto" w:fill="4F81BD"/>
          </w:tcPr>
          <w:p w:rsidR="001609EF" w:rsidRPr="00D341AB" w:rsidRDefault="001609EF" w:rsidP="00DB4857">
            <w:pPr>
              <w:pStyle w:val="NoSpacing"/>
              <w:rPr>
                <w:b/>
                <w:bCs/>
                <w:color w:val="FFFFFF"/>
                <w:sz w:val="18"/>
                <w:szCs w:val="18"/>
              </w:rPr>
            </w:pPr>
            <w:r w:rsidRPr="00D341AB">
              <w:rPr>
                <w:b/>
                <w:bCs/>
                <w:color w:val="FFFFFF"/>
                <w:sz w:val="18"/>
                <w:szCs w:val="18"/>
              </w:rPr>
              <w:t>Patient Experience</w:t>
            </w:r>
          </w:p>
        </w:tc>
        <w:tc>
          <w:tcPr>
            <w:tcW w:w="2836" w:type="dxa"/>
            <w:shd w:val="clear" w:color="auto" w:fill="auto"/>
          </w:tcPr>
          <w:p w:rsidR="001609EF" w:rsidRPr="00D341AB" w:rsidRDefault="001609EF" w:rsidP="00DB4857">
            <w:pPr>
              <w:pStyle w:val="NoSpacing"/>
              <w:rPr>
                <w:sz w:val="18"/>
                <w:szCs w:val="18"/>
              </w:rPr>
            </w:pPr>
            <w:r w:rsidRPr="00D341AB">
              <w:rPr>
                <w:sz w:val="18"/>
                <w:szCs w:val="18"/>
              </w:rPr>
              <w:t>Waiting time for simple prescription</w:t>
            </w:r>
          </w:p>
        </w:tc>
        <w:tc>
          <w:tcPr>
            <w:tcW w:w="3827" w:type="dxa"/>
            <w:shd w:val="clear" w:color="auto" w:fill="auto"/>
          </w:tcPr>
          <w:p w:rsidR="001609EF" w:rsidRPr="00D341AB" w:rsidRDefault="001609EF" w:rsidP="00DB4857">
            <w:pPr>
              <w:pStyle w:val="NoSpacing"/>
              <w:rPr>
                <w:sz w:val="18"/>
                <w:szCs w:val="18"/>
              </w:rPr>
            </w:pPr>
            <w:r w:rsidRPr="00D341AB">
              <w:rPr>
                <w:sz w:val="18"/>
                <w:szCs w:val="18"/>
              </w:rPr>
              <w:t>Average time from receiving prescription to prescription being ready to collect.  Prescription screened by contractor with no clinical issues.</w:t>
            </w:r>
          </w:p>
        </w:tc>
        <w:tc>
          <w:tcPr>
            <w:tcW w:w="1479" w:type="dxa"/>
            <w:shd w:val="clear" w:color="auto" w:fill="auto"/>
          </w:tcPr>
          <w:p w:rsidR="001609EF" w:rsidRPr="00D341AB" w:rsidRDefault="001609EF" w:rsidP="00DB4857">
            <w:pPr>
              <w:pStyle w:val="NoSpacing"/>
              <w:rPr>
                <w:sz w:val="18"/>
                <w:szCs w:val="18"/>
              </w:rPr>
            </w:pPr>
            <w:r w:rsidRPr="00D341AB">
              <w:rPr>
                <w:sz w:val="18"/>
                <w:szCs w:val="18"/>
              </w:rPr>
              <w:t>Monthly</w:t>
            </w:r>
          </w:p>
        </w:tc>
      </w:tr>
      <w:tr w:rsidR="001609EF" w:rsidRPr="00D341AB" w:rsidTr="00D341AB">
        <w:tc>
          <w:tcPr>
            <w:tcW w:w="1100" w:type="dxa"/>
            <w:shd w:val="clear" w:color="auto" w:fill="4F81BD"/>
          </w:tcPr>
          <w:p w:rsidR="001609EF" w:rsidRPr="00D341AB" w:rsidRDefault="001609EF" w:rsidP="00DB4857">
            <w:pPr>
              <w:pStyle w:val="NoSpacing"/>
              <w:rPr>
                <w:b/>
                <w:bCs/>
                <w:color w:val="FFFFFF"/>
                <w:sz w:val="18"/>
                <w:szCs w:val="18"/>
              </w:rPr>
            </w:pPr>
            <w:r w:rsidRPr="00D341AB">
              <w:rPr>
                <w:b/>
                <w:bCs/>
                <w:color w:val="FFFFFF"/>
                <w:sz w:val="18"/>
                <w:szCs w:val="18"/>
              </w:rPr>
              <w:t>Patient Experience</w:t>
            </w:r>
          </w:p>
        </w:tc>
        <w:tc>
          <w:tcPr>
            <w:tcW w:w="2836" w:type="dxa"/>
            <w:shd w:val="clear" w:color="auto" w:fill="D8D8D8"/>
          </w:tcPr>
          <w:p w:rsidR="001609EF" w:rsidRPr="00D341AB" w:rsidRDefault="001609EF" w:rsidP="00DB4857">
            <w:pPr>
              <w:pStyle w:val="NoSpacing"/>
              <w:rPr>
                <w:sz w:val="18"/>
                <w:szCs w:val="18"/>
              </w:rPr>
            </w:pPr>
            <w:r w:rsidRPr="00D341AB">
              <w:rPr>
                <w:sz w:val="18"/>
                <w:szCs w:val="18"/>
              </w:rPr>
              <w:t>Waiting time for complex prescription</w:t>
            </w:r>
          </w:p>
        </w:tc>
        <w:tc>
          <w:tcPr>
            <w:tcW w:w="3827" w:type="dxa"/>
            <w:shd w:val="clear" w:color="auto" w:fill="D8D8D8"/>
          </w:tcPr>
          <w:p w:rsidR="001609EF" w:rsidRPr="00D341AB" w:rsidRDefault="001609EF" w:rsidP="00DB4857">
            <w:pPr>
              <w:pStyle w:val="NoSpacing"/>
              <w:rPr>
                <w:sz w:val="18"/>
                <w:szCs w:val="18"/>
              </w:rPr>
            </w:pPr>
            <w:r w:rsidRPr="00D341AB">
              <w:rPr>
                <w:sz w:val="18"/>
                <w:szCs w:val="18"/>
              </w:rPr>
              <w:t>Average time from receiving prescription to prescription being ready to collect.  Prescription with clinical or procedural issues (e.g. non formulary drug or wrong dose).  No clock stopping for resolution of query.</w:t>
            </w:r>
          </w:p>
        </w:tc>
        <w:tc>
          <w:tcPr>
            <w:tcW w:w="1479" w:type="dxa"/>
            <w:shd w:val="clear" w:color="auto" w:fill="D8D8D8"/>
          </w:tcPr>
          <w:p w:rsidR="001609EF" w:rsidRPr="00D341AB" w:rsidRDefault="001609EF" w:rsidP="00DB4857">
            <w:pPr>
              <w:pStyle w:val="NoSpacing"/>
              <w:rPr>
                <w:sz w:val="18"/>
                <w:szCs w:val="18"/>
              </w:rPr>
            </w:pPr>
            <w:r w:rsidRPr="00D341AB">
              <w:rPr>
                <w:sz w:val="18"/>
                <w:szCs w:val="18"/>
              </w:rPr>
              <w:t>Monthly</w:t>
            </w:r>
          </w:p>
        </w:tc>
      </w:tr>
      <w:tr w:rsidR="001609EF" w:rsidRPr="00D341AB" w:rsidTr="00D341AB">
        <w:tc>
          <w:tcPr>
            <w:tcW w:w="1100" w:type="dxa"/>
            <w:shd w:val="clear" w:color="auto" w:fill="4F81BD"/>
          </w:tcPr>
          <w:p w:rsidR="001609EF" w:rsidRPr="00D341AB" w:rsidRDefault="001609EF" w:rsidP="00DB4857">
            <w:pPr>
              <w:pStyle w:val="NoSpacing"/>
              <w:rPr>
                <w:b/>
                <w:bCs/>
                <w:color w:val="FFFFFF"/>
                <w:sz w:val="18"/>
                <w:szCs w:val="18"/>
              </w:rPr>
            </w:pPr>
            <w:r w:rsidRPr="00D341AB">
              <w:rPr>
                <w:b/>
                <w:bCs/>
                <w:color w:val="FFFFFF"/>
                <w:sz w:val="18"/>
                <w:szCs w:val="18"/>
              </w:rPr>
              <w:t>Patient Experience</w:t>
            </w:r>
          </w:p>
        </w:tc>
        <w:tc>
          <w:tcPr>
            <w:tcW w:w="2836" w:type="dxa"/>
            <w:shd w:val="clear" w:color="auto" w:fill="auto"/>
          </w:tcPr>
          <w:p w:rsidR="001609EF" w:rsidRPr="00D341AB" w:rsidRDefault="001609EF" w:rsidP="00DB4857">
            <w:pPr>
              <w:pStyle w:val="NoSpacing"/>
              <w:rPr>
                <w:sz w:val="18"/>
                <w:szCs w:val="18"/>
              </w:rPr>
            </w:pPr>
            <w:r w:rsidRPr="00D341AB">
              <w:rPr>
                <w:sz w:val="18"/>
                <w:szCs w:val="18"/>
              </w:rPr>
              <w:t>Waiting time for prescription screened in trust</w:t>
            </w:r>
          </w:p>
        </w:tc>
        <w:tc>
          <w:tcPr>
            <w:tcW w:w="3827" w:type="dxa"/>
            <w:shd w:val="clear" w:color="auto" w:fill="auto"/>
          </w:tcPr>
          <w:p w:rsidR="001609EF" w:rsidRPr="00D341AB" w:rsidRDefault="001609EF" w:rsidP="00DB4857">
            <w:pPr>
              <w:pStyle w:val="NoSpacing"/>
              <w:rPr>
                <w:sz w:val="18"/>
                <w:szCs w:val="18"/>
              </w:rPr>
            </w:pPr>
            <w:r w:rsidRPr="00D341AB">
              <w:rPr>
                <w:sz w:val="18"/>
                <w:szCs w:val="18"/>
              </w:rPr>
              <w:t>Average time from receiving prescription to prescription being ready to collect.  Prescription screened by trust pharmacy staff.</w:t>
            </w:r>
          </w:p>
        </w:tc>
        <w:tc>
          <w:tcPr>
            <w:tcW w:w="1479" w:type="dxa"/>
            <w:shd w:val="clear" w:color="auto" w:fill="auto"/>
          </w:tcPr>
          <w:p w:rsidR="001609EF" w:rsidRPr="00D341AB" w:rsidRDefault="001609EF" w:rsidP="00DB4857">
            <w:pPr>
              <w:pStyle w:val="NoSpacing"/>
              <w:rPr>
                <w:sz w:val="18"/>
                <w:szCs w:val="18"/>
              </w:rPr>
            </w:pPr>
            <w:r w:rsidRPr="00D341AB">
              <w:rPr>
                <w:sz w:val="18"/>
                <w:szCs w:val="18"/>
              </w:rPr>
              <w:t>Monthly</w:t>
            </w:r>
          </w:p>
        </w:tc>
      </w:tr>
      <w:tr w:rsidR="001609EF" w:rsidRPr="00D341AB" w:rsidTr="00D341AB">
        <w:tc>
          <w:tcPr>
            <w:tcW w:w="1100" w:type="dxa"/>
            <w:shd w:val="clear" w:color="auto" w:fill="4F81BD"/>
          </w:tcPr>
          <w:p w:rsidR="001609EF" w:rsidRPr="00D341AB" w:rsidRDefault="001609EF" w:rsidP="00DB4857">
            <w:pPr>
              <w:pStyle w:val="NoSpacing"/>
              <w:rPr>
                <w:b/>
                <w:bCs/>
                <w:color w:val="FFFFFF"/>
                <w:sz w:val="18"/>
                <w:szCs w:val="18"/>
              </w:rPr>
            </w:pPr>
            <w:r w:rsidRPr="00D341AB">
              <w:rPr>
                <w:b/>
                <w:bCs/>
                <w:color w:val="FFFFFF"/>
                <w:sz w:val="18"/>
                <w:szCs w:val="18"/>
              </w:rPr>
              <w:t>Patient Experience</w:t>
            </w:r>
          </w:p>
        </w:tc>
        <w:tc>
          <w:tcPr>
            <w:tcW w:w="2836" w:type="dxa"/>
            <w:shd w:val="clear" w:color="auto" w:fill="D8D8D8"/>
          </w:tcPr>
          <w:p w:rsidR="001609EF" w:rsidRPr="00D341AB" w:rsidRDefault="001609EF" w:rsidP="00DB4857">
            <w:pPr>
              <w:pStyle w:val="NoSpacing"/>
              <w:rPr>
                <w:sz w:val="18"/>
                <w:szCs w:val="18"/>
              </w:rPr>
            </w:pPr>
            <w:r w:rsidRPr="00D341AB">
              <w:rPr>
                <w:sz w:val="18"/>
                <w:szCs w:val="18"/>
              </w:rPr>
              <w:t>Patient Satisfaction Survey</w:t>
            </w:r>
          </w:p>
        </w:tc>
        <w:tc>
          <w:tcPr>
            <w:tcW w:w="3827" w:type="dxa"/>
            <w:shd w:val="clear" w:color="auto" w:fill="D8D8D8"/>
          </w:tcPr>
          <w:p w:rsidR="001609EF" w:rsidRPr="00D341AB" w:rsidRDefault="001609EF" w:rsidP="00DB4857">
            <w:pPr>
              <w:pStyle w:val="NoSpacing"/>
              <w:rPr>
                <w:sz w:val="18"/>
                <w:szCs w:val="18"/>
              </w:rPr>
            </w:pPr>
            <w:r w:rsidRPr="00D341AB">
              <w:rPr>
                <w:sz w:val="18"/>
                <w:szCs w:val="18"/>
              </w:rPr>
              <w:t>Results of patient satisfaction survey as defined by trust.</w:t>
            </w:r>
          </w:p>
        </w:tc>
        <w:tc>
          <w:tcPr>
            <w:tcW w:w="1479" w:type="dxa"/>
            <w:shd w:val="clear" w:color="auto" w:fill="D8D8D8"/>
          </w:tcPr>
          <w:p w:rsidR="001609EF" w:rsidRPr="00D341AB" w:rsidRDefault="001609EF" w:rsidP="00DB4857">
            <w:pPr>
              <w:pStyle w:val="NoSpacing"/>
              <w:rPr>
                <w:sz w:val="18"/>
                <w:szCs w:val="18"/>
              </w:rPr>
            </w:pPr>
            <w:r w:rsidRPr="00D341AB">
              <w:rPr>
                <w:sz w:val="18"/>
                <w:szCs w:val="18"/>
              </w:rPr>
              <w:t>3 monthly</w:t>
            </w:r>
          </w:p>
        </w:tc>
      </w:tr>
      <w:tr w:rsidR="001609EF" w:rsidRPr="00D341AB" w:rsidTr="00D341AB">
        <w:tc>
          <w:tcPr>
            <w:tcW w:w="1100" w:type="dxa"/>
            <w:shd w:val="clear" w:color="auto" w:fill="4F81BD"/>
          </w:tcPr>
          <w:p w:rsidR="001609EF" w:rsidRPr="00D341AB" w:rsidRDefault="001609EF" w:rsidP="00DB4857">
            <w:pPr>
              <w:pStyle w:val="NoSpacing"/>
              <w:rPr>
                <w:b/>
                <w:bCs/>
                <w:color w:val="FFFFFF"/>
                <w:sz w:val="18"/>
                <w:szCs w:val="18"/>
              </w:rPr>
            </w:pPr>
            <w:r w:rsidRPr="00D341AB">
              <w:rPr>
                <w:b/>
                <w:bCs/>
                <w:color w:val="FFFFFF"/>
                <w:sz w:val="18"/>
                <w:szCs w:val="18"/>
              </w:rPr>
              <w:t>Clinical Governance</w:t>
            </w:r>
          </w:p>
        </w:tc>
        <w:tc>
          <w:tcPr>
            <w:tcW w:w="2836" w:type="dxa"/>
            <w:shd w:val="clear" w:color="auto" w:fill="auto"/>
          </w:tcPr>
          <w:p w:rsidR="001609EF" w:rsidRPr="00D341AB" w:rsidRDefault="001609EF" w:rsidP="00DB4857">
            <w:pPr>
              <w:pStyle w:val="NoSpacing"/>
              <w:rPr>
                <w:sz w:val="18"/>
                <w:szCs w:val="18"/>
              </w:rPr>
            </w:pPr>
            <w:r w:rsidRPr="00D341AB">
              <w:rPr>
                <w:sz w:val="18"/>
                <w:szCs w:val="18"/>
              </w:rPr>
              <w:t xml:space="preserve">Dispensing Errors </w:t>
            </w:r>
          </w:p>
        </w:tc>
        <w:tc>
          <w:tcPr>
            <w:tcW w:w="3827" w:type="dxa"/>
            <w:shd w:val="clear" w:color="auto" w:fill="auto"/>
          </w:tcPr>
          <w:p w:rsidR="001609EF" w:rsidRPr="00D341AB" w:rsidRDefault="001609EF" w:rsidP="00DB4857">
            <w:pPr>
              <w:pStyle w:val="NoSpacing"/>
              <w:rPr>
                <w:sz w:val="18"/>
                <w:szCs w:val="18"/>
              </w:rPr>
            </w:pPr>
            <w:r w:rsidRPr="00D341AB">
              <w:rPr>
                <w:sz w:val="18"/>
                <w:szCs w:val="18"/>
              </w:rPr>
              <w:t>Average number of dispensing errors leaving pharmacy as percentage of total items dispensed.</w:t>
            </w:r>
          </w:p>
        </w:tc>
        <w:tc>
          <w:tcPr>
            <w:tcW w:w="1479" w:type="dxa"/>
            <w:shd w:val="clear" w:color="auto" w:fill="auto"/>
          </w:tcPr>
          <w:p w:rsidR="001609EF" w:rsidRPr="00D341AB" w:rsidRDefault="001609EF" w:rsidP="00DB4857">
            <w:pPr>
              <w:pStyle w:val="NoSpacing"/>
              <w:rPr>
                <w:sz w:val="18"/>
                <w:szCs w:val="18"/>
              </w:rPr>
            </w:pPr>
            <w:r w:rsidRPr="00D341AB">
              <w:rPr>
                <w:sz w:val="18"/>
                <w:szCs w:val="18"/>
              </w:rPr>
              <w:t>Monthly</w:t>
            </w:r>
          </w:p>
        </w:tc>
      </w:tr>
      <w:tr w:rsidR="001609EF" w:rsidRPr="00D341AB" w:rsidTr="00D341AB">
        <w:tc>
          <w:tcPr>
            <w:tcW w:w="1100" w:type="dxa"/>
            <w:shd w:val="clear" w:color="auto" w:fill="4F81BD"/>
          </w:tcPr>
          <w:p w:rsidR="001609EF" w:rsidRPr="00D341AB" w:rsidRDefault="001609EF" w:rsidP="00DB4857">
            <w:pPr>
              <w:pStyle w:val="NoSpacing"/>
              <w:rPr>
                <w:b/>
                <w:bCs/>
                <w:color w:val="FFFFFF"/>
                <w:sz w:val="18"/>
                <w:szCs w:val="18"/>
              </w:rPr>
            </w:pPr>
            <w:r w:rsidRPr="00D341AB">
              <w:rPr>
                <w:b/>
                <w:bCs/>
                <w:color w:val="FFFFFF"/>
                <w:sz w:val="18"/>
                <w:szCs w:val="18"/>
              </w:rPr>
              <w:t>Clinical Governance</w:t>
            </w:r>
          </w:p>
        </w:tc>
        <w:tc>
          <w:tcPr>
            <w:tcW w:w="2836" w:type="dxa"/>
            <w:shd w:val="clear" w:color="auto" w:fill="D8D8D8"/>
          </w:tcPr>
          <w:p w:rsidR="001609EF" w:rsidRPr="00D341AB" w:rsidRDefault="001609EF" w:rsidP="00DB4857">
            <w:pPr>
              <w:pStyle w:val="NoSpacing"/>
              <w:rPr>
                <w:sz w:val="18"/>
                <w:szCs w:val="18"/>
              </w:rPr>
            </w:pPr>
            <w:r w:rsidRPr="00D341AB">
              <w:rPr>
                <w:sz w:val="18"/>
                <w:szCs w:val="18"/>
              </w:rPr>
              <w:t>Dispensing Errors (serious)</w:t>
            </w:r>
          </w:p>
        </w:tc>
        <w:tc>
          <w:tcPr>
            <w:tcW w:w="3827" w:type="dxa"/>
            <w:shd w:val="clear" w:color="auto" w:fill="D8D8D8"/>
          </w:tcPr>
          <w:p w:rsidR="001609EF" w:rsidRPr="00D341AB" w:rsidRDefault="001609EF" w:rsidP="00DB4857">
            <w:pPr>
              <w:pStyle w:val="NoSpacing"/>
              <w:rPr>
                <w:sz w:val="18"/>
                <w:szCs w:val="18"/>
              </w:rPr>
            </w:pPr>
            <w:r w:rsidRPr="00D341AB">
              <w:rPr>
                <w:sz w:val="18"/>
                <w:szCs w:val="18"/>
              </w:rPr>
              <w:t>Average number of dispensing errors causing actual harm to patients as a percentage of total items dispensed.</w:t>
            </w:r>
          </w:p>
        </w:tc>
        <w:tc>
          <w:tcPr>
            <w:tcW w:w="1479" w:type="dxa"/>
            <w:shd w:val="clear" w:color="auto" w:fill="D8D8D8"/>
          </w:tcPr>
          <w:p w:rsidR="001609EF" w:rsidRPr="00D341AB" w:rsidRDefault="001609EF" w:rsidP="00DB4857">
            <w:pPr>
              <w:pStyle w:val="NoSpacing"/>
              <w:rPr>
                <w:sz w:val="18"/>
                <w:szCs w:val="18"/>
              </w:rPr>
            </w:pPr>
            <w:r w:rsidRPr="00D341AB">
              <w:rPr>
                <w:sz w:val="18"/>
                <w:szCs w:val="18"/>
              </w:rPr>
              <w:t>As they occur.  Summary monthly.</w:t>
            </w:r>
          </w:p>
        </w:tc>
      </w:tr>
      <w:tr w:rsidR="001609EF" w:rsidRPr="00D341AB" w:rsidTr="00D341AB">
        <w:tc>
          <w:tcPr>
            <w:tcW w:w="1100" w:type="dxa"/>
            <w:shd w:val="clear" w:color="auto" w:fill="4F81BD"/>
          </w:tcPr>
          <w:p w:rsidR="001609EF" w:rsidRPr="00D341AB" w:rsidRDefault="001609EF" w:rsidP="00DB4857">
            <w:pPr>
              <w:pStyle w:val="NoSpacing"/>
              <w:rPr>
                <w:b/>
                <w:bCs/>
                <w:color w:val="FFFFFF"/>
                <w:sz w:val="18"/>
                <w:szCs w:val="18"/>
              </w:rPr>
            </w:pPr>
            <w:r w:rsidRPr="00D341AB">
              <w:rPr>
                <w:b/>
                <w:bCs/>
                <w:color w:val="FFFFFF"/>
                <w:sz w:val="18"/>
                <w:szCs w:val="18"/>
              </w:rPr>
              <w:t>Clinical Governance</w:t>
            </w:r>
          </w:p>
        </w:tc>
        <w:tc>
          <w:tcPr>
            <w:tcW w:w="2836" w:type="dxa"/>
            <w:shd w:val="clear" w:color="auto" w:fill="auto"/>
          </w:tcPr>
          <w:p w:rsidR="001609EF" w:rsidRPr="00D341AB" w:rsidRDefault="001609EF" w:rsidP="00DB4857">
            <w:pPr>
              <w:pStyle w:val="NoSpacing"/>
              <w:rPr>
                <w:sz w:val="18"/>
                <w:szCs w:val="18"/>
              </w:rPr>
            </w:pPr>
            <w:r w:rsidRPr="00D341AB">
              <w:rPr>
                <w:sz w:val="18"/>
                <w:szCs w:val="18"/>
              </w:rPr>
              <w:t>Clinical Screening Errors</w:t>
            </w:r>
          </w:p>
        </w:tc>
        <w:tc>
          <w:tcPr>
            <w:tcW w:w="3827" w:type="dxa"/>
            <w:shd w:val="clear" w:color="auto" w:fill="auto"/>
          </w:tcPr>
          <w:p w:rsidR="001609EF" w:rsidRPr="00D341AB" w:rsidRDefault="001609EF" w:rsidP="00DB4857">
            <w:pPr>
              <w:pStyle w:val="NoSpacing"/>
              <w:rPr>
                <w:sz w:val="18"/>
                <w:szCs w:val="18"/>
              </w:rPr>
            </w:pPr>
            <w:r w:rsidRPr="00D341AB">
              <w:rPr>
                <w:sz w:val="18"/>
                <w:szCs w:val="18"/>
              </w:rPr>
              <w:t>Average number of errors detected during clinical screening process by contractor as a percentage of total items dispensed.</w:t>
            </w:r>
          </w:p>
        </w:tc>
        <w:tc>
          <w:tcPr>
            <w:tcW w:w="1479" w:type="dxa"/>
            <w:shd w:val="clear" w:color="auto" w:fill="auto"/>
          </w:tcPr>
          <w:p w:rsidR="001609EF" w:rsidRPr="00D341AB" w:rsidRDefault="001609EF" w:rsidP="00DB4857">
            <w:pPr>
              <w:pStyle w:val="NoSpacing"/>
              <w:rPr>
                <w:sz w:val="18"/>
                <w:szCs w:val="18"/>
              </w:rPr>
            </w:pPr>
            <w:r w:rsidRPr="00D341AB">
              <w:rPr>
                <w:sz w:val="18"/>
                <w:szCs w:val="18"/>
              </w:rPr>
              <w:t>Monthly</w:t>
            </w:r>
          </w:p>
        </w:tc>
      </w:tr>
      <w:tr w:rsidR="001609EF" w:rsidRPr="00D341AB" w:rsidTr="00D341AB">
        <w:tc>
          <w:tcPr>
            <w:tcW w:w="1100" w:type="dxa"/>
            <w:shd w:val="clear" w:color="auto" w:fill="4F81BD"/>
          </w:tcPr>
          <w:p w:rsidR="001609EF" w:rsidRPr="00D341AB" w:rsidRDefault="001609EF" w:rsidP="00DB4857">
            <w:pPr>
              <w:pStyle w:val="NoSpacing"/>
              <w:rPr>
                <w:b/>
                <w:bCs/>
                <w:color w:val="FFFFFF"/>
                <w:sz w:val="18"/>
                <w:szCs w:val="18"/>
              </w:rPr>
            </w:pPr>
            <w:r w:rsidRPr="00D341AB">
              <w:rPr>
                <w:b/>
                <w:bCs/>
                <w:color w:val="FFFFFF"/>
                <w:sz w:val="18"/>
                <w:szCs w:val="18"/>
              </w:rPr>
              <w:t>Near Misses</w:t>
            </w:r>
          </w:p>
        </w:tc>
        <w:tc>
          <w:tcPr>
            <w:tcW w:w="2836" w:type="dxa"/>
            <w:shd w:val="clear" w:color="auto" w:fill="D8D8D8"/>
          </w:tcPr>
          <w:p w:rsidR="001609EF" w:rsidRPr="00D341AB" w:rsidRDefault="001609EF" w:rsidP="00DB4857">
            <w:pPr>
              <w:pStyle w:val="NoSpacing"/>
              <w:rPr>
                <w:sz w:val="18"/>
                <w:szCs w:val="18"/>
              </w:rPr>
            </w:pPr>
            <w:r w:rsidRPr="00D341AB">
              <w:rPr>
                <w:sz w:val="18"/>
                <w:szCs w:val="18"/>
              </w:rPr>
              <w:t>Near Misses during dispensing process</w:t>
            </w:r>
          </w:p>
        </w:tc>
        <w:tc>
          <w:tcPr>
            <w:tcW w:w="3827" w:type="dxa"/>
            <w:shd w:val="clear" w:color="auto" w:fill="D8D8D8"/>
          </w:tcPr>
          <w:p w:rsidR="001609EF" w:rsidRPr="00D341AB" w:rsidRDefault="001609EF" w:rsidP="00DB4857">
            <w:pPr>
              <w:pStyle w:val="NoSpacing"/>
              <w:rPr>
                <w:sz w:val="18"/>
                <w:szCs w:val="18"/>
              </w:rPr>
            </w:pPr>
            <w:r w:rsidRPr="00D341AB">
              <w:rPr>
                <w:sz w:val="18"/>
                <w:szCs w:val="18"/>
              </w:rPr>
              <w:t>Average number of errors detected during the dispensing process (e.g. labelling and dispensing) as a percentage of total items dispensed.</w:t>
            </w:r>
          </w:p>
        </w:tc>
        <w:tc>
          <w:tcPr>
            <w:tcW w:w="1479" w:type="dxa"/>
            <w:shd w:val="clear" w:color="auto" w:fill="D8D8D8"/>
          </w:tcPr>
          <w:p w:rsidR="001609EF" w:rsidRPr="00D341AB" w:rsidRDefault="001609EF" w:rsidP="00DB4857">
            <w:pPr>
              <w:pStyle w:val="NoSpacing"/>
              <w:rPr>
                <w:sz w:val="18"/>
                <w:szCs w:val="18"/>
              </w:rPr>
            </w:pPr>
            <w:r w:rsidRPr="00D341AB">
              <w:rPr>
                <w:sz w:val="18"/>
                <w:szCs w:val="18"/>
              </w:rPr>
              <w:t>Monthly</w:t>
            </w:r>
          </w:p>
        </w:tc>
      </w:tr>
      <w:tr w:rsidR="001609EF" w:rsidRPr="00D341AB" w:rsidTr="00D341AB">
        <w:tc>
          <w:tcPr>
            <w:tcW w:w="1100" w:type="dxa"/>
            <w:shd w:val="clear" w:color="auto" w:fill="4F81BD"/>
          </w:tcPr>
          <w:p w:rsidR="001609EF" w:rsidRPr="00D341AB" w:rsidRDefault="001609EF" w:rsidP="00DB4857">
            <w:pPr>
              <w:pStyle w:val="NoSpacing"/>
              <w:rPr>
                <w:b/>
                <w:bCs/>
                <w:color w:val="FFFFFF"/>
                <w:sz w:val="18"/>
                <w:szCs w:val="18"/>
              </w:rPr>
            </w:pPr>
            <w:r w:rsidRPr="00D341AB">
              <w:rPr>
                <w:b/>
                <w:bCs/>
                <w:color w:val="FFFFFF"/>
                <w:sz w:val="18"/>
                <w:szCs w:val="18"/>
              </w:rPr>
              <w:t>Clinical Governance</w:t>
            </w:r>
          </w:p>
        </w:tc>
        <w:tc>
          <w:tcPr>
            <w:tcW w:w="2836" w:type="dxa"/>
            <w:shd w:val="clear" w:color="auto" w:fill="auto"/>
          </w:tcPr>
          <w:p w:rsidR="001609EF" w:rsidRPr="00D341AB" w:rsidRDefault="001609EF" w:rsidP="00DB4857">
            <w:pPr>
              <w:pStyle w:val="NoSpacing"/>
              <w:rPr>
                <w:sz w:val="18"/>
                <w:szCs w:val="18"/>
              </w:rPr>
            </w:pPr>
            <w:r w:rsidRPr="00D341AB">
              <w:rPr>
                <w:sz w:val="18"/>
                <w:szCs w:val="18"/>
              </w:rPr>
              <w:t>Service Failure</w:t>
            </w:r>
          </w:p>
        </w:tc>
        <w:tc>
          <w:tcPr>
            <w:tcW w:w="3827" w:type="dxa"/>
            <w:shd w:val="clear" w:color="auto" w:fill="auto"/>
          </w:tcPr>
          <w:p w:rsidR="001609EF" w:rsidRPr="00D341AB" w:rsidRDefault="001609EF" w:rsidP="00DB4857">
            <w:pPr>
              <w:pStyle w:val="NoSpacing"/>
              <w:rPr>
                <w:sz w:val="18"/>
                <w:szCs w:val="18"/>
              </w:rPr>
            </w:pPr>
            <w:r w:rsidRPr="00D341AB">
              <w:rPr>
                <w:sz w:val="18"/>
                <w:szCs w:val="18"/>
              </w:rPr>
              <w:t>Number of contraventions of contract monitoring parameters (as defined by performance monitors written into the contract).</w:t>
            </w:r>
          </w:p>
        </w:tc>
        <w:tc>
          <w:tcPr>
            <w:tcW w:w="1479" w:type="dxa"/>
            <w:shd w:val="clear" w:color="auto" w:fill="auto"/>
          </w:tcPr>
          <w:p w:rsidR="001609EF" w:rsidRPr="00D341AB" w:rsidRDefault="001609EF" w:rsidP="00DB4857">
            <w:pPr>
              <w:pStyle w:val="NoSpacing"/>
              <w:rPr>
                <w:sz w:val="18"/>
                <w:szCs w:val="18"/>
              </w:rPr>
            </w:pPr>
            <w:r w:rsidRPr="00D341AB">
              <w:rPr>
                <w:sz w:val="18"/>
                <w:szCs w:val="18"/>
              </w:rPr>
              <w:t>3 monthly</w:t>
            </w:r>
          </w:p>
        </w:tc>
      </w:tr>
      <w:tr w:rsidR="001609EF" w:rsidRPr="00D341AB" w:rsidTr="00D341AB">
        <w:tc>
          <w:tcPr>
            <w:tcW w:w="1100" w:type="dxa"/>
            <w:shd w:val="clear" w:color="auto" w:fill="4F81BD"/>
          </w:tcPr>
          <w:p w:rsidR="001609EF" w:rsidRPr="00D341AB" w:rsidRDefault="001609EF" w:rsidP="00DB4857">
            <w:pPr>
              <w:pStyle w:val="NoSpacing"/>
              <w:rPr>
                <w:b/>
                <w:bCs/>
                <w:color w:val="FFFFFF"/>
                <w:sz w:val="18"/>
                <w:szCs w:val="18"/>
              </w:rPr>
            </w:pPr>
            <w:r w:rsidRPr="00D341AB">
              <w:rPr>
                <w:b/>
                <w:bCs/>
                <w:color w:val="FFFFFF"/>
                <w:sz w:val="18"/>
                <w:szCs w:val="18"/>
              </w:rPr>
              <w:t>Clinical Governance</w:t>
            </w:r>
          </w:p>
        </w:tc>
        <w:tc>
          <w:tcPr>
            <w:tcW w:w="2836" w:type="dxa"/>
            <w:shd w:val="clear" w:color="auto" w:fill="D8D8D8"/>
          </w:tcPr>
          <w:p w:rsidR="001609EF" w:rsidRPr="00D341AB" w:rsidRDefault="001609EF" w:rsidP="00DB4857">
            <w:pPr>
              <w:pStyle w:val="NoSpacing"/>
              <w:rPr>
                <w:sz w:val="18"/>
                <w:szCs w:val="18"/>
              </w:rPr>
            </w:pPr>
            <w:r w:rsidRPr="00D341AB">
              <w:rPr>
                <w:sz w:val="18"/>
                <w:szCs w:val="18"/>
              </w:rPr>
              <w:t>Service Complaints</w:t>
            </w:r>
          </w:p>
        </w:tc>
        <w:tc>
          <w:tcPr>
            <w:tcW w:w="3827" w:type="dxa"/>
            <w:shd w:val="clear" w:color="auto" w:fill="D8D8D8"/>
          </w:tcPr>
          <w:p w:rsidR="001609EF" w:rsidRPr="00D341AB" w:rsidRDefault="001609EF" w:rsidP="00DB4857">
            <w:pPr>
              <w:pStyle w:val="NoSpacing"/>
              <w:rPr>
                <w:sz w:val="18"/>
                <w:szCs w:val="18"/>
              </w:rPr>
            </w:pPr>
            <w:r w:rsidRPr="00D341AB">
              <w:rPr>
                <w:sz w:val="18"/>
                <w:szCs w:val="18"/>
              </w:rPr>
              <w:t>Number of formal patient complaints received through trust reporting system.</w:t>
            </w:r>
          </w:p>
        </w:tc>
        <w:tc>
          <w:tcPr>
            <w:tcW w:w="1479" w:type="dxa"/>
            <w:shd w:val="clear" w:color="auto" w:fill="D8D8D8"/>
          </w:tcPr>
          <w:p w:rsidR="001609EF" w:rsidRPr="00D341AB" w:rsidRDefault="001609EF" w:rsidP="00DB4857">
            <w:pPr>
              <w:pStyle w:val="NoSpacing"/>
              <w:rPr>
                <w:sz w:val="18"/>
                <w:szCs w:val="18"/>
              </w:rPr>
            </w:pPr>
            <w:r w:rsidRPr="00D341AB">
              <w:rPr>
                <w:sz w:val="18"/>
                <w:szCs w:val="18"/>
              </w:rPr>
              <w:t>Monthly</w:t>
            </w:r>
          </w:p>
        </w:tc>
      </w:tr>
      <w:tr w:rsidR="001609EF" w:rsidRPr="00D341AB" w:rsidTr="00D341AB">
        <w:tc>
          <w:tcPr>
            <w:tcW w:w="1100" w:type="dxa"/>
            <w:shd w:val="clear" w:color="auto" w:fill="4F81BD"/>
          </w:tcPr>
          <w:p w:rsidR="001609EF" w:rsidRPr="00D341AB" w:rsidRDefault="001609EF" w:rsidP="00DB4857">
            <w:pPr>
              <w:pStyle w:val="NoSpacing"/>
              <w:rPr>
                <w:b/>
                <w:bCs/>
                <w:color w:val="FFFFFF"/>
                <w:sz w:val="18"/>
                <w:szCs w:val="18"/>
              </w:rPr>
            </w:pPr>
            <w:r w:rsidRPr="00D341AB">
              <w:rPr>
                <w:b/>
                <w:bCs/>
                <w:color w:val="FFFFFF"/>
                <w:sz w:val="18"/>
                <w:szCs w:val="18"/>
              </w:rPr>
              <w:t>Finance</w:t>
            </w:r>
          </w:p>
        </w:tc>
        <w:tc>
          <w:tcPr>
            <w:tcW w:w="2836" w:type="dxa"/>
            <w:shd w:val="clear" w:color="auto" w:fill="auto"/>
          </w:tcPr>
          <w:p w:rsidR="001609EF" w:rsidRPr="00D341AB" w:rsidRDefault="001609EF" w:rsidP="00DB4857">
            <w:pPr>
              <w:pStyle w:val="NoSpacing"/>
              <w:rPr>
                <w:sz w:val="18"/>
                <w:szCs w:val="18"/>
              </w:rPr>
            </w:pPr>
            <w:r w:rsidRPr="00D341AB">
              <w:rPr>
                <w:sz w:val="18"/>
                <w:szCs w:val="18"/>
              </w:rPr>
              <w:t>Accuracy of Invoices</w:t>
            </w:r>
          </w:p>
        </w:tc>
        <w:tc>
          <w:tcPr>
            <w:tcW w:w="3827" w:type="dxa"/>
            <w:shd w:val="clear" w:color="auto" w:fill="auto"/>
          </w:tcPr>
          <w:p w:rsidR="001609EF" w:rsidRPr="00D341AB" w:rsidRDefault="001609EF" w:rsidP="00DB4857">
            <w:pPr>
              <w:pStyle w:val="NoSpacing"/>
              <w:rPr>
                <w:sz w:val="18"/>
                <w:szCs w:val="18"/>
              </w:rPr>
            </w:pPr>
            <w:r w:rsidRPr="00D341AB">
              <w:rPr>
                <w:sz w:val="18"/>
                <w:szCs w:val="18"/>
              </w:rPr>
              <w:t xml:space="preserve">Number of lines incorrectly priced on the invoice for </w:t>
            </w:r>
            <w:proofErr w:type="gramStart"/>
            <w:r w:rsidRPr="00D341AB">
              <w:rPr>
                <w:sz w:val="18"/>
                <w:szCs w:val="18"/>
              </w:rPr>
              <w:t>the  period</w:t>
            </w:r>
            <w:proofErr w:type="gramEnd"/>
            <w:r w:rsidRPr="00D341AB">
              <w:rPr>
                <w:sz w:val="18"/>
                <w:szCs w:val="18"/>
              </w:rPr>
              <w:t xml:space="preserve"> in question.</w:t>
            </w:r>
          </w:p>
        </w:tc>
        <w:tc>
          <w:tcPr>
            <w:tcW w:w="1479" w:type="dxa"/>
            <w:shd w:val="clear" w:color="auto" w:fill="auto"/>
          </w:tcPr>
          <w:p w:rsidR="001609EF" w:rsidRPr="00D341AB" w:rsidRDefault="001609EF" w:rsidP="00DB4857">
            <w:pPr>
              <w:pStyle w:val="NoSpacing"/>
              <w:rPr>
                <w:sz w:val="18"/>
                <w:szCs w:val="18"/>
              </w:rPr>
            </w:pPr>
            <w:r w:rsidRPr="00D341AB">
              <w:rPr>
                <w:sz w:val="18"/>
                <w:szCs w:val="18"/>
              </w:rPr>
              <w:t>Monthly</w:t>
            </w:r>
          </w:p>
        </w:tc>
      </w:tr>
      <w:tr w:rsidR="001609EF" w:rsidRPr="00D341AB" w:rsidTr="00D341AB">
        <w:tc>
          <w:tcPr>
            <w:tcW w:w="1100" w:type="dxa"/>
            <w:shd w:val="clear" w:color="auto" w:fill="4F81BD"/>
          </w:tcPr>
          <w:p w:rsidR="001609EF" w:rsidRPr="00D341AB" w:rsidRDefault="001609EF" w:rsidP="00DB4857">
            <w:pPr>
              <w:pStyle w:val="NoSpacing"/>
              <w:rPr>
                <w:b/>
                <w:bCs/>
                <w:color w:val="FFFFFF"/>
                <w:sz w:val="18"/>
                <w:szCs w:val="18"/>
              </w:rPr>
            </w:pPr>
          </w:p>
        </w:tc>
        <w:tc>
          <w:tcPr>
            <w:tcW w:w="2836" w:type="dxa"/>
            <w:shd w:val="clear" w:color="auto" w:fill="D8D8D8"/>
          </w:tcPr>
          <w:p w:rsidR="001609EF" w:rsidRPr="00D341AB" w:rsidRDefault="001609EF" w:rsidP="00DB4857">
            <w:pPr>
              <w:pStyle w:val="NoSpacing"/>
              <w:rPr>
                <w:sz w:val="18"/>
                <w:szCs w:val="18"/>
              </w:rPr>
            </w:pPr>
            <w:r w:rsidRPr="00D341AB">
              <w:rPr>
                <w:sz w:val="18"/>
                <w:szCs w:val="18"/>
              </w:rPr>
              <w:t>Value of credits</w:t>
            </w:r>
          </w:p>
        </w:tc>
        <w:tc>
          <w:tcPr>
            <w:tcW w:w="3827" w:type="dxa"/>
            <w:shd w:val="clear" w:color="auto" w:fill="D8D8D8"/>
          </w:tcPr>
          <w:p w:rsidR="001609EF" w:rsidRPr="00D341AB" w:rsidRDefault="001609EF" w:rsidP="00DB4857">
            <w:pPr>
              <w:pStyle w:val="NoSpacing"/>
              <w:rPr>
                <w:sz w:val="18"/>
                <w:szCs w:val="18"/>
              </w:rPr>
            </w:pPr>
            <w:r w:rsidRPr="00D341AB">
              <w:rPr>
                <w:sz w:val="18"/>
                <w:szCs w:val="18"/>
              </w:rPr>
              <w:t xml:space="preserve">Value of credits </w:t>
            </w:r>
            <w:proofErr w:type="gramStart"/>
            <w:r w:rsidRPr="00D341AB">
              <w:rPr>
                <w:sz w:val="18"/>
                <w:szCs w:val="18"/>
              </w:rPr>
              <w:t>raised</w:t>
            </w:r>
            <w:proofErr w:type="gramEnd"/>
            <w:r w:rsidRPr="00D341AB">
              <w:rPr>
                <w:sz w:val="18"/>
                <w:szCs w:val="18"/>
              </w:rPr>
              <w:t xml:space="preserve"> to correct invoice errors for the period in question.</w:t>
            </w:r>
          </w:p>
        </w:tc>
        <w:tc>
          <w:tcPr>
            <w:tcW w:w="1479" w:type="dxa"/>
            <w:shd w:val="clear" w:color="auto" w:fill="D8D8D8"/>
          </w:tcPr>
          <w:p w:rsidR="001609EF" w:rsidRPr="00D341AB" w:rsidRDefault="001609EF" w:rsidP="00DB4857">
            <w:pPr>
              <w:pStyle w:val="NoSpacing"/>
              <w:rPr>
                <w:sz w:val="18"/>
                <w:szCs w:val="18"/>
              </w:rPr>
            </w:pPr>
            <w:r w:rsidRPr="00D341AB">
              <w:rPr>
                <w:sz w:val="18"/>
                <w:szCs w:val="18"/>
              </w:rPr>
              <w:t>Monthly</w:t>
            </w:r>
          </w:p>
        </w:tc>
      </w:tr>
      <w:tr w:rsidR="001609EF" w:rsidRPr="00D341AB" w:rsidTr="00D341AB">
        <w:tc>
          <w:tcPr>
            <w:tcW w:w="1100" w:type="dxa"/>
            <w:tcBorders>
              <w:bottom w:val="single" w:sz="18" w:space="0" w:color="auto"/>
            </w:tcBorders>
            <w:shd w:val="clear" w:color="auto" w:fill="4F81BD"/>
          </w:tcPr>
          <w:p w:rsidR="001609EF" w:rsidRPr="00D341AB" w:rsidRDefault="001609EF" w:rsidP="00DB4857">
            <w:pPr>
              <w:pStyle w:val="NoSpacing"/>
              <w:rPr>
                <w:b/>
                <w:bCs/>
                <w:color w:val="FFFFFF"/>
                <w:sz w:val="18"/>
                <w:szCs w:val="18"/>
              </w:rPr>
            </w:pPr>
          </w:p>
        </w:tc>
        <w:tc>
          <w:tcPr>
            <w:tcW w:w="2836" w:type="dxa"/>
            <w:shd w:val="clear" w:color="auto" w:fill="auto"/>
          </w:tcPr>
          <w:p w:rsidR="001609EF" w:rsidRPr="00D341AB" w:rsidRDefault="001609EF" w:rsidP="00DB4857">
            <w:pPr>
              <w:pStyle w:val="NoSpacing"/>
              <w:rPr>
                <w:sz w:val="18"/>
                <w:szCs w:val="18"/>
              </w:rPr>
            </w:pPr>
            <w:r w:rsidRPr="00D341AB">
              <w:rPr>
                <w:sz w:val="18"/>
                <w:szCs w:val="18"/>
              </w:rPr>
              <w:t>Value of credits</w:t>
            </w:r>
          </w:p>
        </w:tc>
        <w:tc>
          <w:tcPr>
            <w:tcW w:w="3827" w:type="dxa"/>
            <w:shd w:val="clear" w:color="auto" w:fill="auto"/>
          </w:tcPr>
          <w:p w:rsidR="001609EF" w:rsidRPr="00D341AB" w:rsidRDefault="001609EF" w:rsidP="00DB4857">
            <w:pPr>
              <w:pStyle w:val="NoSpacing"/>
              <w:rPr>
                <w:sz w:val="18"/>
                <w:szCs w:val="18"/>
              </w:rPr>
            </w:pPr>
            <w:r w:rsidRPr="00D341AB">
              <w:rPr>
                <w:sz w:val="18"/>
                <w:szCs w:val="18"/>
              </w:rPr>
              <w:t xml:space="preserve">Percentage value of credits </w:t>
            </w:r>
            <w:proofErr w:type="gramStart"/>
            <w:r w:rsidRPr="00D341AB">
              <w:rPr>
                <w:sz w:val="18"/>
                <w:szCs w:val="18"/>
              </w:rPr>
              <w:t>raised</w:t>
            </w:r>
            <w:proofErr w:type="gramEnd"/>
            <w:r w:rsidRPr="00D341AB">
              <w:rPr>
                <w:sz w:val="18"/>
                <w:szCs w:val="18"/>
              </w:rPr>
              <w:t xml:space="preserve"> to correct invoice errors relative to the total spend on medicines for that period.</w:t>
            </w:r>
          </w:p>
        </w:tc>
        <w:tc>
          <w:tcPr>
            <w:tcW w:w="1479" w:type="dxa"/>
            <w:shd w:val="clear" w:color="auto" w:fill="auto"/>
          </w:tcPr>
          <w:p w:rsidR="001609EF" w:rsidRPr="00D341AB" w:rsidRDefault="001609EF" w:rsidP="00DB4857">
            <w:pPr>
              <w:pStyle w:val="NoSpacing"/>
              <w:rPr>
                <w:sz w:val="18"/>
                <w:szCs w:val="18"/>
              </w:rPr>
            </w:pPr>
            <w:r w:rsidRPr="00D341AB">
              <w:rPr>
                <w:sz w:val="18"/>
                <w:szCs w:val="18"/>
              </w:rPr>
              <w:t>3 monthly.</w:t>
            </w:r>
          </w:p>
        </w:tc>
      </w:tr>
    </w:tbl>
    <w:p w:rsidR="00C66CD9" w:rsidRDefault="00C66CD9" w:rsidP="00292F13">
      <w:pPr>
        <w:pStyle w:val="NoSpacing"/>
      </w:pPr>
    </w:p>
    <w:p w:rsidR="00C66CD9" w:rsidRPr="00C66CD9" w:rsidRDefault="00C66CD9" w:rsidP="00292F13">
      <w:pPr>
        <w:pStyle w:val="NoSpacing"/>
      </w:pPr>
    </w:p>
    <w:p w:rsidR="003B0169" w:rsidRDefault="00AC38DE" w:rsidP="00292F13">
      <w:pPr>
        <w:pStyle w:val="NoSpacing"/>
      </w:pPr>
      <w:r w:rsidRPr="00292F13">
        <w:rPr>
          <w:u w:val="single"/>
        </w:rPr>
        <w:t>Costs Survey</w:t>
      </w:r>
      <w:r w:rsidRPr="00AC38DE">
        <w:rPr>
          <w:b/>
        </w:rPr>
        <w:t xml:space="preserve"> </w:t>
      </w:r>
      <w:r>
        <w:rPr>
          <w:b/>
        </w:rPr>
        <w:br/>
      </w:r>
      <w:r w:rsidR="00161CE7">
        <w:t>To date the group has not been able to collect any meaningful benchmarking information</w:t>
      </w:r>
      <w:r w:rsidR="00743C23">
        <w:t xml:space="preserve"> </w:t>
      </w:r>
      <w:r w:rsidR="009A0DBA">
        <w:t xml:space="preserve">due to the confidential nature of the contracts with </w:t>
      </w:r>
      <w:r w:rsidR="00E2089A">
        <w:t>providers,</w:t>
      </w:r>
      <w:r w:rsidR="009A0DBA">
        <w:t xml:space="preserve"> </w:t>
      </w:r>
      <w:r w:rsidR="00743C23">
        <w:t>although this</w:t>
      </w:r>
      <w:r w:rsidR="009A0DBA">
        <w:t xml:space="preserve"> data</w:t>
      </w:r>
      <w:r w:rsidR="00743C23">
        <w:t xml:space="preserve"> would be</w:t>
      </w:r>
      <w:r w:rsidR="00161CE7">
        <w:t xml:space="preserve"> </w:t>
      </w:r>
      <w:proofErr w:type="gramStart"/>
      <w:r w:rsidR="00161CE7">
        <w:t>bene</w:t>
      </w:r>
      <w:r w:rsidR="00743C23">
        <w:t>fit  the</w:t>
      </w:r>
      <w:proofErr w:type="gramEnd"/>
      <w:r w:rsidR="00743C23">
        <w:t xml:space="preserve"> NHS</w:t>
      </w:r>
      <w:r w:rsidR="009A0DBA">
        <w:t xml:space="preserve"> considerably</w:t>
      </w:r>
      <w:r w:rsidR="00161CE7">
        <w:t>.  The factors that might affect a service charge have been identified as follows</w:t>
      </w:r>
    </w:p>
    <w:p w:rsidR="00161CE7" w:rsidRDefault="00161CE7" w:rsidP="00161CE7">
      <w:pPr>
        <w:pStyle w:val="NoSpacing"/>
        <w:numPr>
          <w:ilvl w:val="0"/>
          <w:numId w:val="8"/>
        </w:numPr>
      </w:pPr>
      <w:r>
        <w:t>Annual total outpatient spend</w:t>
      </w:r>
    </w:p>
    <w:p w:rsidR="00161CE7" w:rsidRDefault="00161CE7" w:rsidP="00161CE7">
      <w:pPr>
        <w:pStyle w:val="NoSpacing"/>
        <w:numPr>
          <w:ilvl w:val="0"/>
          <w:numId w:val="8"/>
        </w:numPr>
      </w:pPr>
      <w:r>
        <w:lastRenderedPageBreak/>
        <w:t xml:space="preserve">Annual </w:t>
      </w:r>
      <w:proofErr w:type="gramStart"/>
      <w:r>
        <w:t>outpatient spend</w:t>
      </w:r>
      <w:proofErr w:type="gramEnd"/>
      <w:r>
        <w:t xml:space="preserve"> on PBR excluded medicines</w:t>
      </w:r>
      <w:r w:rsidR="005007F2">
        <w:t xml:space="preserve"> (medicines where commissioners pay the cost of the medicine back to the hospital under the NHS tariff system of payment).</w:t>
      </w:r>
    </w:p>
    <w:p w:rsidR="00161CE7" w:rsidRDefault="00161CE7" w:rsidP="00161CE7">
      <w:pPr>
        <w:pStyle w:val="NoSpacing"/>
        <w:numPr>
          <w:ilvl w:val="0"/>
          <w:numId w:val="8"/>
        </w:numPr>
      </w:pPr>
      <w:r>
        <w:t xml:space="preserve">Annual </w:t>
      </w:r>
      <w:proofErr w:type="gramStart"/>
      <w:r>
        <w:t>outpatient spend</w:t>
      </w:r>
      <w:proofErr w:type="gramEnd"/>
      <w:r>
        <w:t xml:space="preserve"> on in tariff medicines</w:t>
      </w:r>
      <w:r w:rsidR="005007F2">
        <w:t xml:space="preserve"> (medicines where the cost of the medicine is included in the tariff payment to the hospital).</w:t>
      </w:r>
    </w:p>
    <w:p w:rsidR="00161CE7" w:rsidRDefault="00161CE7" w:rsidP="00161CE7">
      <w:pPr>
        <w:pStyle w:val="NoSpacing"/>
        <w:numPr>
          <w:ilvl w:val="0"/>
          <w:numId w:val="8"/>
        </w:numPr>
      </w:pPr>
      <w:r>
        <w:t>Annual number of prescription items to be outsourced.</w:t>
      </w:r>
    </w:p>
    <w:p w:rsidR="00161CE7" w:rsidRDefault="00161CE7" w:rsidP="00161CE7">
      <w:pPr>
        <w:pStyle w:val="NoSpacing"/>
        <w:numPr>
          <w:ilvl w:val="0"/>
          <w:numId w:val="8"/>
        </w:numPr>
      </w:pPr>
      <w:r>
        <w:t>Footprint of facility being made available (</w:t>
      </w:r>
      <w:r w:rsidR="00E2089A">
        <w:t>sq.</w:t>
      </w:r>
      <w:r>
        <w:t xml:space="preserve"> m)</w:t>
      </w:r>
    </w:p>
    <w:p w:rsidR="00161CE7" w:rsidRDefault="00161CE7" w:rsidP="00161CE7">
      <w:pPr>
        <w:pStyle w:val="NoSpacing"/>
        <w:numPr>
          <w:ilvl w:val="0"/>
          <w:numId w:val="8"/>
        </w:numPr>
      </w:pPr>
      <w:r>
        <w:t>Arrangements for payment for stock (when is it paid for)</w:t>
      </w:r>
    </w:p>
    <w:p w:rsidR="00161CE7" w:rsidRDefault="00161CE7" w:rsidP="00161CE7">
      <w:pPr>
        <w:pStyle w:val="NoSpacing"/>
        <w:numPr>
          <w:ilvl w:val="0"/>
          <w:numId w:val="8"/>
        </w:numPr>
      </w:pPr>
      <w:r>
        <w:t>Inclusion / exclusion of a home delivery option</w:t>
      </w:r>
    </w:p>
    <w:p w:rsidR="00161CE7" w:rsidRDefault="00161CE7" w:rsidP="00161CE7">
      <w:pPr>
        <w:pStyle w:val="NoSpacing"/>
        <w:numPr>
          <w:ilvl w:val="0"/>
          <w:numId w:val="8"/>
        </w:numPr>
      </w:pPr>
      <w:r>
        <w:t>Length of contract (years)</w:t>
      </w:r>
    </w:p>
    <w:p w:rsidR="00161CE7" w:rsidRDefault="00C41CE6" w:rsidP="00161CE7">
      <w:pPr>
        <w:pStyle w:val="NoSpacing"/>
        <w:numPr>
          <w:ilvl w:val="0"/>
          <w:numId w:val="8"/>
        </w:numPr>
      </w:pPr>
      <w:r>
        <w:t>Staff arrangements (TUPE etc.)</w:t>
      </w:r>
      <w:r w:rsidR="005007F2">
        <w:t xml:space="preserve">[TUPE is whether staff already working in the department </w:t>
      </w:r>
      <w:proofErr w:type="gramStart"/>
      <w:r w:rsidR="005007F2">
        <w:t>are</w:t>
      </w:r>
      <w:proofErr w:type="gramEnd"/>
      <w:r w:rsidR="005007F2">
        <w:t xml:space="preserve"> passed to the provider to maintain their employment].  </w:t>
      </w:r>
    </w:p>
    <w:p w:rsidR="00C41CE6" w:rsidRDefault="00C41CE6" w:rsidP="00161CE7">
      <w:pPr>
        <w:pStyle w:val="NoSpacing"/>
        <w:numPr>
          <w:ilvl w:val="0"/>
          <w:numId w:val="8"/>
        </w:numPr>
      </w:pPr>
      <w:r>
        <w:t>Rent charged</w:t>
      </w:r>
    </w:p>
    <w:p w:rsidR="00945BE9" w:rsidRPr="002264FC" w:rsidRDefault="00945BE9" w:rsidP="00161CE7">
      <w:pPr>
        <w:pStyle w:val="NoSpacing"/>
        <w:numPr>
          <w:ilvl w:val="0"/>
          <w:numId w:val="8"/>
        </w:numPr>
      </w:pPr>
      <w:r w:rsidRPr="002264FC">
        <w:t>Extent of retail component and potential share of retail profits</w:t>
      </w:r>
    </w:p>
    <w:p w:rsidR="00161CE7" w:rsidRDefault="00C41CE6" w:rsidP="00292F13">
      <w:pPr>
        <w:pStyle w:val="NoSpacing"/>
      </w:pPr>
      <w:r>
        <w:t>Discussions are being initiated wi</w:t>
      </w:r>
      <w:r w:rsidR="00743C23">
        <w:t>th</w:t>
      </w:r>
      <w:r>
        <w:t xml:space="preserve"> providers to investigate the need for commercial confidentiality within the NHS.</w:t>
      </w:r>
      <w:r w:rsidR="008B37F9">
        <w:br/>
      </w:r>
      <w:r w:rsidR="008B37F9">
        <w:br/>
        <w:t xml:space="preserve">In the </w:t>
      </w:r>
      <w:proofErr w:type="spellStart"/>
      <w:r w:rsidR="008B37F9">
        <w:t>mean time</w:t>
      </w:r>
      <w:proofErr w:type="spellEnd"/>
      <w:r w:rsidR="008B37F9">
        <w:t xml:space="preserve"> </w:t>
      </w:r>
      <w:r w:rsidR="00743C23">
        <w:t xml:space="preserve">some </w:t>
      </w:r>
      <w:r w:rsidR="008B37F9">
        <w:t>trusts have provided details in confidence of the cost per item they are charged by their provider.  From a relatively small sample costs ranged from</w:t>
      </w:r>
      <w:r w:rsidR="00910536">
        <w:t xml:space="preserve"> around</w:t>
      </w:r>
      <w:r w:rsidR="008B37F9">
        <w:t xml:space="preserve"> £3.00 per item to just</w:t>
      </w:r>
      <w:r w:rsidR="00910536">
        <w:t xml:space="preserve"> over £6.00 with a mean of £4.62p</w:t>
      </w:r>
      <w:r w:rsidR="008B37F9">
        <w:t>.  NB these fees were set at different times for different trust circumstances (volume and space).</w:t>
      </w:r>
    </w:p>
    <w:p w:rsidR="00292F13" w:rsidRDefault="00292F13" w:rsidP="00292F13">
      <w:pPr>
        <w:pStyle w:val="NoSpacing"/>
      </w:pPr>
    </w:p>
    <w:p w:rsidR="00EE29FB" w:rsidRPr="00026CBF" w:rsidRDefault="00AC38DE" w:rsidP="00026CBF">
      <w:pPr>
        <w:pStyle w:val="NoSpacing"/>
        <w:rPr>
          <w:b/>
        </w:rPr>
      </w:pPr>
      <w:r w:rsidRPr="00292F13">
        <w:rPr>
          <w:u w:val="single"/>
        </w:rPr>
        <w:t xml:space="preserve">Staffing </w:t>
      </w:r>
      <w:r w:rsidR="00EE29FB">
        <w:rPr>
          <w:u w:val="single"/>
        </w:rPr>
        <w:t xml:space="preserve">and Support </w:t>
      </w:r>
      <w:r w:rsidRPr="00292F13">
        <w:rPr>
          <w:u w:val="single"/>
        </w:rPr>
        <w:t>Requirements</w:t>
      </w:r>
      <w:r w:rsidRPr="003B0169">
        <w:rPr>
          <w:b/>
        </w:rPr>
        <w:br/>
      </w:r>
      <w:r w:rsidR="00EE29FB">
        <w:t xml:space="preserve">A common assumption when outsourcing an outpatient dispensing service is </w:t>
      </w:r>
      <w:r w:rsidR="00EA6C44">
        <w:t xml:space="preserve">that the host Trust </w:t>
      </w:r>
      <w:r w:rsidR="00EE29FB">
        <w:t>can hand over e</w:t>
      </w:r>
      <w:r w:rsidR="00743C23">
        <w:t xml:space="preserve">verything to the contractor </w:t>
      </w:r>
      <w:r w:rsidR="00EE29FB">
        <w:t>once the service has been outsourced.</w:t>
      </w:r>
      <w:r w:rsidR="00026CBF">
        <w:rPr>
          <w:b/>
        </w:rPr>
        <w:t xml:space="preserve">  </w:t>
      </w:r>
      <w:r w:rsidR="00743C23">
        <w:t>But</w:t>
      </w:r>
      <w:r w:rsidR="00EE29FB">
        <w:t xml:space="preserve"> t</w:t>
      </w:r>
      <w:r w:rsidR="00743C23">
        <w:t>here</w:t>
      </w:r>
      <w:r w:rsidR="00EE29FB">
        <w:t xml:space="preserve"> remains a considerable amount of support after the ser</w:t>
      </w:r>
      <w:r w:rsidR="00026CBF">
        <w:t xml:space="preserve">vice has been outsourced </w:t>
      </w:r>
      <w:r w:rsidR="00EE29FB">
        <w:t xml:space="preserve">from an operational, clinical, governance or contract management point of view. </w:t>
      </w:r>
    </w:p>
    <w:p w:rsidR="00EE29FB" w:rsidRDefault="00EE29FB" w:rsidP="00EE29FB">
      <w:pPr>
        <w:pStyle w:val="NoSpacing"/>
        <w:jc w:val="both"/>
      </w:pPr>
    </w:p>
    <w:p w:rsidR="00EE29FB" w:rsidRPr="007845DF" w:rsidRDefault="00EA6C44" w:rsidP="00EE29FB">
      <w:pPr>
        <w:pStyle w:val="NoSpacing"/>
        <w:jc w:val="both"/>
      </w:pPr>
      <w:r>
        <w:t xml:space="preserve">To </w:t>
      </w:r>
      <w:r w:rsidR="00EE29FB" w:rsidRPr="007845DF">
        <w:t>substantia</w:t>
      </w:r>
      <w:r>
        <w:t>te this</w:t>
      </w:r>
      <w:r w:rsidR="00743C23">
        <w:t>, a number of t</w:t>
      </w:r>
      <w:r w:rsidR="00EE29FB" w:rsidRPr="007845DF">
        <w:t xml:space="preserve">rusts responded to a request to estimate the number of hours per month of </w:t>
      </w:r>
      <w:r w:rsidR="00743C23">
        <w:t>support they provided to their c</w:t>
      </w:r>
      <w:r w:rsidR="00EE29FB" w:rsidRPr="007845DF">
        <w:t xml:space="preserve">ontractor. </w:t>
      </w:r>
      <w:r w:rsidR="002E5732">
        <w:t>Table 2</w:t>
      </w:r>
    </w:p>
    <w:p w:rsidR="00EE29FB" w:rsidRPr="007845DF" w:rsidRDefault="00EE29FB" w:rsidP="00EE29FB">
      <w:pPr>
        <w:pStyle w:val="NoSpacing"/>
        <w:ind w:left="360"/>
        <w:rPr>
          <w:b/>
        </w:rPr>
      </w:pPr>
    </w:p>
    <w:p w:rsidR="00EE29FB" w:rsidRPr="00F3479D" w:rsidRDefault="002E5732" w:rsidP="00EE29FB">
      <w:pPr>
        <w:pStyle w:val="NoSpacing"/>
        <w:rPr>
          <w:b/>
        </w:rPr>
      </w:pPr>
      <w:r>
        <w:rPr>
          <w:b/>
        </w:rPr>
        <w:t xml:space="preserve">Table </w:t>
      </w:r>
      <w:proofErr w:type="gramStart"/>
      <w:r>
        <w:rPr>
          <w:b/>
        </w:rPr>
        <w:t>2</w:t>
      </w:r>
      <w:r w:rsidR="00026CBF">
        <w:rPr>
          <w:b/>
        </w:rPr>
        <w:t xml:space="preserve"> </w:t>
      </w:r>
      <w:r w:rsidR="00EE29FB" w:rsidRPr="007845DF">
        <w:rPr>
          <w:b/>
        </w:rPr>
        <w:t xml:space="preserve"> Estimated</w:t>
      </w:r>
      <w:proofErr w:type="gramEnd"/>
      <w:r w:rsidR="00EE29FB" w:rsidRPr="007845DF">
        <w:rPr>
          <w:b/>
        </w:rPr>
        <w:t xml:space="preserve"> number</w:t>
      </w:r>
      <w:r w:rsidR="00EE29FB" w:rsidRPr="00770B4C">
        <w:rPr>
          <w:b/>
        </w:rPr>
        <w:t xml:space="preserve"> of hours support provided by the Authority to the</w:t>
      </w:r>
      <w:r w:rsidR="00EE29FB">
        <w:t xml:space="preserve"> </w:t>
      </w:r>
      <w:r w:rsidR="00EE29FB" w:rsidRPr="00F3479D">
        <w:rPr>
          <w:b/>
        </w:rPr>
        <w:t xml:space="preserve">Contractor each month </w:t>
      </w:r>
    </w:p>
    <w:tbl>
      <w:tblPr>
        <w:tblW w:w="0" w:type="auto"/>
        <w:tblBorders>
          <w:top w:val="single" w:sz="18" w:space="0" w:color="auto"/>
          <w:bottom w:val="single" w:sz="18" w:space="0" w:color="auto"/>
        </w:tblBorders>
        <w:tblLook w:val="04A0" w:firstRow="1" w:lastRow="0" w:firstColumn="1" w:lastColumn="0" w:noHBand="0" w:noVBand="1"/>
      </w:tblPr>
      <w:tblGrid>
        <w:gridCol w:w="1574"/>
        <w:gridCol w:w="985"/>
        <w:gridCol w:w="985"/>
        <w:gridCol w:w="986"/>
        <w:gridCol w:w="986"/>
        <w:gridCol w:w="986"/>
        <w:gridCol w:w="987"/>
        <w:gridCol w:w="1033"/>
      </w:tblGrid>
      <w:tr w:rsidR="00EE29FB" w:rsidRPr="00D341AB" w:rsidTr="00D341AB">
        <w:tc>
          <w:tcPr>
            <w:tcW w:w="1574" w:type="dxa"/>
            <w:tcBorders>
              <w:top w:val="single" w:sz="18" w:space="0" w:color="auto"/>
              <w:bottom w:val="single" w:sz="18" w:space="0" w:color="auto"/>
            </w:tcBorders>
            <w:shd w:val="clear" w:color="auto" w:fill="4F81BD"/>
          </w:tcPr>
          <w:p w:rsidR="00EE29FB" w:rsidRPr="00D341AB" w:rsidRDefault="00EE29FB" w:rsidP="00075AD9">
            <w:pPr>
              <w:pStyle w:val="NoSpacing"/>
              <w:rPr>
                <w:b/>
                <w:bCs/>
                <w:color w:val="FFFFFF"/>
                <w:sz w:val="16"/>
                <w:szCs w:val="16"/>
              </w:rPr>
            </w:pPr>
          </w:p>
        </w:tc>
        <w:tc>
          <w:tcPr>
            <w:tcW w:w="985" w:type="dxa"/>
            <w:tcBorders>
              <w:top w:val="single" w:sz="18" w:space="0" w:color="auto"/>
              <w:left w:val="nil"/>
              <w:bottom w:val="single" w:sz="18" w:space="0" w:color="auto"/>
              <w:right w:val="nil"/>
            </w:tcBorders>
            <w:shd w:val="clear" w:color="auto" w:fill="4F81BD"/>
          </w:tcPr>
          <w:p w:rsidR="00EE29FB" w:rsidRPr="00D341AB" w:rsidRDefault="00EE29FB" w:rsidP="00075AD9">
            <w:pPr>
              <w:pStyle w:val="NoSpacing"/>
              <w:rPr>
                <w:b/>
                <w:bCs/>
                <w:color w:val="FFFFFF"/>
                <w:sz w:val="16"/>
                <w:szCs w:val="16"/>
              </w:rPr>
            </w:pPr>
            <w:r w:rsidRPr="00D341AB">
              <w:rPr>
                <w:b/>
                <w:bCs/>
                <w:color w:val="FFFFFF"/>
                <w:sz w:val="16"/>
                <w:szCs w:val="16"/>
              </w:rPr>
              <w:t>Trust A*</w:t>
            </w:r>
          </w:p>
        </w:tc>
        <w:tc>
          <w:tcPr>
            <w:tcW w:w="985" w:type="dxa"/>
            <w:tcBorders>
              <w:top w:val="single" w:sz="18" w:space="0" w:color="auto"/>
              <w:bottom w:val="single" w:sz="18" w:space="0" w:color="auto"/>
            </w:tcBorders>
            <w:shd w:val="clear" w:color="auto" w:fill="4F81BD"/>
          </w:tcPr>
          <w:p w:rsidR="00EE29FB" w:rsidRPr="00D341AB" w:rsidRDefault="00EE29FB" w:rsidP="00075AD9">
            <w:pPr>
              <w:pStyle w:val="NoSpacing"/>
              <w:rPr>
                <w:b/>
                <w:bCs/>
                <w:color w:val="FFFFFF"/>
                <w:sz w:val="16"/>
                <w:szCs w:val="16"/>
              </w:rPr>
            </w:pPr>
            <w:r w:rsidRPr="00D341AB">
              <w:rPr>
                <w:b/>
                <w:bCs/>
                <w:color w:val="FFFFFF"/>
                <w:sz w:val="16"/>
                <w:szCs w:val="16"/>
              </w:rPr>
              <w:t>Trust B</w:t>
            </w:r>
          </w:p>
        </w:tc>
        <w:tc>
          <w:tcPr>
            <w:tcW w:w="986" w:type="dxa"/>
            <w:tcBorders>
              <w:top w:val="single" w:sz="18" w:space="0" w:color="auto"/>
              <w:left w:val="nil"/>
              <w:bottom w:val="single" w:sz="18" w:space="0" w:color="auto"/>
              <w:right w:val="nil"/>
            </w:tcBorders>
            <w:shd w:val="clear" w:color="auto" w:fill="4F81BD"/>
          </w:tcPr>
          <w:p w:rsidR="00EE29FB" w:rsidRPr="00D341AB" w:rsidRDefault="00EE29FB" w:rsidP="00075AD9">
            <w:pPr>
              <w:pStyle w:val="NoSpacing"/>
              <w:rPr>
                <w:b/>
                <w:bCs/>
                <w:color w:val="FFFFFF"/>
                <w:sz w:val="16"/>
                <w:szCs w:val="16"/>
              </w:rPr>
            </w:pPr>
            <w:r w:rsidRPr="00D341AB">
              <w:rPr>
                <w:b/>
                <w:bCs/>
                <w:color w:val="FFFFFF"/>
                <w:sz w:val="16"/>
                <w:szCs w:val="16"/>
              </w:rPr>
              <w:t>Trust C</w:t>
            </w:r>
          </w:p>
        </w:tc>
        <w:tc>
          <w:tcPr>
            <w:tcW w:w="986" w:type="dxa"/>
            <w:tcBorders>
              <w:top w:val="single" w:sz="18" w:space="0" w:color="auto"/>
              <w:bottom w:val="single" w:sz="18" w:space="0" w:color="auto"/>
            </w:tcBorders>
            <w:shd w:val="clear" w:color="auto" w:fill="4F81BD"/>
          </w:tcPr>
          <w:p w:rsidR="00EE29FB" w:rsidRPr="00D341AB" w:rsidRDefault="00EE29FB" w:rsidP="00075AD9">
            <w:pPr>
              <w:pStyle w:val="NoSpacing"/>
              <w:rPr>
                <w:b/>
                <w:bCs/>
                <w:color w:val="FFFFFF"/>
                <w:sz w:val="16"/>
                <w:szCs w:val="16"/>
              </w:rPr>
            </w:pPr>
            <w:r w:rsidRPr="00D341AB">
              <w:rPr>
                <w:b/>
                <w:bCs/>
                <w:color w:val="FFFFFF"/>
                <w:sz w:val="16"/>
                <w:szCs w:val="16"/>
              </w:rPr>
              <w:t>Trust D</w:t>
            </w:r>
          </w:p>
        </w:tc>
        <w:tc>
          <w:tcPr>
            <w:tcW w:w="986" w:type="dxa"/>
            <w:tcBorders>
              <w:top w:val="single" w:sz="18" w:space="0" w:color="auto"/>
              <w:left w:val="nil"/>
              <w:bottom w:val="single" w:sz="18" w:space="0" w:color="auto"/>
              <w:right w:val="nil"/>
            </w:tcBorders>
            <w:shd w:val="clear" w:color="auto" w:fill="4F81BD"/>
          </w:tcPr>
          <w:p w:rsidR="00EE29FB" w:rsidRPr="00D341AB" w:rsidRDefault="00EE29FB" w:rsidP="00075AD9">
            <w:pPr>
              <w:pStyle w:val="NoSpacing"/>
              <w:rPr>
                <w:b/>
                <w:bCs/>
                <w:color w:val="FFFFFF"/>
                <w:sz w:val="16"/>
                <w:szCs w:val="16"/>
              </w:rPr>
            </w:pPr>
            <w:r w:rsidRPr="00D341AB">
              <w:rPr>
                <w:b/>
                <w:bCs/>
                <w:color w:val="FFFFFF"/>
                <w:sz w:val="16"/>
                <w:szCs w:val="16"/>
              </w:rPr>
              <w:t>Trust E</w:t>
            </w:r>
          </w:p>
        </w:tc>
        <w:tc>
          <w:tcPr>
            <w:tcW w:w="987" w:type="dxa"/>
            <w:tcBorders>
              <w:top w:val="single" w:sz="18" w:space="0" w:color="auto"/>
              <w:bottom w:val="single" w:sz="18" w:space="0" w:color="auto"/>
            </w:tcBorders>
            <w:shd w:val="clear" w:color="auto" w:fill="4F81BD"/>
          </w:tcPr>
          <w:p w:rsidR="00EE29FB" w:rsidRPr="00D341AB" w:rsidRDefault="00EE29FB" w:rsidP="00075AD9">
            <w:pPr>
              <w:pStyle w:val="NoSpacing"/>
              <w:rPr>
                <w:b/>
                <w:bCs/>
                <w:color w:val="FFFFFF"/>
                <w:sz w:val="16"/>
                <w:szCs w:val="16"/>
              </w:rPr>
            </w:pPr>
            <w:r w:rsidRPr="00D341AB">
              <w:rPr>
                <w:b/>
                <w:bCs/>
                <w:color w:val="FFFFFF"/>
                <w:sz w:val="16"/>
                <w:szCs w:val="16"/>
              </w:rPr>
              <w:t>Trust F</w:t>
            </w:r>
          </w:p>
        </w:tc>
        <w:tc>
          <w:tcPr>
            <w:tcW w:w="1033" w:type="dxa"/>
            <w:tcBorders>
              <w:top w:val="single" w:sz="18" w:space="0" w:color="auto"/>
              <w:left w:val="nil"/>
              <w:bottom w:val="single" w:sz="18" w:space="0" w:color="auto"/>
              <w:right w:val="nil"/>
            </w:tcBorders>
            <w:shd w:val="clear" w:color="auto" w:fill="4F81BD"/>
          </w:tcPr>
          <w:p w:rsidR="00EE29FB" w:rsidRPr="00D341AB" w:rsidRDefault="00EE29FB" w:rsidP="00075AD9">
            <w:pPr>
              <w:pStyle w:val="NoSpacing"/>
              <w:rPr>
                <w:b/>
                <w:bCs/>
                <w:color w:val="FFFFFF"/>
                <w:sz w:val="16"/>
                <w:szCs w:val="16"/>
              </w:rPr>
            </w:pPr>
            <w:r w:rsidRPr="00D341AB">
              <w:rPr>
                <w:b/>
                <w:bCs/>
                <w:color w:val="FFFFFF"/>
                <w:sz w:val="16"/>
                <w:szCs w:val="16"/>
              </w:rPr>
              <w:t>AVERAGE</w:t>
            </w:r>
          </w:p>
        </w:tc>
      </w:tr>
      <w:tr w:rsidR="00EE29FB" w:rsidRPr="00D341AB" w:rsidTr="00D341AB">
        <w:tc>
          <w:tcPr>
            <w:tcW w:w="1574" w:type="dxa"/>
            <w:shd w:val="clear" w:color="auto" w:fill="4F81BD"/>
          </w:tcPr>
          <w:p w:rsidR="00EE29FB" w:rsidRPr="00D341AB" w:rsidRDefault="00EE29FB" w:rsidP="00075AD9">
            <w:pPr>
              <w:pStyle w:val="NoSpacing"/>
              <w:rPr>
                <w:b/>
                <w:bCs/>
                <w:color w:val="FFFFFF"/>
                <w:sz w:val="16"/>
                <w:szCs w:val="16"/>
              </w:rPr>
            </w:pPr>
            <w:r w:rsidRPr="00D341AB">
              <w:rPr>
                <w:b/>
                <w:bCs/>
                <w:color w:val="FFFFFF"/>
                <w:sz w:val="16"/>
                <w:szCs w:val="16"/>
              </w:rPr>
              <w:t>Commercial &amp; legal</w:t>
            </w:r>
          </w:p>
        </w:tc>
        <w:tc>
          <w:tcPr>
            <w:tcW w:w="985" w:type="dxa"/>
            <w:shd w:val="clear" w:color="auto" w:fill="D8D8D8"/>
          </w:tcPr>
          <w:p w:rsidR="00EE29FB" w:rsidRPr="00D341AB" w:rsidRDefault="00EE29FB" w:rsidP="00075AD9">
            <w:pPr>
              <w:pStyle w:val="NoSpacing"/>
              <w:rPr>
                <w:sz w:val="16"/>
                <w:szCs w:val="16"/>
              </w:rPr>
            </w:pPr>
            <w:r w:rsidRPr="00D341AB">
              <w:rPr>
                <w:sz w:val="16"/>
                <w:szCs w:val="16"/>
              </w:rPr>
              <w:t>2</w:t>
            </w:r>
          </w:p>
        </w:tc>
        <w:tc>
          <w:tcPr>
            <w:tcW w:w="985" w:type="dxa"/>
            <w:shd w:val="clear" w:color="auto" w:fill="D8D8D8"/>
          </w:tcPr>
          <w:p w:rsidR="00EE29FB" w:rsidRPr="00D341AB" w:rsidRDefault="00EE29FB" w:rsidP="00075AD9">
            <w:pPr>
              <w:pStyle w:val="NoSpacing"/>
              <w:rPr>
                <w:sz w:val="16"/>
                <w:szCs w:val="16"/>
              </w:rPr>
            </w:pPr>
            <w:r w:rsidRPr="00D341AB">
              <w:rPr>
                <w:sz w:val="16"/>
                <w:szCs w:val="16"/>
              </w:rPr>
              <w:t>1</w:t>
            </w:r>
          </w:p>
        </w:tc>
        <w:tc>
          <w:tcPr>
            <w:tcW w:w="986" w:type="dxa"/>
            <w:shd w:val="clear" w:color="auto" w:fill="D8D8D8"/>
          </w:tcPr>
          <w:p w:rsidR="00EE29FB" w:rsidRPr="00D341AB" w:rsidRDefault="00EE29FB" w:rsidP="00075AD9">
            <w:pPr>
              <w:pStyle w:val="NoSpacing"/>
              <w:rPr>
                <w:sz w:val="16"/>
                <w:szCs w:val="16"/>
              </w:rPr>
            </w:pPr>
            <w:r w:rsidRPr="00D341AB">
              <w:rPr>
                <w:sz w:val="16"/>
                <w:szCs w:val="16"/>
              </w:rPr>
              <w:t>5</w:t>
            </w:r>
          </w:p>
        </w:tc>
        <w:tc>
          <w:tcPr>
            <w:tcW w:w="986" w:type="dxa"/>
            <w:shd w:val="clear" w:color="auto" w:fill="D8D8D8"/>
          </w:tcPr>
          <w:p w:rsidR="00EE29FB" w:rsidRPr="00D341AB" w:rsidRDefault="00EE29FB" w:rsidP="00075AD9">
            <w:pPr>
              <w:pStyle w:val="NoSpacing"/>
              <w:rPr>
                <w:sz w:val="16"/>
                <w:szCs w:val="16"/>
              </w:rPr>
            </w:pPr>
            <w:r w:rsidRPr="00D341AB">
              <w:rPr>
                <w:sz w:val="16"/>
                <w:szCs w:val="16"/>
              </w:rPr>
              <w:t>2</w:t>
            </w:r>
          </w:p>
        </w:tc>
        <w:tc>
          <w:tcPr>
            <w:tcW w:w="986" w:type="dxa"/>
            <w:shd w:val="clear" w:color="auto" w:fill="D8D8D8"/>
          </w:tcPr>
          <w:p w:rsidR="00EE29FB" w:rsidRPr="00D341AB" w:rsidRDefault="00EE29FB" w:rsidP="00075AD9">
            <w:pPr>
              <w:pStyle w:val="NoSpacing"/>
              <w:rPr>
                <w:sz w:val="16"/>
                <w:szCs w:val="16"/>
              </w:rPr>
            </w:pPr>
            <w:r w:rsidRPr="00D341AB">
              <w:rPr>
                <w:sz w:val="16"/>
                <w:szCs w:val="16"/>
              </w:rPr>
              <w:t>2</w:t>
            </w:r>
          </w:p>
        </w:tc>
        <w:tc>
          <w:tcPr>
            <w:tcW w:w="987" w:type="dxa"/>
            <w:shd w:val="clear" w:color="auto" w:fill="D8D8D8"/>
          </w:tcPr>
          <w:p w:rsidR="00EE29FB" w:rsidRPr="00D341AB" w:rsidRDefault="00EE29FB" w:rsidP="00075AD9">
            <w:pPr>
              <w:pStyle w:val="NoSpacing"/>
              <w:rPr>
                <w:sz w:val="16"/>
                <w:szCs w:val="16"/>
              </w:rPr>
            </w:pPr>
            <w:r w:rsidRPr="00D341AB">
              <w:rPr>
                <w:sz w:val="16"/>
                <w:szCs w:val="16"/>
              </w:rPr>
              <w:t>52</w:t>
            </w:r>
          </w:p>
        </w:tc>
        <w:tc>
          <w:tcPr>
            <w:tcW w:w="1033" w:type="dxa"/>
            <w:shd w:val="clear" w:color="auto" w:fill="D8D8D8"/>
          </w:tcPr>
          <w:p w:rsidR="00EE29FB" w:rsidRPr="00D341AB" w:rsidRDefault="00EE29FB" w:rsidP="00075AD9">
            <w:pPr>
              <w:pStyle w:val="NoSpacing"/>
              <w:rPr>
                <w:b/>
                <w:sz w:val="16"/>
                <w:szCs w:val="16"/>
              </w:rPr>
            </w:pPr>
            <w:r w:rsidRPr="00D341AB">
              <w:rPr>
                <w:b/>
                <w:sz w:val="16"/>
                <w:szCs w:val="16"/>
              </w:rPr>
              <w:t>11</w:t>
            </w:r>
          </w:p>
        </w:tc>
      </w:tr>
      <w:tr w:rsidR="00EE29FB" w:rsidRPr="00D341AB" w:rsidTr="00D341AB">
        <w:tc>
          <w:tcPr>
            <w:tcW w:w="1574" w:type="dxa"/>
            <w:shd w:val="clear" w:color="auto" w:fill="4F81BD"/>
          </w:tcPr>
          <w:p w:rsidR="00EE29FB" w:rsidRPr="00D341AB" w:rsidRDefault="00EE29FB" w:rsidP="00075AD9">
            <w:pPr>
              <w:pStyle w:val="NoSpacing"/>
              <w:rPr>
                <w:b/>
                <w:bCs/>
                <w:color w:val="FFFFFF"/>
                <w:sz w:val="16"/>
                <w:szCs w:val="16"/>
              </w:rPr>
            </w:pPr>
            <w:r w:rsidRPr="00D341AB">
              <w:rPr>
                <w:b/>
                <w:bCs/>
                <w:color w:val="FFFFFF"/>
                <w:sz w:val="16"/>
                <w:szCs w:val="16"/>
              </w:rPr>
              <w:t>Finance input</w:t>
            </w:r>
          </w:p>
        </w:tc>
        <w:tc>
          <w:tcPr>
            <w:tcW w:w="985" w:type="dxa"/>
            <w:shd w:val="clear" w:color="auto" w:fill="auto"/>
          </w:tcPr>
          <w:p w:rsidR="00EE29FB" w:rsidRPr="00D341AB" w:rsidRDefault="00EE29FB" w:rsidP="00075AD9">
            <w:pPr>
              <w:pStyle w:val="NoSpacing"/>
              <w:rPr>
                <w:sz w:val="16"/>
                <w:szCs w:val="16"/>
              </w:rPr>
            </w:pPr>
            <w:r w:rsidRPr="00D341AB">
              <w:rPr>
                <w:sz w:val="16"/>
                <w:szCs w:val="16"/>
              </w:rPr>
              <w:t>22</w:t>
            </w:r>
          </w:p>
        </w:tc>
        <w:tc>
          <w:tcPr>
            <w:tcW w:w="985" w:type="dxa"/>
            <w:shd w:val="clear" w:color="auto" w:fill="auto"/>
          </w:tcPr>
          <w:p w:rsidR="00EE29FB" w:rsidRPr="00D341AB" w:rsidRDefault="00EE29FB" w:rsidP="00075AD9">
            <w:pPr>
              <w:pStyle w:val="NoSpacing"/>
              <w:rPr>
                <w:sz w:val="16"/>
                <w:szCs w:val="16"/>
              </w:rPr>
            </w:pPr>
            <w:r w:rsidRPr="00D341AB">
              <w:rPr>
                <w:sz w:val="16"/>
                <w:szCs w:val="16"/>
              </w:rPr>
              <w:t>6</w:t>
            </w:r>
          </w:p>
        </w:tc>
        <w:tc>
          <w:tcPr>
            <w:tcW w:w="986" w:type="dxa"/>
            <w:shd w:val="clear" w:color="auto" w:fill="auto"/>
          </w:tcPr>
          <w:p w:rsidR="00EE29FB" w:rsidRPr="00D341AB" w:rsidRDefault="00EE29FB" w:rsidP="00075AD9">
            <w:pPr>
              <w:pStyle w:val="NoSpacing"/>
              <w:rPr>
                <w:sz w:val="16"/>
                <w:szCs w:val="16"/>
              </w:rPr>
            </w:pPr>
            <w:r w:rsidRPr="00D341AB">
              <w:rPr>
                <w:sz w:val="16"/>
                <w:szCs w:val="16"/>
              </w:rPr>
              <w:t>0</w:t>
            </w:r>
          </w:p>
        </w:tc>
        <w:tc>
          <w:tcPr>
            <w:tcW w:w="986" w:type="dxa"/>
            <w:shd w:val="clear" w:color="auto" w:fill="auto"/>
          </w:tcPr>
          <w:p w:rsidR="00EE29FB" w:rsidRPr="00D341AB" w:rsidRDefault="00EE29FB" w:rsidP="00075AD9">
            <w:pPr>
              <w:pStyle w:val="NoSpacing"/>
              <w:rPr>
                <w:sz w:val="16"/>
                <w:szCs w:val="16"/>
              </w:rPr>
            </w:pPr>
            <w:r w:rsidRPr="00D341AB">
              <w:rPr>
                <w:sz w:val="16"/>
                <w:szCs w:val="16"/>
              </w:rPr>
              <w:t>150</w:t>
            </w:r>
          </w:p>
        </w:tc>
        <w:tc>
          <w:tcPr>
            <w:tcW w:w="986" w:type="dxa"/>
            <w:shd w:val="clear" w:color="auto" w:fill="auto"/>
          </w:tcPr>
          <w:p w:rsidR="00EE29FB" w:rsidRPr="00D341AB" w:rsidRDefault="00EE29FB" w:rsidP="00075AD9">
            <w:pPr>
              <w:pStyle w:val="NoSpacing"/>
              <w:rPr>
                <w:sz w:val="16"/>
                <w:szCs w:val="16"/>
              </w:rPr>
            </w:pPr>
            <w:r w:rsidRPr="00D341AB">
              <w:rPr>
                <w:sz w:val="16"/>
                <w:szCs w:val="16"/>
              </w:rPr>
              <w:t>15</w:t>
            </w:r>
          </w:p>
        </w:tc>
        <w:tc>
          <w:tcPr>
            <w:tcW w:w="987" w:type="dxa"/>
            <w:shd w:val="clear" w:color="auto" w:fill="auto"/>
          </w:tcPr>
          <w:p w:rsidR="00EE29FB" w:rsidRPr="00D341AB" w:rsidRDefault="00EE29FB" w:rsidP="00075AD9">
            <w:pPr>
              <w:pStyle w:val="NoSpacing"/>
              <w:rPr>
                <w:sz w:val="16"/>
                <w:szCs w:val="16"/>
              </w:rPr>
            </w:pPr>
            <w:r w:rsidRPr="00D341AB">
              <w:rPr>
                <w:sz w:val="16"/>
                <w:szCs w:val="16"/>
              </w:rPr>
              <w:t>52</w:t>
            </w:r>
          </w:p>
        </w:tc>
        <w:tc>
          <w:tcPr>
            <w:tcW w:w="1033" w:type="dxa"/>
            <w:shd w:val="clear" w:color="auto" w:fill="auto"/>
          </w:tcPr>
          <w:p w:rsidR="00EE29FB" w:rsidRPr="00D341AB" w:rsidRDefault="00EE29FB" w:rsidP="00075AD9">
            <w:pPr>
              <w:pStyle w:val="NoSpacing"/>
              <w:rPr>
                <w:b/>
                <w:sz w:val="16"/>
                <w:szCs w:val="16"/>
              </w:rPr>
            </w:pPr>
            <w:r w:rsidRPr="00D341AB">
              <w:rPr>
                <w:b/>
                <w:sz w:val="16"/>
                <w:szCs w:val="16"/>
              </w:rPr>
              <w:t>41</w:t>
            </w:r>
          </w:p>
        </w:tc>
      </w:tr>
      <w:tr w:rsidR="00EE29FB" w:rsidRPr="00D341AB" w:rsidTr="00D341AB">
        <w:tc>
          <w:tcPr>
            <w:tcW w:w="1574" w:type="dxa"/>
            <w:shd w:val="clear" w:color="auto" w:fill="4F81BD"/>
          </w:tcPr>
          <w:p w:rsidR="00EE29FB" w:rsidRPr="00D341AB" w:rsidRDefault="00EE29FB" w:rsidP="00075AD9">
            <w:pPr>
              <w:pStyle w:val="NoSpacing"/>
              <w:rPr>
                <w:b/>
                <w:bCs/>
                <w:color w:val="FFFFFF"/>
                <w:sz w:val="16"/>
                <w:szCs w:val="16"/>
              </w:rPr>
            </w:pPr>
            <w:r w:rsidRPr="00D341AB">
              <w:rPr>
                <w:b/>
                <w:bCs/>
                <w:color w:val="FFFFFF"/>
                <w:sz w:val="16"/>
                <w:szCs w:val="16"/>
              </w:rPr>
              <w:t>Dispensary input</w:t>
            </w:r>
          </w:p>
        </w:tc>
        <w:tc>
          <w:tcPr>
            <w:tcW w:w="985" w:type="dxa"/>
            <w:shd w:val="clear" w:color="auto" w:fill="D8D8D8"/>
          </w:tcPr>
          <w:p w:rsidR="00EE29FB" w:rsidRPr="00D341AB" w:rsidRDefault="00EE29FB" w:rsidP="00075AD9">
            <w:pPr>
              <w:pStyle w:val="NoSpacing"/>
              <w:rPr>
                <w:sz w:val="16"/>
                <w:szCs w:val="16"/>
              </w:rPr>
            </w:pPr>
            <w:r w:rsidRPr="00D341AB">
              <w:rPr>
                <w:sz w:val="16"/>
                <w:szCs w:val="16"/>
              </w:rPr>
              <w:t>54</w:t>
            </w:r>
          </w:p>
        </w:tc>
        <w:tc>
          <w:tcPr>
            <w:tcW w:w="985" w:type="dxa"/>
            <w:shd w:val="clear" w:color="auto" w:fill="D8D8D8"/>
          </w:tcPr>
          <w:p w:rsidR="00EE29FB" w:rsidRPr="00D341AB" w:rsidRDefault="00EE29FB" w:rsidP="00075AD9">
            <w:pPr>
              <w:pStyle w:val="NoSpacing"/>
              <w:rPr>
                <w:sz w:val="16"/>
                <w:szCs w:val="16"/>
              </w:rPr>
            </w:pPr>
            <w:r w:rsidRPr="00D341AB">
              <w:rPr>
                <w:sz w:val="16"/>
                <w:szCs w:val="16"/>
              </w:rPr>
              <w:t>12</w:t>
            </w:r>
          </w:p>
        </w:tc>
        <w:tc>
          <w:tcPr>
            <w:tcW w:w="986" w:type="dxa"/>
            <w:shd w:val="clear" w:color="auto" w:fill="D8D8D8"/>
          </w:tcPr>
          <w:p w:rsidR="00EE29FB" w:rsidRPr="00D341AB" w:rsidRDefault="00EE29FB" w:rsidP="00075AD9">
            <w:pPr>
              <w:pStyle w:val="NoSpacing"/>
              <w:rPr>
                <w:sz w:val="16"/>
                <w:szCs w:val="16"/>
              </w:rPr>
            </w:pPr>
            <w:r w:rsidRPr="00D341AB">
              <w:rPr>
                <w:sz w:val="16"/>
                <w:szCs w:val="16"/>
              </w:rPr>
              <w:t>60</w:t>
            </w:r>
          </w:p>
        </w:tc>
        <w:tc>
          <w:tcPr>
            <w:tcW w:w="986" w:type="dxa"/>
            <w:shd w:val="clear" w:color="auto" w:fill="D8D8D8"/>
          </w:tcPr>
          <w:p w:rsidR="00EE29FB" w:rsidRPr="00D341AB" w:rsidRDefault="00EE29FB" w:rsidP="00075AD9">
            <w:pPr>
              <w:pStyle w:val="NoSpacing"/>
              <w:rPr>
                <w:sz w:val="16"/>
                <w:szCs w:val="16"/>
              </w:rPr>
            </w:pPr>
            <w:r w:rsidRPr="00D341AB">
              <w:rPr>
                <w:sz w:val="16"/>
                <w:szCs w:val="16"/>
              </w:rPr>
              <w:t>116</w:t>
            </w:r>
          </w:p>
        </w:tc>
        <w:tc>
          <w:tcPr>
            <w:tcW w:w="986" w:type="dxa"/>
            <w:shd w:val="clear" w:color="auto" w:fill="D8D8D8"/>
          </w:tcPr>
          <w:p w:rsidR="00EE29FB" w:rsidRPr="00D341AB" w:rsidRDefault="00EE29FB" w:rsidP="00075AD9">
            <w:pPr>
              <w:pStyle w:val="NoSpacing"/>
              <w:rPr>
                <w:sz w:val="16"/>
                <w:szCs w:val="16"/>
              </w:rPr>
            </w:pPr>
            <w:r w:rsidRPr="00D341AB">
              <w:rPr>
                <w:sz w:val="16"/>
                <w:szCs w:val="16"/>
              </w:rPr>
              <w:t>100</w:t>
            </w:r>
          </w:p>
        </w:tc>
        <w:tc>
          <w:tcPr>
            <w:tcW w:w="987" w:type="dxa"/>
            <w:shd w:val="clear" w:color="auto" w:fill="D8D8D8"/>
          </w:tcPr>
          <w:p w:rsidR="00EE29FB" w:rsidRPr="00D341AB" w:rsidRDefault="00EE29FB" w:rsidP="00075AD9">
            <w:pPr>
              <w:pStyle w:val="NoSpacing"/>
              <w:rPr>
                <w:sz w:val="16"/>
                <w:szCs w:val="16"/>
              </w:rPr>
            </w:pPr>
            <w:r w:rsidRPr="00D341AB">
              <w:rPr>
                <w:sz w:val="16"/>
                <w:szCs w:val="16"/>
              </w:rPr>
              <w:t>N/A</w:t>
            </w:r>
          </w:p>
        </w:tc>
        <w:tc>
          <w:tcPr>
            <w:tcW w:w="1033" w:type="dxa"/>
            <w:shd w:val="clear" w:color="auto" w:fill="D8D8D8"/>
          </w:tcPr>
          <w:p w:rsidR="00EE29FB" w:rsidRPr="00D341AB" w:rsidRDefault="00EE29FB" w:rsidP="00075AD9">
            <w:pPr>
              <w:pStyle w:val="NoSpacing"/>
              <w:rPr>
                <w:b/>
                <w:sz w:val="16"/>
                <w:szCs w:val="16"/>
              </w:rPr>
            </w:pPr>
            <w:r w:rsidRPr="00D341AB">
              <w:rPr>
                <w:b/>
                <w:sz w:val="16"/>
                <w:szCs w:val="16"/>
              </w:rPr>
              <w:t>57</w:t>
            </w:r>
          </w:p>
        </w:tc>
      </w:tr>
      <w:tr w:rsidR="00EE29FB" w:rsidRPr="00D341AB" w:rsidTr="00D341AB">
        <w:tc>
          <w:tcPr>
            <w:tcW w:w="1574" w:type="dxa"/>
            <w:shd w:val="clear" w:color="auto" w:fill="4F81BD"/>
          </w:tcPr>
          <w:p w:rsidR="00EE29FB" w:rsidRPr="00D341AB" w:rsidRDefault="00EE29FB" w:rsidP="00075AD9">
            <w:pPr>
              <w:pStyle w:val="NoSpacing"/>
              <w:rPr>
                <w:b/>
                <w:bCs/>
                <w:color w:val="FFFFFF"/>
                <w:sz w:val="16"/>
                <w:szCs w:val="16"/>
              </w:rPr>
            </w:pPr>
            <w:r w:rsidRPr="00D341AB">
              <w:rPr>
                <w:b/>
                <w:bCs/>
                <w:color w:val="FFFFFF"/>
                <w:sz w:val="16"/>
                <w:szCs w:val="16"/>
              </w:rPr>
              <w:t>Operational management</w:t>
            </w:r>
          </w:p>
        </w:tc>
        <w:tc>
          <w:tcPr>
            <w:tcW w:w="985" w:type="dxa"/>
            <w:shd w:val="clear" w:color="auto" w:fill="auto"/>
          </w:tcPr>
          <w:p w:rsidR="00EE29FB" w:rsidRPr="00D341AB" w:rsidRDefault="00EE29FB" w:rsidP="00075AD9">
            <w:pPr>
              <w:pStyle w:val="NoSpacing"/>
              <w:rPr>
                <w:sz w:val="16"/>
                <w:szCs w:val="16"/>
              </w:rPr>
            </w:pPr>
            <w:r w:rsidRPr="00D341AB">
              <w:rPr>
                <w:sz w:val="16"/>
                <w:szCs w:val="16"/>
              </w:rPr>
              <w:t>3</w:t>
            </w:r>
          </w:p>
        </w:tc>
        <w:tc>
          <w:tcPr>
            <w:tcW w:w="985" w:type="dxa"/>
            <w:shd w:val="clear" w:color="auto" w:fill="auto"/>
          </w:tcPr>
          <w:p w:rsidR="00EE29FB" w:rsidRPr="00D341AB" w:rsidRDefault="00EE29FB" w:rsidP="00075AD9">
            <w:pPr>
              <w:pStyle w:val="NoSpacing"/>
              <w:rPr>
                <w:sz w:val="16"/>
                <w:szCs w:val="16"/>
              </w:rPr>
            </w:pPr>
            <w:r w:rsidRPr="00D341AB">
              <w:rPr>
                <w:sz w:val="16"/>
                <w:szCs w:val="16"/>
              </w:rPr>
              <w:t>3</w:t>
            </w:r>
          </w:p>
        </w:tc>
        <w:tc>
          <w:tcPr>
            <w:tcW w:w="986" w:type="dxa"/>
            <w:shd w:val="clear" w:color="auto" w:fill="auto"/>
          </w:tcPr>
          <w:p w:rsidR="00EE29FB" w:rsidRPr="00D341AB" w:rsidRDefault="00EE29FB" w:rsidP="00075AD9">
            <w:pPr>
              <w:pStyle w:val="NoSpacing"/>
              <w:rPr>
                <w:sz w:val="16"/>
                <w:szCs w:val="16"/>
              </w:rPr>
            </w:pPr>
            <w:r w:rsidRPr="00D341AB">
              <w:rPr>
                <w:sz w:val="16"/>
                <w:szCs w:val="16"/>
              </w:rPr>
              <w:t>60</w:t>
            </w:r>
          </w:p>
        </w:tc>
        <w:tc>
          <w:tcPr>
            <w:tcW w:w="986" w:type="dxa"/>
            <w:shd w:val="clear" w:color="auto" w:fill="auto"/>
          </w:tcPr>
          <w:p w:rsidR="00EE29FB" w:rsidRPr="00D341AB" w:rsidRDefault="00EE29FB" w:rsidP="00075AD9">
            <w:pPr>
              <w:pStyle w:val="NoSpacing"/>
              <w:rPr>
                <w:sz w:val="16"/>
                <w:szCs w:val="16"/>
              </w:rPr>
            </w:pPr>
            <w:r w:rsidRPr="00D341AB">
              <w:rPr>
                <w:sz w:val="16"/>
                <w:szCs w:val="16"/>
              </w:rPr>
              <w:t>24</w:t>
            </w:r>
          </w:p>
        </w:tc>
        <w:tc>
          <w:tcPr>
            <w:tcW w:w="986" w:type="dxa"/>
            <w:shd w:val="clear" w:color="auto" w:fill="auto"/>
          </w:tcPr>
          <w:p w:rsidR="00EE29FB" w:rsidRPr="00D341AB" w:rsidRDefault="00EE29FB" w:rsidP="00075AD9">
            <w:pPr>
              <w:pStyle w:val="NoSpacing"/>
              <w:rPr>
                <w:sz w:val="16"/>
                <w:szCs w:val="16"/>
              </w:rPr>
            </w:pPr>
            <w:r w:rsidRPr="00D341AB">
              <w:rPr>
                <w:sz w:val="16"/>
                <w:szCs w:val="16"/>
              </w:rPr>
              <w:t>10</w:t>
            </w:r>
          </w:p>
        </w:tc>
        <w:tc>
          <w:tcPr>
            <w:tcW w:w="987" w:type="dxa"/>
            <w:shd w:val="clear" w:color="auto" w:fill="auto"/>
          </w:tcPr>
          <w:p w:rsidR="00EE29FB" w:rsidRPr="00D341AB" w:rsidRDefault="00EE29FB" w:rsidP="00075AD9">
            <w:pPr>
              <w:pStyle w:val="NoSpacing"/>
              <w:rPr>
                <w:sz w:val="16"/>
                <w:szCs w:val="16"/>
              </w:rPr>
            </w:pPr>
            <w:r w:rsidRPr="00D341AB">
              <w:rPr>
                <w:sz w:val="16"/>
                <w:szCs w:val="16"/>
              </w:rPr>
              <w:t>8</w:t>
            </w:r>
          </w:p>
        </w:tc>
        <w:tc>
          <w:tcPr>
            <w:tcW w:w="1033" w:type="dxa"/>
            <w:shd w:val="clear" w:color="auto" w:fill="auto"/>
          </w:tcPr>
          <w:p w:rsidR="00EE29FB" w:rsidRPr="00D341AB" w:rsidRDefault="00EE29FB" w:rsidP="00075AD9">
            <w:pPr>
              <w:pStyle w:val="NoSpacing"/>
              <w:rPr>
                <w:b/>
                <w:sz w:val="16"/>
                <w:szCs w:val="16"/>
              </w:rPr>
            </w:pPr>
            <w:r w:rsidRPr="00D341AB">
              <w:rPr>
                <w:b/>
                <w:sz w:val="16"/>
                <w:szCs w:val="16"/>
              </w:rPr>
              <w:t>18</w:t>
            </w:r>
          </w:p>
        </w:tc>
      </w:tr>
      <w:tr w:rsidR="00EE29FB" w:rsidRPr="00D341AB" w:rsidTr="00D341AB">
        <w:trPr>
          <w:trHeight w:val="70"/>
        </w:trPr>
        <w:tc>
          <w:tcPr>
            <w:tcW w:w="1574" w:type="dxa"/>
            <w:shd w:val="clear" w:color="auto" w:fill="4F81BD"/>
          </w:tcPr>
          <w:p w:rsidR="00EE29FB" w:rsidRPr="00D341AB" w:rsidRDefault="00EE29FB" w:rsidP="00075AD9">
            <w:pPr>
              <w:pStyle w:val="NoSpacing"/>
              <w:rPr>
                <w:b/>
                <w:bCs/>
                <w:color w:val="FFFFFF"/>
                <w:sz w:val="16"/>
                <w:szCs w:val="16"/>
              </w:rPr>
            </w:pPr>
            <w:r w:rsidRPr="00D341AB">
              <w:rPr>
                <w:b/>
                <w:bCs/>
                <w:color w:val="FFFFFF"/>
                <w:sz w:val="16"/>
                <w:szCs w:val="16"/>
              </w:rPr>
              <w:t>Clinical &amp; Contract management</w:t>
            </w:r>
          </w:p>
        </w:tc>
        <w:tc>
          <w:tcPr>
            <w:tcW w:w="985" w:type="dxa"/>
            <w:shd w:val="clear" w:color="auto" w:fill="D8D8D8"/>
          </w:tcPr>
          <w:p w:rsidR="00EE29FB" w:rsidRPr="00D341AB" w:rsidRDefault="00EE29FB" w:rsidP="00075AD9">
            <w:pPr>
              <w:pStyle w:val="NoSpacing"/>
              <w:rPr>
                <w:sz w:val="16"/>
                <w:szCs w:val="16"/>
              </w:rPr>
            </w:pPr>
            <w:r w:rsidRPr="00D341AB">
              <w:rPr>
                <w:sz w:val="16"/>
                <w:szCs w:val="16"/>
              </w:rPr>
              <w:t>1</w:t>
            </w:r>
          </w:p>
        </w:tc>
        <w:tc>
          <w:tcPr>
            <w:tcW w:w="985" w:type="dxa"/>
            <w:shd w:val="clear" w:color="auto" w:fill="D8D8D8"/>
          </w:tcPr>
          <w:p w:rsidR="00EE29FB" w:rsidRPr="00D341AB" w:rsidRDefault="00EE29FB" w:rsidP="00075AD9">
            <w:pPr>
              <w:pStyle w:val="NoSpacing"/>
              <w:rPr>
                <w:sz w:val="16"/>
                <w:szCs w:val="16"/>
              </w:rPr>
            </w:pPr>
            <w:r w:rsidRPr="00D341AB">
              <w:rPr>
                <w:sz w:val="16"/>
                <w:szCs w:val="16"/>
              </w:rPr>
              <w:t>1</w:t>
            </w:r>
          </w:p>
        </w:tc>
        <w:tc>
          <w:tcPr>
            <w:tcW w:w="986" w:type="dxa"/>
            <w:shd w:val="clear" w:color="auto" w:fill="D8D8D8"/>
          </w:tcPr>
          <w:p w:rsidR="00EE29FB" w:rsidRPr="00D341AB" w:rsidRDefault="00EE29FB" w:rsidP="00075AD9">
            <w:pPr>
              <w:pStyle w:val="NoSpacing"/>
              <w:rPr>
                <w:sz w:val="16"/>
                <w:szCs w:val="16"/>
              </w:rPr>
            </w:pPr>
            <w:r w:rsidRPr="00D341AB">
              <w:rPr>
                <w:sz w:val="16"/>
                <w:szCs w:val="16"/>
              </w:rPr>
              <w:t>10</w:t>
            </w:r>
          </w:p>
        </w:tc>
        <w:tc>
          <w:tcPr>
            <w:tcW w:w="986" w:type="dxa"/>
            <w:shd w:val="clear" w:color="auto" w:fill="D8D8D8"/>
          </w:tcPr>
          <w:p w:rsidR="00EE29FB" w:rsidRPr="00D341AB" w:rsidRDefault="00EE29FB" w:rsidP="00075AD9">
            <w:pPr>
              <w:pStyle w:val="NoSpacing"/>
              <w:rPr>
                <w:sz w:val="16"/>
                <w:szCs w:val="16"/>
              </w:rPr>
            </w:pPr>
            <w:r w:rsidRPr="00D341AB">
              <w:rPr>
                <w:sz w:val="16"/>
                <w:szCs w:val="16"/>
              </w:rPr>
              <w:t>8</w:t>
            </w:r>
          </w:p>
        </w:tc>
        <w:tc>
          <w:tcPr>
            <w:tcW w:w="986" w:type="dxa"/>
            <w:shd w:val="clear" w:color="auto" w:fill="D8D8D8"/>
          </w:tcPr>
          <w:p w:rsidR="00EE29FB" w:rsidRPr="00D341AB" w:rsidRDefault="00EE29FB" w:rsidP="00075AD9">
            <w:pPr>
              <w:pStyle w:val="NoSpacing"/>
              <w:rPr>
                <w:sz w:val="16"/>
                <w:szCs w:val="16"/>
              </w:rPr>
            </w:pPr>
            <w:r w:rsidRPr="00D341AB">
              <w:rPr>
                <w:sz w:val="16"/>
                <w:szCs w:val="16"/>
              </w:rPr>
              <w:t>100</w:t>
            </w:r>
          </w:p>
        </w:tc>
        <w:tc>
          <w:tcPr>
            <w:tcW w:w="987" w:type="dxa"/>
            <w:shd w:val="clear" w:color="auto" w:fill="D8D8D8"/>
          </w:tcPr>
          <w:p w:rsidR="00EE29FB" w:rsidRPr="00D341AB" w:rsidRDefault="00EE29FB" w:rsidP="00075AD9">
            <w:pPr>
              <w:pStyle w:val="NoSpacing"/>
              <w:rPr>
                <w:sz w:val="16"/>
                <w:szCs w:val="16"/>
              </w:rPr>
            </w:pPr>
            <w:r w:rsidRPr="00D341AB">
              <w:rPr>
                <w:sz w:val="16"/>
                <w:szCs w:val="16"/>
              </w:rPr>
              <w:t>N/A</w:t>
            </w:r>
          </w:p>
        </w:tc>
        <w:tc>
          <w:tcPr>
            <w:tcW w:w="1033" w:type="dxa"/>
            <w:shd w:val="clear" w:color="auto" w:fill="D8D8D8"/>
          </w:tcPr>
          <w:p w:rsidR="00EE29FB" w:rsidRPr="00D341AB" w:rsidRDefault="00EE29FB" w:rsidP="00075AD9">
            <w:pPr>
              <w:pStyle w:val="NoSpacing"/>
              <w:rPr>
                <w:b/>
                <w:sz w:val="16"/>
                <w:szCs w:val="16"/>
              </w:rPr>
            </w:pPr>
            <w:r w:rsidRPr="00D341AB">
              <w:rPr>
                <w:b/>
                <w:sz w:val="16"/>
                <w:szCs w:val="16"/>
              </w:rPr>
              <w:t>20</w:t>
            </w:r>
          </w:p>
        </w:tc>
      </w:tr>
      <w:tr w:rsidR="00EE29FB" w:rsidRPr="00D341AB" w:rsidTr="00D341AB">
        <w:tc>
          <w:tcPr>
            <w:tcW w:w="1574" w:type="dxa"/>
            <w:shd w:val="clear" w:color="auto" w:fill="4F81BD"/>
          </w:tcPr>
          <w:p w:rsidR="00EE29FB" w:rsidRPr="00D341AB" w:rsidRDefault="00EE29FB" w:rsidP="00075AD9">
            <w:pPr>
              <w:pStyle w:val="NoSpacing"/>
              <w:rPr>
                <w:b/>
                <w:bCs/>
                <w:color w:val="FFFFFF"/>
                <w:sz w:val="16"/>
                <w:szCs w:val="16"/>
              </w:rPr>
            </w:pPr>
            <w:r w:rsidRPr="00D341AB">
              <w:rPr>
                <w:b/>
                <w:bCs/>
                <w:color w:val="FFFFFF"/>
                <w:sz w:val="16"/>
                <w:szCs w:val="16"/>
              </w:rPr>
              <w:t>Stores/Procurement</w:t>
            </w:r>
          </w:p>
        </w:tc>
        <w:tc>
          <w:tcPr>
            <w:tcW w:w="985" w:type="dxa"/>
            <w:shd w:val="clear" w:color="auto" w:fill="auto"/>
          </w:tcPr>
          <w:p w:rsidR="00EE29FB" w:rsidRPr="00D341AB" w:rsidRDefault="00EE29FB" w:rsidP="00075AD9">
            <w:pPr>
              <w:pStyle w:val="NoSpacing"/>
              <w:rPr>
                <w:sz w:val="16"/>
                <w:szCs w:val="16"/>
              </w:rPr>
            </w:pPr>
            <w:r w:rsidRPr="00D341AB">
              <w:rPr>
                <w:sz w:val="16"/>
                <w:szCs w:val="16"/>
              </w:rPr>
              <w:t>362</w:t>
            </w:r>
          </w:p>
        </w:tc>
        <w:tc>
          <w:tcPr>
            <w:tcW w:w="985" w:type="dxa"/>
            <w:shd w:val="clear" w:color="auto" w:fill="auto"/>
          </w:tcPr>
          <w:p w:rsidR="00EE29FB" w:rsidRPr="00D341AB" w:rsidRDefault="00EE29FB" w:rsidP="00075AD9">
            <w:pPr>
              <w:pStyle w:val="NoSpacing"/>
              <w:rPr>
                <w:sz w:val="16"/>
                <w:szCs w:val="16"/>
              </w:rPr>
            </w:pPr>
            <w:r w:rsidRPr="00D341AB">
              <w:rPr>
                <w:sz w:val="16"/>
                <w:szCs w:val="16"/>
              </w:rPr>
              <w:t>4</w:t>
            </w:r>
          </w:p>
        </w:tc>
        <w:tc>
          <w:tcPr>
            <w:tcW w:w="986" w:type="dxa"/>
            <w:shd w:val="clear" w:color="auto" w:fill="auto"/>
          </w:tcPr>
          <w:p w:rsidR="00EE29FB" w:rsidRPr="00D341AB" w:rsidRDefault="00EE29FB" w:rsidP="00075AD9">
            <w:pPr>
              <w:pStyle w:val="NoSpacing"/>
              <w:rPr>
                <w:sz w:val="16"/>
                <w:szCs w:val="16"/>
              </w:rPr>
            </w:pPr>
            <w:r w:rsidRPr="00D341AB">
              <w:rPr>
                <w:sz w:val="16"/>
                <w:szCs w:val="16"/>
              </w:rPr>
              <w:t>10</w:t>
            </w:r>
          </w:p>
        </w:tc>
        <w:tc>
          <w:tcPr>
            <w:tcW w:w="986" w:type="dxa"/>
            <w:shd w:val="clear" w:color="auto" w:fill="auto"/>
          </w:tcPr>
          <w:p w:rsidR="00EE29FB" w:rsidRPr="00D341AB" w:rsidRDefault="00EE29FB" w:rsidP="00075AD9">
            <w:pPr>
              <w:pStyle w:val="NoSpacing"/>
              <w:rPr>
                <w:sz w:val="16"/>
                <w:szCs w:val="16"/>
              </w:rPr>
            </w:pPr>
            <w:r w:rsidRPr="00D341AB">
              <w:rPr>
                <w:sz w:val="16"/>
                <w:szCs w:val="16"/>
              </w:rPr>
              <w:t xml:space="preserve">Included with </w:t>
            </w:r>
            <w:proofErr w:type="spellStart"/>
            <w:r w:rsidRPr="00D341AB">
              <w:rPr>
                <w:sz w:val="16"/>
                <w:szCs w:val="16"/>
              </w:rPr>
              <w:t>Disp</w:t>
            </w:r>
            <w:proofErr w:type="spellEnd"/>
          </w:p>
        </w:tc>
        <w:tc>
          <w:tcPr>
            <w:tcW w:w="986" w:type="dxa"/>
            <w:shd w:val="clear" w:color="auto" w:fill="auto"/>
          </w:tcPr>
          <w:p w:rsidR="00EE29FB" w:rsidRPr="00D341AB" w:rsidRDefault="00EE29FB" w:rsidP="00075AD9">
            <w:pPr>
              <w:pStyle w:val="NoSpacing"/>
              <w:rPr>
                <w:sz w:val="16"/>
                <w:szCs w:val="16"/>
              </w:rPr>
            </w:pPr>
            <w:r w:rsidRPr="00D341AB">
              <w:rPr>
                <w:sz w:val="16"/>
                <w:szCs w:val="16"/>
              </w:rPr>
              <w:t>15</w:t>
            </w:r>
          </w:p>
        </w:tc>
        <w:tc>
          <w:tcPr>
            <w:tcW w:w="987" w:type="dxa"/>
            <w:shd w:val="clear" w:color="auto" w:fill="auto"/>
          </w:tcPr>
          <w:p w:rsidR="00EE29FB" w:rsidRPr="00D341AB" w:rsidRDefault="00EE29FB" w:rsidP="00075AD9">
            <w:pPr>
              <w:pStyle w:val="NoSpacing"/>
              <w:rPr>
                <w:sz w:val="16"/>
                <w:szCs w:val="16"/>
              </w:rPr>
            </w:pPr>
            <w:r w:rsidRPr="00D341AB">
              <w:rPr>
                <w:sz w:val="16"/>
                <w:szCs w:val="16"/>
              </w:rPr>
              <w:t>8</w:t>
            </w:r>
          </w:p>
        </w:tc>
        <w:tc>
          <w:tcPr>
            <w:tcW w:w="1033" w:type="dxa"/>
            <w:shd w:val="clear" w:color="auto" w:fill="auto"/>
          </w:tcPr>
          <w:p w:rsidR="00EE29FB" w:rsidRPr="00D341AB" w:rsidRDefault="00EE29FB" w:rsidP="00075AD9">
            <w:pPr>
              <w:pStyle w:val="NoSpacing"/>
              <w:rPr>
                <w:b/>
                <w:sz w:val="16"/>
                <w:szCs w:val="16"/>
              </w:rPr>
            </w:pPr>
            <w:r w:rsidRPr="00D341AB">
              <w:rPr>
                <w:b/>
                <w:sz w:val="16"/>
                <w:szCs w:val="16"/>
              </w:rPr>
              <w:t>67</w:t>
            </w:r>
          </w:p>
        </w:tc>
      </w:tr>
      <w:tr w:rsidR="00EE29FB" w:rsidRPr="00D341AB" w:rsidTr="00D341AB">
        <w:tc>
          <w:tcPr>
            <w:tcW w:w="1574" w:type="dxa"/>
            <w:shd w:val="clear" w:color="auto" w:fill="4F81BD"/>
          </w:tcPr>
          <w:p w:rsidR="00EE29FB" w:rsidRPr="00D341AB" w:rsidRDefault="00EE29FB" w:rsidP="00075AD9">
            <w:pPr>
              <w:pStyle w:val="NoSpacing"/>
              <w:rPr>
                <w:b/>
                <w:bCs/>
                <w:color w:val="FFFFFF"/>
                <w:sz w:val="16"/>
                <w:szCs w:val="16"/>
              </w:rPr>
            </w:pPr>
            <w:r w:rsidRPr="00D341AB">
              <w:rPr>
                <w:b/>
                <w:bCs/>
                <w:color w:val="FFFFFF"/>
                <w:sz w:val="16"/>
                <w:szCs w:val="16"/>
              </w:rPr>
              <w:t>Pharmacy/Trust IT</w:t>
            </w:r>
          </w:p>
        </w:tc>
        <w:tc>
          <w:tcPr>
            <w:tcW w:w="985" w:type="dxa"/>
            <w:shd w:val="clear" w:color="auto" w:fill="D8D8D8"/>
          </w:tcPr>
          <w:p w:rsidR="00EE29FB" w:rsidRPr="00D341AB" w:rsidRDefault="00EE29FB" w:rsidP="00075AD9">
            <w:pPr>
              <w:pStyle w:val="NoSpacing"/>
              <w:rPr>
                <w:sz w:val="16"/>
                <w:szCs w:val="16"/>
              </w:rPr>
            </w:pPr>
            <w:r w:rsidRPr="00D341AB">
              <w:rPr>
                <w:sz w:val="16"/>
                <w:szCs w:val="16"/>
              </w:rPr>
              <w:t>0</w:t>
            </w:r>
          </w:p>
        </w:tc>
        <w:tc>
          <w:tcPr>
            <w:tcW w:w="985" w:type="dxa"/>
            <w:shd w:val="clear" w:color="auto" w:fill="D8D8D8"/>
          </w:tcPr>
          <w:p w:rsidR="00EE29FB" w:rsidRPr="00D341AB" w:rsidRDefault="00EE29FB" w:rsidP="00075AD9">
            <w:pPr>
              <w:pStyle w:val="NoSpacing"/>
              <w:rPr>
                <w:sz w:val="16"/>
                <w:szCs w:val="16"/>
              </w:rPr>
            </w:pPr>
            <w:r w:rsidRPr="00D341AB">
              <w:rPr>
                <w:sz w:val="16"/>
                <w:szCs w:val="16"/>
              </w:rPr>
              <w:t>2</w:t>
            </w:r>
          </w:p>
        </w:tc>
        <w:tc>
          <w:tcPr>
            <w:tcW w:w="986" w:type="dxa"/>
            <w:shd w:val="clear" w:color="auto" w:fill="D8D8D8"/>
          </w:tcPr>
          <w:p w:rsidR="00EE29FB" w:rsidRPr="00D341AB" w:rsidRDefault="00EE29FB" w:rsidP="00075AD9">
            <w:pPr>
              <w:pStyle w:val="NoSpacing"/>
              <w:rPr>
                <w:sz w:val="16"/>
                <w:szCs w:val="16"/>
              </w:rPr>
            </w:pPr>
            <w:r w:rsidRPr="00D341AB">
              <w:rPr>
                <w:sz w:val="16"/>
                <w:szCs w:val="16"/>
              </w:rPr>
              <w:t>5</w:t>
            </w:r>
          </w:p>
        </w:tc>
        <w:tc>
          <w:tcPr>
            <w:tcW w:w="986" w:type="dxa"/>
            <w:shd w:val="clear" w:color="auto" w:fill="D8D8D8"/>
          </w:tcPr>
          <w:p w:rsidR="00EE29FB" w:rsidRPr="00D341AB" w:rsidRDefault="00EE29FB" w:rsidP="00075AD9">
            <w:pPr>
              <w:pStyle w:val="NoSpacing"/>
              <w:rPr>
                <w:sz w:val="16"/>
                <w:szCs w:val="16"/>
              </w:rPr>
            </w:pPr>
            <w:r w:rsidRPr="00D341AB">
              <w:rPr>
                <w:sz w:val="16"/>
                <w:szCs w:val="16"/>
              </w:rPr>
              <w:t>Included with Finance</w:t>
            </w:r>
          </w:p>
        </w:tc>
        <w:tc>
          <w:tcPr>
            <w:tcW w:w="986" w:type="dxa"/>
            <w:shd w:val="clear" w:color="auto" w:fill="D8D8D8"/>
          </w:tcPr>
          <w:p w:rsidR="00EE29FB" w:rsidRPr="00D341AB" w:rsidRDefault="00EE29FB" w:rsidP="00075AD9">
            <w:pPr>
              <w:pStyle w:val="NoSpacing"/>
              <w:rPr>
                <w:sz w:val="16"/>
                <w:szCs w:val="16"/>
              </w:rPr>
            </w:pPr>
            <w:r w:rsidRPr="00D341AB">
              <w:rPr>
                <w:sz w:val="16"/>
                <w:szCs w:val="16"/>
              </w:rPr>
              <w:t>15</w:t>
            </w:r>
          </w:p>
        </w:tc>
        <w:tc>
          <w:tcPr>
            <w:tcW w:w="987" w:type="dxa"/>
            <w:shd w:val="clear" w:color="auto" w:fill="D8D8D8"/>
          </w:tcPr>
          <w:p w:rsidR="00EE29FB" w:rsidRPr="00D341AB" w:rsidRDefault="00EE29FB" w:rsidP="00075AD9">
            <w:pPr>
              <w:pStyle w:val="NoSpacing"/>
              <w:rPr>
                <w:sz w:val="16"/>
                <w:szCs w:val="16"/>
              </w:rPr>
            </w:pPr>
            <w:r w:rsidRPr="00D341AB">
              <w:rPr>
                <w:sz w:val="16"/>
                <w:szCs w:val="16"/>
              </w:rPr>
              <w:t>45</w:t>
            </w:r>
          </w:p>
        </w:tc>
        <w:tc>
          <w:tcPr>
            <w:tcW w:w="1033" w:type="dxa"/>
            <w:shd w:val="clear" w:color="auto" w:fill="D8D8D8"/>
          </w:tcPr>
          <w:p w:rsidR="00EE29FB" w:rsidRPr="00D341AB" w:rsidRDefault="00EE29FB" w:rsidP="00075AD9">
            <w:pPr>
              <w:pStyle w:val="NoSpacing"/>
              <w:rPr>
                <w:b/>
                <w:sz w:val="16"/>
                <w:szCs w:val="16"/>
              </w:rPr>
            </w:pPr>
            <w:r w:rsidRPr="00D341AB">
              <w:rPr>
                <w:b/>
                <w:sz w:val="16"/>
                <w:szCs w:val="16"/>
              </w:rPr>
              <w:t>11</w:t>
            </w:r>
          </w:p>
        </w:tc>
      </w:tr>
      <w:tr w:rsidR="00EE29FB" w:rsidRPr="00D341AB" w:rsidTr="00D341AB">
        <w:tc>
          <w:tcPr>
            <w:tcW w:w="1574" w:type="dxa"/>
            <w:tcBorders>
              <w:bottom w:val="single" w:sz="18" w:space="0" w:color="auto"/>
            </w:tcBorders>
            <w:shd w:val="clear" w:color="auto" w:fill="4F81BD"/>
          </w:tcPr>
          <w:p w:rsidR="00EE29FB" w:rsidRPr="00D341AB" w:rsidRDefault="00EE29FB" w:rsidP="00075AD9">
            <w:pPr>
              <w:pStyle w:val="NoSpacing"/>
              <w:rPr>
                <w:b/>
                <w:bCs/>
                <w:color w:val="FFFFFF"/>
                <w:sz w:val="16"/>
                <w:szCs w:val="16"/>
              </w:rPr>
            </w:pPr>
            <w:r w:rsidRPr="00D341AB">
              <w:rPr>
                <w:b/>
                <w:bCs/>
                <w:color w:val="FFFFFF"/>
                <w:sz w:val="16"/>
                <w:szCs w:val="16"/>
              </w:rPr>
              <w:t>Total</w:t>
            </w:r>
          </w:p>
        </w:tc>
        <w:tc>
          <w:tcPr>
            <w:tcW w:w="985" w:type="dxa"/>
            <w:shd w:val="clear" w:color="auto" w:fill="auto"/>
          </w:tcPr>
          <w:p w:rsidR="00EE29FB" w:rsidRPr="00D341AB" w:rsidRDefault="00EE29FB" w:rsidP="00075AD9">
            <w:pPr>
              <w:pStyle w:val="NoSpacing"/>
              <w:rPr>
                <w:b/>
                <w:color w:val="FFFFFF"/>
                <w:sz w:val="16"/>
                <w:szCs w:val="16"/>
              </w:rPr>
            </w:pPr>
            <w:r w:rsidRPr="00D341AB">
              <w:rPr>
                <w:b/>
                <w:color w:val="FFFFFF"/>
                <w:sz w:val="16"/>
                <w:szCs w:val="16"/>
              </w:rPr>
              <w:t>444</w:t>
            </w:r>
          </w:p>
        </w:tc>
        <w:tc>
          <w:tcPr>
            <w:tcW w:w="985" w:type="dxa"/>
            <w:shd w:val="clear" w:color="auto" w:fill="auto"/>
          </w:tcPr>
          <w:p w:rsidR="00EE29FB" w:rsidRPr="00D341AB" w:rsidRDefault="00EE29FB" w:rsidP="00075AD9">
            <w:pPr>
              <w:pStyle w:val="NoSpacing"/>
              <w:rPr>
                <w:b/>
                <w:color w:val="FFFFFF"/>
                <w:sz w:val="16"/>
                <w:szCs w:val="16"/>
              </w:rPr>
            </w:pPr>
            <w:r w:rsidRPr="00D341AB">
              <w:rPr>
                <w:b/>
                <w:color w:val="FFFFFF"/>
                <w:sz w:val="16"/>
                <w:szCs w:val="16"/>
              </w:rPr>
              <w:t>29</w:t>
            </w:r>
          </w:p>
        </w:tc>
        <w:tc>
          <w:tcPr>
            <w:tcW w:w="986" w:type="dxa"/>
            <w:shd w:val="clear" w:color="auto" w:fill="auto"/>
          </w:tcPr>
          <w:p w:rsidR="00EE29FB" w:rsidRPr="00D341AB" w:rsidRDefault="00EE29FB" w:rsidP="00075AD9">
            <w:pPr>
              <w:pStyle w:val="NoSpacing"/>
              <w:rPr>
                <w:b/>
                <w:color w:val="FFFFFF"/>
                <w:sz w:val="16"/>
                <w:szCs w:val="16"/>
              </w:rPr>
            </w:pPr>
            <w:r w:rsidRPr="00D341AB">
              <w:rPr>
                <w:b/>
                <w:color w:val="FFFFFF"/>
                <w:sz w:val="16"/>
                <w:szCs w:val="16"/>
              </w:rPr>
              <w:t>150</w:t>
            </w:r>
          </w:p>
        </w:tc>
        <w:tc>
          <w:tcPr>
            <w:tcW w:w="986" w:type="dxa"/>
            <w:shd w:val="clear" w:color="auto" w:fill="auto"/>
          </w:tcPr>
          <w:p w:rsidR="00EE29FB" w:rsidRPr="00D341AB" w:rsidRDefault="00EE29FB" w:rsidP="00075AD9">
            <w:pPr>
              <w:pStyle w:val="NoSpacing"/>
              <w:rPr>
                <w:b/>
                <w:color w:val="FFFFFF"/>
                <w:sz w:val="16"/>
                <w:szCs w:val="16"/>
              </w:rPr>
            </w:pPr>
            <w:r w:rsidRPr="00D341AB">
              <w:rPr>
                <w:b/>
                <w:color w:val="FFFFFF"/>
                <w:sz w:val="16"/>
                <w:szCs w:val="16"/>
              </w:rPr>
              <w:t>300</w:t>
            </w:r>
          </w:p>
        </w:tc>
        <w:tc>
          <w:tcPr>
            <w:tcW w:w="986" w:type="dxa"/>
            <w:shd w:val="clear" w:color="auto" w:fill="auto"/>
          </w:tcPr>
          <w:p w:rsidR="00EE29FB" w:rsidRPr="00D341AB" w:rsidRDefault="00EE29FB" w:rsidP="00075AD9">
            <w:pPr>
              <w:pStyle w:val="NoSpacing"/>
              <w:rPr>
                <w:b/>
                <w:color w:val="FFFFFF"/>
                <w:sz w:val="16"/>
                <w:szCs w:val="16"/>
              </w:rPr>
            </w:pPr>
            <w:r w:rsidRPr="00D341AB">
              <w:rPr>
                <w:b/>
                <w:color w:val="FFFFFF"/>
                <w:sz w:val="16"/>
                <w:szCs w:val="16"/>
              </w:rPr>
              <w:t>257</w:t>
            </w:r>
          </w:p>
        </w:tc>
        <w:tc>
          <w:tcPr>
            <w:tcW w:w="987" w:type="dxa"/>
            <w:shd w:val="clear" w:color="auto" w:fill="auto"/>
          </w:tcPr>
          <w:p w:rsidR="00EE29FB" w:rsidRPr="00D341AB" w:rsidRDefault="00EE29FB" w:rsidP="00075AD9">
            <w:pPr>
              <w:pStyle w:val="NoSpacing"/>
              <w:rPr>
                <w:b/>
                <w:color w:val="FFFFFF"/>
                <w:sz w:val="16"/>
                <w:szCs w:val="16"/>
              </w:rPr>
            </w:pPr>
            <w:r w:rsidRPr="00D341AB">
              <w:rPr>
                <w:b/>
                <w:color w:val="FFFFFF"/>
                <w:sz w:val="16"/>
                <w:szCs w:val="16"/>
              </w:rPr>
              <w:t>165</w:t>
            </w:r>
          </w:p>
        </w:tc>
        <w:tc>
          <w:tcPr>
            <w:tcW w:w="1033" w:type="dxa"/>
            <w:shd w:val="clear" w:color="auto" w:fill="auto"/>
          </w:tcPr>
          <w:p w:rsidR="00EE29FB" w:rsidRPr="00D341AB" w:rsidRDefault="00EE29FB" w:rsidP="00075AD9">
            <w:pPr>
              <w:pStyle w:val="NoSpacing"/>
              <w:rPr>
                <w:b/>
                <w:color w:val="FFFFFF"/>
                <w:sz w:val="16"/>
                <w:szCs w:val="16"/>
              </w:rPr>
            </w:pPr>
            <w:r w:rsidRPr="00D341AB">
              <w:rPr>
                <w:b/>
                <w:color w:val="FFFFFF"/>
                <w:sz w:val="16"/>
                <w:szCs w:val="16"/>
              </w:rPr>
              <w:t>224</w:t>
            </w:r>
          </w:p>
        </w:tc>
      </w:tr>
    </w:tbl>
    <w:p w:rsidR="00EE29FB" w:rsidRDefault="00EE29FB" w:rsidP="00EE29FB">
      <w:pPr>
        <w:pStyle w:val="NoSpacing"/>
        <w:ind w:left="720"/>
      </w:pPr>
    </w:p>
    <w:p w:rsidR="00EE29FB" w:rsidRPr="0022486E" w:rsidRDefault="00EE29FB" w:rsidP="00EE29FB">
      <w:pPr>
        <w:pStyle w:val="NoSpacing"/>
        <w:jc w:val="both"/>
        <w:rPr>
          <w:i/>
        </w:rPr>
      </w:pPr>
      <w:r w:rsidRPr="0022486E">
        <w:rPr>
          <w:i/>
        </w:rPr>
        <w:t>*Trust A is a subsidiary model. The remaining Trusts (B – F) are fully outsourced services</w:t>
      </w:r>
    </w:p>
    <w:p w:rsidR="00EE29FB" w:rsidRDefault="00EE29FB" w:rsidP="00EE29FB">
      <w:pPr>
        <w:pStyle w:val="NoSpacing"/>
        <w:ind w:left="720"/>
        <w:jc w:val="both"/>
        <w:rPr>
          <w:b/>
        </w:rPr>
      </w:pPr>
    </w:p>
    <w:p w:rsidR="00EE29FB" w:rsidRDefault="00026CBF" w:rsidP="00EE29FB">
      <w:pPr>
        <w:pStyle w:val="NoSpacing"/>
        <w:jc w:val="both"/>
      </w:pPr>
      <w:r>
        <w:t>This</w:t>
      </w:r>
      <w:r w:rsidR="00EE29FB">
        <w:t xml:space="preserve"> illustrates the estimated nu</w:t>
      </w:r>
      <w:r w:rsidR="002264FC">
        <w:t>mber of hours that the trust</w:t>
      </w:r>
      <w:r>
        <w:t xml:space="preserve"> provides to the c</w:t>
      </w:r>
      <w:r w:rsidR="00EE29FB">
        <w:t xml:space="preserve">ontractor each month (note: the Trusts are </w:t>
      </w:r>
      <w:r w:rsidR="00EE29FB" w:rsidRPr="0083286A">
        <w:rPr>
          <w:u w:val="single"/>
        </w:rPr>
        <w:t>not</w:t>
      </w:r>
      <w:r w:rsidR="00EE29FB">
        <w:t xml:space="preserve"> comparable in size). </w:t>
      </w:r>
      <w:r>
        <w:t xml:space="preserve">The </w:t>
      </w:r>
      <w:r w:rsidR="00E2089A">
        <w:t>variation suggests</w:t>
      </w:r>
      <w:r w:rsidR="00877E8C">
        <w:t xml:space="preserve"> results sho</w:t>
      </w:r>
      <w:r>
        <w:t xml:space="preserve">uld be interpreted cautiously.  </w:t>
      </w:r>
      <w:r w:rsidR="00EE29FB">
        <w:t>Nevertheless, it is clear that a variety of existing support functions remain after the service is outsour</w:t>
      </w:r>
      <w:r>
        <w:t>ced. There are also a number of additional</w:t>
      </w:r>
      <w:r w:rsidR="00236842">
        <w:t xml:space="preserve"> support functions </w:t>
      </w:r>
      <w:r w:rsidR="00EE29FB">
        <w:t xml:space="preserve">such as commercial &amp; </w:t>
      </w:r>
      <w:r w:rsidR="00EE29FB">
        <w:lastRenderedPageBreak/>
        <w:t>legal support, contract management &amp; specifi</w:t>
      </w:r>
      <w:r>
        <w:t>c Finance input to the contract</w:t>
      </w:r>
      <w:r w:rsidR="00EE29FB">
        <w:t>. This support averages</w:t>
      </w:r>
      <w:r w:rsidR="00CF6A94">
        <w:t xml:space="preserve"> 224 hours per month (about 1.5</w:t>
      </w:r>
      <w:r w:rsidR="00EE29FB">
        <w:t xml:space="preserve"> WTE). </w:t>
      </w:r>
    </w:p>
    <w:p w:rsidR="00EE29FB" w:rsidRDefault="00EE29FB" w:rsidP="00EE29FB">
      <w:pPr>
        <w:pStyle w:val="NoSpacing"/>
        <w:jc w:val="both"/>
      </w:pPr>
      <w:r>
        <w:t xml:space="preserve">The grade or job banding of support provision varied depending on the type of support being provided. Typically, Band 5 - 7 staff supported routine day-to-day functions such as IT and dispensary issues and Band 8a upwards supported more “high-level” or complex activities such as contract management. </w:t>
      </w:r>
    </w:p>
    <w:p w:rsidR="00292F13" w:rsidRDefault="00292F13" w:rsidP="00292F13">
      <w:pPr>
        <w:pStyle w:val="NoSpacing"/>
        <w:rPr>
          <w:color w:val="FF0000"/>
        </w:rPr>
      </w:pPr>
    </w:p>
    <w:p w:rsidR="00FF6429" w:rsidRDefault="00FF6429" w:rsidP="00FF6429">
      <w:pPr>
        <w:pStyle w:val="NoSpacing"/>
        <w:rPr>
          <w:u w:val="single"/>
        </w:rPr>
      </w:pPr>
      <w:r w:rsidRPr="00292F13">
        <w:rPr>
          <w:u w:val="single"/>
        </w:rPr>
        <w:t>Additional Delivery Services</w:t>
      </w:r>
    </w:p>
    <w:p w:rsidR="00FF6429" w:rsidRPr="00FF6429" w:rsidRDefault="00FF6429" w:rsidP="00FF6429">
      <w:pPr>
        <w:pStyle w:val="NoSpacing"/>
        <w:rPr>
          <w:u w:val="single"/>
        </w:rPr>
      </w:pPr>
      <w:r w:rsidRPr="00D70ED7">
        <w:t xml:space="preserve">The use of outsourced outpatient services to provide </w:t>
      </w:r>
      <w:r>
        <w:t xml:space="preserve">additional delivery services has been considered by many of the member Trusts.  These </w:t>
      </w:r>
      <w:r w:rsidR="00EA6C44">
        <w:t xml:space="preserve">are seen as an alternative to </w:t>
      </w:r>
      <w:r>
        <w:t>basic homecare services which require only delivery of medication to patien</w:t>
      </w:r>
      <w:r w:rsidR="00465576">
        <w:t>ts with no additional functions.</w:t>
      </w:r>
    </w:p>
    <w:p w:rsidR="00FF6429" w:rsidRDefault="00FF6429" w:rsidP="00FF6429">
      <w:r>
        <w:t>Two models of additiona</w:t>
      </w:r>
      <w:r w:rsidR="00465576">
        <w:t xml:space="preserve">l delivery services are being used </w:t>
      </w:r>
      <w:r w:rsidR="00E2089A">
        <w:t>by group</w:t>
      </w:r>
      <w:r w:rsidR="00465576">
        <w:t xml:space="preserve"> members</w:t>
      </w:r>
      <w:r>
        <w:t xml:space="preserve">: home delivery of medication is being used by two Trusts, and delivery of medication to an alternative location for collection (e.g. other branches of the outsourced </w:t>
      </w:r>
      <w:proofErr w:type="gramStart"/>
      <w:r>
        <w:t>outpatients</w:t>
      </w:r>
      <w:proofErr w:type="gramEnd"/>
      <w:r>
        <w:t xml:space="preserve"> partner’s chain) is being used by 6 Trusts.  Varying restrictions are put on the delivery services dependant on pr</w:t>
      </w:r>
      <w:r w:rsidR="00465576">
        <w:t>ovider, such as no delivery of c</w:t>
      </w:r>
      <w:r>
        <w:t xml:space="preserve">hemotherapy, no delivery of liquids and no delivery of refrigerated items.  </w:t>
      </w:r>
    </w:p>
    <w:p w:rsidR="00FF6429" w:rsidRDefault="00FF6429" w:rsidP="00DB2D8F">
      <w:pPr>
        <w:pStyle w:val="NoSpacing"/>
      </w:pPr>
      <w:r>
        <w:t xml:space="preserve">The majority of logistics are provided by either a courier company or Royal </w:t>
      </w:r>
      <w:proofErr w:type="gramStart"/>
      <w:r>
        <w:t>Mail,</w:t>
      </w:r>
      <w:proofErr w:type="gramEnd"/>
      <w:r>
        <w:t xml:space="preserve"> however one provider uses its own transport networks to arrange deliveries to its own stores in other locations.</w:t>
      </w:r>
      <w:r w:rsidR="0037643E">
        <w:t xml:space="preserve">  The cost of the service </w:t>
      </w:r>
      <w:r>
        <w:t>varies between providers.  Only one Trust has a fixed price for th</w:t>
      </w:r>
      <w:r w:rsidR="0037643E">
        <w:t>e additional delivery service (</w:t>
      </w:r>
      <w:r>
        <w:t xml:space="preserve">£27.50) whilst the majority of Trusts are charged dependant on size, weight and delivery location of the package (services starting from £6).  Two trusts receive a service including a free of charge option for patients to collect medication from any of the </w:t>
      </w:r>
      <w:proofErr w:type="gramStart"/>
      <w:r>
        <w:t>outpatients</w:t>
      </w:r>
      <w:proofErr w:type="gramEnd"/>
      <w:r>
        <w:t xml:space="preserve"> partners stores.</w:t>
      </w:r>
      <w:r w:rsidR="00DB2D8F">
        <w:br/>
      </w:r>
    </w:p>
    <w:p w:rsidR="00DB2D8F" w:rsidRPr="00D70ED7" w:rsidRDefault="00FF6429" w:rsidP="00DB2D8F">
      <w:pPr>
        <w:pStyle w:val="NoSpacing"/>
      </w:pPr>
      <w:r>
        <w:t xml:space="preserve">Only three Trusts have actively repatriated homecare patients over to these additional delivery services, but others </w:t>
      </w:r>
      <w:r w:rsidR="0037643E">
        <w:t xml:space="preserve">have used logistics to augment the </w:t>
      </w:r>
      <w:r>
        <w:t>outsourc</w:t>
      </w:r>
      <w:r w:rsidR="0037643E">
        <w:t>ed model.  The majority of the t</w:t>
      </w:r>
      <w:r>
        <w:t>rusts in the group are interested in establishing one of the above models for some aspects of their outpatient services.</w:t>
      </w:r>
    </w:p>
    <w:p w:rsidR="00FF6429" w:rsidRDefault="00FF6429" w:rsidP="00292F13">
      <w:pPr>
        <w:pStyle w:val="NoSpacing"/>
        <w:rPr>
          <w:color w:val="FF0000"/>
        </w:rPr>
      </w:pPr>
    </w:p>
    <w:p w:rsidR="00106706" w:rsidRDefault="00DB2D8F" w:rsidP="0095512F">
      <w:pPr>
        <w:pStyle w:val="NoSpacing"/>
      </w:pPr>
      <w:r w:rsidRPr="00DB2D8F">
        <w:t>NB it has recently become apparent to the homecare market that there are issues with both the postal and collection from retail outlet options.  These issues need to be addressed i</w:t>
      </w:r>
      <w:r w:rsidR="00B32CBF">
        <w:t>f these options are considered</w:t>
      </w:r>
    </w:p>
    <w:p w:rsidR="00106706" w:rsidRDefault="00106706" w:rsidP="0095512F">
      <w:pPr>
        <w:pStyle w:val="NoSpacing"/>
      </w:pPr>
    </w:p>
    <w:p w:rsidR="00C04A82" w:rsidRDefault="00AC38DE" w:rsidP="00C04A82">
      <w:pPr>
        <w:pStyle w:val="NoSpacing"/>
        <w:rPr>
          <w:b/>
          <w:u w:val="single"/>
        </w:rPr>
      </w:pPr>
      <w:r w:rsidRPr="00DB4857">
        <w:rPr>
          <w:u w:val="single"/>
        </w:rPr>
        <w:t>Issues and Risk Log</w:t>
      </w:r>
      <w:r w:rsidRPr="00DB4857">
        <w:rPr>
          <w:b/>
        </w:rPr>
        <w:br/>
      </w:r>
      <w:proofErr w:type="gramStart"/>
      <w:r w:rsidR="00DB4857">
        <w:t>Several</w:t>
      </w:r>
      <w:proofErr w:type="gramEnd"/>
      <w:r w:rsidR="00DB4857">
        <w:t xml:space="preserve"> members had prepared a risk log detailing the types of risk the project</w:t>
      </w:r>
      <w:r w:rsidR="00106706">
        <w:t xml:space="preserve"> exposed the trusts.  </w:t>
      </w:r>
      <w:r w:rsidR="002E5732">
        <w:t xml:space="preserve">These are detailed in </w:t>
      </w:r>
      <w:r w:rsidR="00C04A82">
        <w:t>Table 3</w:t>
      </w:r>
      <w:r w:rsidR="00106706">
        <w:t>.</w:t>
      </w:r>
      <w:r w:rsidR="00C04A82">
        <w:br/>
      </w:r>
    </w:p>
    <w:p w:rsidR="00C04A82" w:rsidRDefault="00C04A82" w:rsidP="00C04A82">
      <w:pPr>
        <w:pStyle w:val="NoSpacing"/>
        <w:rPr>
          <w:b/>
          <w:u w:val="single"/>
        </w:rPr>
      </w:pPr>
    </w:p>
    <w:tbl>
      <w:tblPr>
        <w:tblW w:w="4966" w:type="pct"/>
        <w:tblLayout w:type="fixed"/>
        <w:tblLook w:val="04A0" w:firstRow="1" w:lastRow="0" w:firstColumn="1" w:lastColumn="0" w:noHBand="0" w:noVBand="1"/>
      </w:tblPr>
      <w:tblGrid>
        <w:gridCol w:w="393"/>
        <w:gridCol w:w="1693"/>
        <w:gridCol w:w="4121"/>
        <w:gridCol w:w="993"/>
        <w:gridCol w:w="991"/>
        <w:gridCol w:w="988"/>
      </w:tblGrid>
      <w:tr w:rsidR="00C04A82" w:rsidRPr="00DB4857" w:rsidTr="005007F2">
        <w:trPr>
          <w:trHeight w:val="767"/>
        </w:trPr>
        <w:tc>
          <w:tcPr>
            <w:tcW w:w="5000" w:type="pct"/>
            <w:gridSpan w:val="6"/>
            <w:tcBorders>
              <w:top w:val="nil"/>
              <w:left w:val="nil"/>
              <w:bottom w:val="nil"/>
              <w:right w:val="nil"/>
            </w:tcBorders>
            <w:shd w:val="clear" w:color="000000" w:fill="00B0F0"/>
            <w:noWrap/>
            <w:hideMark/>
          </w:tcPr>
          <w:p w:rsidR="00C04A82" w:rsidRPr="00DB4857" w:rsidRDefault="00C04A82" w:rsidP="005007F2">
            <w:pPr>
              <w:spacing w:after="0" w:line="240" w:lineRule="auto"/>
              <w:rPr>
                <w:rFonts w:eastAsia="Times New Roman" w:cs="Calibri"/>
                <w:color w:val="FFFFFF"/>
                <w:sz w:val="16"/>
                <w:szCs w:val="16"/>
                <w:lang w:eastAsia="en-GB"/>
              </w:rPr>
            </w:pPr>
            <w:r>
              <w:rPr>
                <w:rFonts w:eastAsia="Times New Roman" w:cs="Calibri"/>
                <w:b/>
                <w:bCs/>
                <w:color w:val="FFFFFF"/>
                <w:sz w:val="20"/>
                <w:szCs w:val="20"/>
                <w:lang w:eastAsia="en-GB"/>
              </w:rPr>
              <w:t xml:space="preserve">Table 3.  Suggested  items and assessments for a </w:t>
            </w:r>
            <w:r w:rsidRPr="00DB4857">
              <w:rPr>
                <w:rFonts w:eastAsia="Times New Roman" w:cs="Calibri"/>
                <w:b/>
                <w:bCs/>
                <w:color w:val="FFFFFF"/>
                <w:sz w:val="20"/>
                <w:szCs w:val="20"/>
                <w:lang w:eastAsia="en-GB"/>
              </w:rPr>
              <w:t xml:space="preserve"> Risk Log</w:t>
            </w:r>
            <w:r w:rsidRPr="00DB4857">
              <w:rPr>
                <w:rFonts w:eastAsia="Times New Roman" w:cs="Calibri"/>
                <w:color w:val="FFFFFF"/>
                <w:sz w:val="16"/>
                <w:szCs w:val="16"/>
                <w:lang w:eastAsia="en-GB"/>
              </w:rPr>
              <w:t> </w:t>
            </w:r>
          </w:p>
        </w:tc>
      </w:tr>
      <w:tr w:rsidR="00C04A82" w:rsidRPr="00DB4857" w:rsidTr="007C15CA">
        <w:trPr>
          <w:trHeight w:val="87"/>
        </w:trPr>
        <w:tc>
          <w:tcPr>
            <w:tcW w:w="5000" w:type="pct"/>
            <w:gridSpan w:val="6"/>
            <w:tcBorders>
              <w:top w:val="nil"/>
              <w:left w:val="nil"/>
              <w:bottom w:val="nil"/>
              <w:right w:val="nil"/>
            </w:tcBorders>
            <w:shd w:val="clear" w:color="000000" w:fill="00B0F0"/>
            <w:noWrap/>
          </w:tcPr>
          <w:p w:rsidR="00C04A82" w:rsidRDefault="00C04A82" w:rsidP="005007F2">
            <w:pPr>
              <w:spacing w:after="0" w:line="240" w:lineRule="auto"/>
              <w:rPr>
                <w:rFonts w:eastAsia="Times New Roman" w:cs="Calibri"/>
                <w:b/>
                <w:bCs/>
                <w:color w:val="FFFFFF"/>
                <w:sz w:val="20"/>
                <w:szCs w:val="20"/>
                <w:lang w:eastAsia="en-GB"/>
              </w:rPr>
            </w:pPr>
          </w:p>
        </w:tc>
      </w:tr>
      <w:tr w:rsidR="00C04A82" w:rsidRPr="00DB4857" w:rsidTr="005007F2">
        <w:trPr>
          <w:trHeight w:val="401"/>
        </w:trPr>
        <w:tc>
          <w:tcPr>
            <w:tcW w:w="214" w:type="pct"/>
            <w:tcBorders>
              <w:top w:val="nil"/>
              <w:left w:val="nil"/>
              <w:bottom w:val="nil"/>
              <w:right w:val="nil"/>
            </w:tcBorders>
            <w:shd w:val="clear" w:color="000000" w:fill="00B0F0"/>
            <w:hideMark/>
          </w:tcPr>
          <w:p w:rsidR="00C04A82" w:rsidRPr="00DB4857" w:rsidRDefault="00C04A82" w:rsidP="005007F2">
            <w:pPr>
              <w:spacing w:after="0" w:line="240" w:lineRule="auto"/>
              <w:rPr>
                <w:rFonts w:eastAsia="Times New Roman" w:cs="Calibri"/>
                <w:color w:val="FFFFFF"/>
                <w:sz w:val="16"/>
                <w:szCs w:val="16"/>
                <w:lang w:eastAsia="en-GB"/>
              </w:rPr>
            </w:pPr>
          </w:p>
        </w:tc>
        <w:tc>
          <w:tcPr>
            <w:tcW w:w="922" w:type="pct"/>
            <w:tcBorders>
              <w:top w:val="nil"/>
              <w:left w:val="nil"/>
              <w:bottom w:val="nil"/>
              <w:right w:val="nil"/>
            </w:tcBorders>
            <w:shd w:val="clear" w:color="000000" w:fill="00B0F0"/>
            <w:noWrap/>
            <w:hideMark/>
          </w:tcPr>
          <w:p w:rsidR="00C04A82" w:rsidRPr="00DB4857" w:rsidRDefault="00C04A82" w:rsidP="005007F2">
            <w:pPr>
              <w:spacing w:after="0" w:line="240" w:lineRule="auto"/>
              <w:rPr>
                <w:rFonts w:eastAsia="Times New Roman" w:cs="Calibri"/>
                <w:color w:val="FFFFFF"/>
                <w:sz w:val="16"/>
                <w:szCs w:val="16"/>
                <w:lang w:eastAsia="en-GB"/>
              </w:rPr>
            </w:pPr>
            <w:proofErr w:type="spellStart"/>
            <w:r w:rsidRPr="00DB4857">
              <w:rPr>
                <w:rFonts w:eastAsia="Times New Roman" w:cs="Calibri"/>
                <w:color w:val="FFFFFF"/>
                <w:sz w:val="16"/>
                <w:szCs w:val="16"/>
                <w:lang w:eastAsia="en-GB"/>
              </w:rPr>
              <w:t>Workstream</w:t>
            </w:r>
            <w:proofErr w:type="spellEnd"/>
          </w:p>
        </w:tc>
        <w:tc>
          <w:tcPr>
            <w:tcW w:w="2245" w:type="pct"/>
            <w:tcBorders>
              <w:top w:val="nil"/>
              <w:left w:val="nil"/>
              <w:bottom w:val="nil"/>
              <w:right w:val="nil"/>
            </w:tcBorders>
            <w:shd w:val="clear" w:color="000000" w:fill="00B0F0"/>
            <w:noWrap/>
            <w:hideMark/>
          </w:tcPr>
          <w:p w:rsidR="00C04A82" w:rsidRPr="00DB4857" w:rsidRDefault="00C04A82" w:rsidP="005007F2">
            <w:pPr>
              <w:spacing w:after="0" w:line="240" w:lineRule="auto"/>
              <w:rPr>
                <w:rFonts w:eastAsia="Times New Roman" w:cs="Calibri"/>
                <w:color w:val="FFFFFF"/>
                <w:sz w:val="16"/>
                <w:szCs w:val="16"/>
                <w:lang w:eastAsia="en-GB"/>
              </w:rPr>
            </w:pPr>
            <w:r w:rsidRPr="00DB4857">
              <w:rPr>
                <w:rFonts w:eastAsia="Times New Roman" w:cs="Calibri"/>
                <w:color w:val="FFFFFF"/>
                <w:sz w:val="16"/>
                <w:szCs w:val="16"/>
                <w:lang w:eastAsia="en-GB"/>
              </w:rPr>
              <w:t>Description of Risk</w:t>
            </w:r>
          </w:p>
        </w:tc>
        <w:tc>
          <w:tcPr>
            <w:tcW w:w="541" w:type="pct"/>
            <w:tcBorders>
              <w:top w:val="nil"/>
              <w:left w:val="nil"/>
              <w:bottom w:val="nil"/>
              <w:right w:val="nil"/>
            </w:tcBorders>
            <w:shd w:val="clear" w:color="000000" w:fill="00B0F0"/>
            <w:noWrap/>
            <w:hideMark/>
          </w:tcPr>
          <w:p w:rsidR="00C04A82" w:rsidRPr="00DB4857" w:rsidRDefault="00C04A82" w:rsidP="005007F2">
            <w:pPr>
              <w:spacing w:after="0" w:line="240" w:lineRule="auto"/>
              <w:rPr>
                <w:rFonts w:eastAsia="Times New Roman" w:cs="Calibri"/>
                <w:color w:val="FFFFFF"/>
                <w:sz w:val="16"/>
                <w:szCs w:val="16"/>
                <w:lang w:eastAsia="en-GB"/>
              </w:rPr>
            </w:pPr>
            <w:r>
              <w:rPr>
                <w:rFonts w:eastAsia="Times New Roman" w:cs="Calibri"/>
                <w:color w:val="FFFFFF"/>
                <w:sz w:val="16"/>
                <w:szCs w:val="16"/>
                <w:lang w:eastAsia="en-GB"/>
              </w:rPr>
              <w:t xml:space="preserve">Suggested </w:t>
            </w:r>
            <w:r w:rsidRPr="00DB4857">
              <w:rPr>
                <w:rFonts w:eastAsia="Times New Roman" w:cs="Calibri"/>
                <w:color w:val="FFFFFF"/>
                <w:sz w:val="16"/>
                <w:szCs w:val="16"/>
                <w:lang w:eastAsia="en-GB"/>
              </w:rPr>
              <w:t>Rating</w:t>
            </w:r>
          </w:p>
        </w:tc>
        <w:tc>
          <w:tcPr>
            <w:tcW w:w="540" w:type="pct"/>
            <w:tcBorders>
              <w:top w:val="nil"/>
              <w:left w:val="nil"/>
              <w:bottom w:val="nil"/>
              <w:right w:val="nil"/>
            </w:tcBorders>
            <w:shd w:val="clear" w:color="000000" w:fill="00B0F0"/>
            <w:noWrap/>
            <w:hideMark/>
          </w:tcPr>
          <w:p w:rsidR="00C04A82" w:rsidRPr="00DB4857" w:rsidRDefault="00C04A82" w:rsidP="005007F2">
            <w:pPr>
              <w:spacing w:after="0" w:line="240" w:lineRule="auto"/>
              <w:rPr>
                <w:rFonts w:eastAsia="Times New Roman" w:cs="Calibri"/>
                <w:color w:val="FFFFFF"/>
                <w:sz w:val="16"/>
                <w:szCs w:val="16"/>
                <w:lang w:eastAsia="en-GB"/>
              </w:rPr>
            </w:pPr>
            <w:r>
              <w:rPr>
                <w:rFonts w:eastAsia="Times New Roman" w:cs="Calibri"/>
                <w:color w:val="FFFFFF"/>
                <w:sz w:val="16"/>
                <w:szCs w:val="16"/>
                <w:lang w:eastAsia="en-GB"/>
              </w:rPr>
              <w:t xml:space="preserve">Suggested </w:t>
            </w:r>
            <w:r w:rsidRPr="00DB4857">
              <w:rPr>
                <w:rFonts w:eastAsia="Times New Roman" w:cs="Calibri"/>
                <w:color w:val="FFFFFF"/>
                <w:sz w:val="16"/>
                <w:szCs w:val="16"/>
                <w:lang w:eastAsia="en-GB"/>
              </w:rPr>
              <w:t>Impact</w:t>
            </w:r>
          </w:p>
        </w:tc>
        <w:tc>
          <w:tcPr>
            <w:tcW w:w="538" w:type="pct"/>
            <w:tcBorders>
              <w:top w:val="nil"/>
              <w:left w:val="nil"/>
              <w:bottom w:val="nil"/>
              <w:right w:val="nil"/>
            </w:tcBorders>
            <w:shd w:val="clear" w:color="000000" w:fill="00B0F0"/>
            <w:noWrap/>
            <w:hideMark/>
          </w:tcPr>
          <w:p w:rsidR="00C04A82" w:rsidRPr="00DB4857" w:rsidRDefault="00C04A82" w:rsidP="005007F2">
            <w:pPr>
              <w:spacing w:after="0" w:line="240" w:lineRule="auto"/>
              <w:rPr>
                <w:rFonts w:eastAsia="Times New Roman" w:cs="Calibri"/>
                <w:color w:val="FFFFFF"/>
                <w:sz w:val="16"/>
                <w:szCs w:val="16"/>
                <w:lang w:eastAsia="en-GB"/>
              </w:rPr>
            </w:pPr>
            <w:r w:rsidRPr="00DB4857">
              <w:rPr>
                <w:rFonts w:eastAsia="Times New Roman" w:cs="Calibri"/>
                <w:color w:val="FFFFFF"/>
                <w:sz w:val="16"/>
                <w:szCs w:val="16"/>
                <w:lang w:eastAsia="en-GB"/>
              </w:rPr>
              <w:t>Probability</w:t>
            </w:r>
          </w:p>
        </w:tc>
      </w:tr>
      <w:tr w:rsidR="00C04A82" w:rsidRPr="00DB4857" w:rsidTr="005007F2">
        <w:trPr>
          <w:trHeight w:val="492"/>
        </w:trPr>
        <w:tc>
          <w:tcPr>
            <w:tcW w:w="214" w:type="pct"/>
            <w:tcBorders>
              <w:top w:val="single" w:sz="4" w:space="0" w:color="auto"/>
              <w:left w:val="single" w:sz="4" w:space="0" w:color="auto"/>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b/>
                <w:bCs/>
                <w:color w:val="000000"/>
                <w:sz w:val="16"/>
                <w:szCs w:val="16"/>
                <w:lang w:eastAsia="en-GB"/>
              </w:rPr>
            </w:pPr>
            <w:r w:rsidRPr="00DB4857">
              <w:rPr>
                <w:rFonts w:eastAsia="Times New Roman" w:cs="Calibri"/>
                <w:b/>
                <w:bCs/>
                <w:color w:val="000000"/>
                <w:sz w:val="16"/>
                <w:szCs w:val="16"/>
                <w:lang w:eastAsia="en-GB"/>
              </w:rPr>
              <w:t>1</w:t>
            </w:r>
          </w:p>
        </w:tc>
        <w:tc>
          <w:tcPr>
            <w:tcW w:w="922" w:type="pct"/>
            <w:tcBorders>
              <w:top w:val="single" w:sz="4" w:space="0" w:color="auto"/>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Finance &amp; Procurement</w:t>
            </w:r>
          </w:p>
        </w:tc>
        <w:tc>
          <w:tcPr>
            <w:tcW w:w="2245" w:type="pct"/>
            <w:tcBorders>
              <w:top w:val="single" w:sz="4" w:space="0" w:color="auto"/>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Pr>
                <w:rFonts w:eastAsia="Times New Roman" w:cs="Calibri"/>
                <w:color w:val="000000"/>
                <w:sz w:val="16"/>
                <w:szCs w:val="16"/>
                <w:lang w:eastAsia="en-GB"/>
              </w:rPr>
              <w:t>Arrangement for gain share is in place and working.</w:t>
            </w:r>
          </w:p>
        </w:tc>
        <w:tc>
          <w:tcPr>
            <w:tcW w:w="541" w:type="pct"/>
            <w:tcBorders>
              <w:top w:val="single" w:sz="4" w:space="0" w:color="auto"/>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b/>
                <w:bCs/>
                <w:color w:val="000000"/>
                <w:sz w:val="16"/>
                <w:szCs w:val="16"/>
                <w:lang w:eastAsia="en-GB"/>
              </w:rPr>
            </w:pPr>
            <w:r w:rsidRPr="00DB4857">
              <w:rPr>
                <w:rFonts w:eastAsia="Times New Roman" w:cs="Calibri"/>
                <w:b/>
                <w:bCs/>
                <w:color w:val="000000"/>
                <w:sz w:val="16"/>
                <w:szCs w:val="16"/>
                <w:lang w:eastAsia="en-GB"/>
              </w:rPr>
              <w:t>H</w:t>
            </w:r>
          </w:p>
        </w:tc>
        <w:tc>
          <w:tcPr>
            <w:tcW w:w="540" w:type="pct"/>
            <w:tcBorders>
              <w:top w:val="single" w:sz="4" w:space="0" w:color="auto"/>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c>
          <w:tcPr>
            <w:tcW w:w="538" w:type="pct"/>
            <w:tcBorders>
              <w:top w:val="single" w:sz="4" w:space="0" w:color="auto"/>
              <w:left w:val="nil"/>
              <w:bottom w:val="single" w:sz="4" w:space="0" w:color="auto"/>
              <w:right w:val="single" w:sz="4" w:space="0" w:color="auto"/>
            </w:tcBorders>
            <w:shd w:val="clear" w:color="000000" w:fill="00B05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L</w:t>
            </w:r>
          </w:p>
        </w:tc>
      </w:tr>
      <w:tr w:rsidR="00C04A82" w:rsidRPr="00DB4857" w:rsidTr="005007F2">
        <w:trPr>
          <w:trHeight w:val="285"/>
        </w:trPr>
        <w:tc>
          <w:tcPr>
            <w:tcW w:w="214" w:type="pct"/>
            <w:tcBorders>
              <w:top w:val="nil"/>
              <w:left w:val="single" w:sz="4" w:space="0" w:color="auto"/>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b/>
                <w:bCs/>
                <w:color w:val="000000"/>
                <w:sz w:val="16"/>
                <w:szCs w:val="16"/>
                <w:lang w:eastAsia="en-GB"/>
              </w:rPr>
            </w:pPr>
            <w:r w:rsidRPr="00DB4857">
              <w:rPr>
                <w:rFonts w:eastAsia="Times New Roman" w:cs="Calibri"/>
                <w:b/>
                <w:bCs/>
                <w:color w:val="000000"/>
                <w:sz w:val="16"/>
                <w:szCs w:val="16"/>
                <w:lang w:eastAsia="en-GB"/>
              </w:rPr>
              <w:t>2</w:t>
            </w:r>
          </w:p>
        </w:tc>
        <w:tc>
          <w:tcPr>
            <w:tcW w:w="922"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Finance &amp; Procurement</w:t>
            </w:r>
          </w:p>
        </w:tc>
        <w:tc>
          <w:tcPr>
            <w:tcW w:w="2245"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Are the figures in the business case accurate</w:t>
            </w:r>
          </w:p>
        </w:tc>
        <w:tc>
          <w:tcPr>
            <w:tcW w:w="541" w:type="pct"/>
            <w:tcBorders>
              <w:top w:val="nil"/>
              <w:left w:val="nil"/>
              <w:bottom w:val="single" w:sz="4" w:space="0" w:color="auto"/>
              <w:right w:val="single" w:sz="4" w:space="0" w:color="auto"/>
            </w:tcBorders>
            <w:shd w:val="clear" w:color="000000" w:fill="00B05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L</w:t>
            </w:r>
          </w:p>
        </w:tc>
        <w:tc>
          <w:tcPr>
            <w:tcW w:w="540"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c>
          <w:tcPr>
            <w:tcW w:w="538" w:type="pct"/>
            <w:tcBorders>
              <w:top w:val="nil"/>
              <w:left w:val="nil"/>
              <w:bottom w:val="single" w:sz="4" w:space="0" w:color="auto"/>
              <w:right w:val="single" w:sz="4" w:space="0" w:color="auto"/>
            </w:tcBorders>
            <w:shd w:val="clear" w:color="000000" w:fill="00B05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L</w:t>
            </w:r>
          </w:p>
        </w:tc>
      </w:tr>
      <w:tr w:rsidR="00C04A82" w:rsidRPr="00DB4857" w:rsidTr="005007F2">
        <w:trPr>
          <w:trHeight w:val="416"/>
        </w:trPr>
        <w:tc>
          <w:tcPr>
            <w:tcW w:w="214" w:type="pct"/>
            <w:tcBorders>
              <w:top w:val="nil"/>
              <w:left w:val="single" w:sz="4" w:space="0" w:color="auto"/>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b/>
                <w:bCs/>
                <w:color w:val="000000"/>
                <w:sz w:val="16"/>
                <w:szCs w:val="16"/>
                <w:lang w:eastAsia="en-GB"/>
              </w:rPr>
            </w:pPr>
            <w:r w:rsidRPr="00DB4857">
              <w:rPr>
                <w:rFonts w:eastAsia="Times New Roman" w:cs="Calibri"/>
                <w:b/>
                <w:bCs/>
                <w:color w:val="000000"/>
                <w:sz w:val="16"/>
                <w:szCs w:val="16"/>
                <w:lang w:eastAsia="en-GB"/>
              </w:rPr>
              <w:t>5</w:t>
            </w:r>
          </w:p>
        </w:tc>
        <w:tc>
          <w:tcPr>
            <w:tcW w:w="922"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Communications</w:t>
            </w:r>
          </w:p>
        </w:tc>
        <w:tc>
          <w:tcPr>
            <w:tcW w:w="2245"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External stakeholders delay the proposed change</w:t>
            </w:r>
          </w:p>
        </w:tc>
        <w:tc>
          <w:tcPr>
            <w:tcW w:w="541" w:type="pct"/>
            <w:tcBorders>
              <w:top w:val="nil"/>
              <w:left w:val="nil"/>
              <w:bottom w:val="single" w:sz="4" w:space="0" w:color="auto"/>
              <w:right w:val="single" w:sz="4" w:space="0" w:color="auto"/>
            </w:tcBorders>
            <w:shd w:val="clear" w:color="000000" w:fill="FFC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M</w:t>
            </w:r>
          </w:p>
        </w:tc>
        <w:tc>
          <w:tcPr>
            <w:tcW w:w="540" w:type="pct"/>
            <w:tcBorders>
              <w:top w:val="nil"/>
              <w:left w:val="nil"/>
              <w:bottom w:val="single" w:sz="4" w:space="0" w:color="auto"/>
              <w:right w:val="single" w:sz="4" w:space="0" w:color="auto"/>
            </w:tcBorders>
            <w:shd w:val="clear" w:color="000000" w:fill="FFC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M</w:t>
            </w:r>
          </w:p>
        </w:tc>
        <w:tc>
          <w:tcPr>
            <w:tcW w:w="538" w:type="pct"/>
            <w:tcBorders>
              <w:top w:val="nil"/>
              <w:left w:val="nil"/>
              <w:bottom w:val="single" w:sz="4" w:space="0" w:color="auto"/>
              <w:right w:val="single" w:sz="4" w:space="0" w:color="auto"/>
            </w:tcBorders>
            <w:shd w:val="clear" w:color="000000" w:fill="00B05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L</w:t>
            </w:r>
          </w:p>
        </w:tc>
      </w:tr>
      <w:tr w:rsidR="00C04A82" w:rsidRPr="00DB4857" w:rsidTr="005007F2">
        <w:trPr>
          <w:trHeight w:val="450"/>
        </w:trPr>
        <w:tc>
          <w:tcPr>
            <w:tcW w:w="214" w:type="pct"/>
            <w:tcBorders>
              <w:top w:val="nil"/>
              <w:left w:val="single" w:sz="4" w:space="0" w:color="auto"/>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b/>
                <w:bCs/>
                <w:color w:val="000000"/>
                <w:sz w:val="16"/>
                <w:szCs w:val="16"/>
                <w:lang w:eastAsia="en-GB"/>
              </w:rPr>
            </w:pPr>
            <w:r w:rsidRPr="00DB4857">
              <w:rPr>
                <w:rFonts w:eastAsia="Times New Roman" w:cs="Calibri"/>
                <w:b/>
                <w:bCs/>
                <w:color w:val="000000"/>
                <w:sz w:val="16"/>
                <w:szCs w:val="16"/>
                <w:lang w:eastAsia="en-GB"/>
              </w:rPr>
              <w:t>6</w:t>
            </w:r>
          </w:p>
        </w:tc>
        <w:tc>
          <w:tcPr>
            <w:tcW w:w="922"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Commercial &amp; Legal</w:t>
            </w:r>
          </w:p>
        </w:tc>
        <w:tc>
          <w:tcPr>
            <w:tcW w:w="2245"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VAT rules change</w:t>
            </w:r>
          </w:p>
        </w:tc>
        <w:tc>
          <w:tcPr>
            <w:tcW w:w="541"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Pr>
                <w:rFonts w:eastAsia="Times New Roman" w:cs="Calibri"/>
                <w:color w:val="000000"/>
                <w:sz w:val="16"/>
                <w:szCs w:val="16"/>
                <w:lang w:eastAsia="en-GB"/>
              </w:rPr>
              <w:t>H</w:t>
            </w:r>
          </w:p>
        </w:tc>
        <w:tc>
          <w:tcPr>
            <w:tcW w:w="540"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c>
          <w:tcPr>
            <w:tcW w:w="538" w:type="pct"/>
            <w:tcBorders>
              <w:top w:val="nil"/>
              <w:left w:val="nil"/>
              <w:bottom w:val="single" w:sz="4" w:space="0" w:color="auto"/>
              <w:right w:val="single" w:sz="4" w:space="0" w:color="auto"/>
            </w:tcBorders>
            <w:shd w:val="clear" w:color="000000" w:fill="00B05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L</w:t>
            </w:r>
          </w:p>
        </w:tc>
      </w:tr>
      <w:tr w:rsidR="00C04A82" w:rsidRPr="00DB4857" w:rsidTr="005007F2">
        <w:trPr>
          <w:trHeight w:val="387"/>
        </w:trPr>
        <w:tc>
          <w:tcPr>
            <w:tcW w:w="214" w:type="pct"/>
            <w:tcBorders>
              <w:top w:val="nil"/>
              <w:left w:val="single" w:sz="4" w:space="0" w:color="auto"/>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b/>
                <w:bCs/>
                <w:color w:val="000000"/>
                <w:sz w:val="16"/>
                <w:szCs w:val="16"/>
                <w:lang w:eastAsia="en-GB"/>
              </w:rPr>
            </w:pPr>
            <w:r w:rsidRPr="00DB4857">
              <w:rPr>
                <w:rFonts w:eastAsia="Times New Roman" w:cs="Calibri"/>
                <w:b/>
                <w:bCs/>
                <w:color w:val="000000"/>
                <w:sz w:val="16"/>
                <w:szCs w:val="16"/>
                <w:lang w:eastAsia="en-GB"/>
              </w:rPr>
              <w:t>7</w:t>
            </w:r>
          </w:p>
        </w:tc>
        <w:tc>
          <w:tcPr>
            <w:tcW w:w="922"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Estates</w:t>
            </w:r>
          </w:p>
        </w:tc>
        <w:tc>
          <w:tcPr>
            <w:tcW w:w="2245"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Pr>
                <w:rFonts w:eastAsia="Times New Roman" w:cs="Calibri"/>
                <w:color w:val="000000"/>
                <w:sz w:val="16"/>
                <w:szCs w:val="16"/>
                <w:lang w:eastAsia="en-GB"/>
              </w:rPr>
              <w:t>Difficulty in finding appropriate location on site</w:t>
            </w:r>
          </w:p>
        </w:tc>
        <w:tc>
          <w:tcPr>
            <w:tcW w:w="541" w:type="pct"/>
            <w:tcBorders>
              <w:top w:val="nil"/>
              <w:left w:val="nil"/>
              <w:bottom w:val="single" w:sz="4" w:space="0" w:color="auto"/>
              <w:right w:val="single" w:sz="4" w:space="0" w:color="auto"/>
            </w:tcBorders>
            <w:shd w:val="clear" w:color="000000" w:fill="FFC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M</w:t>
            </w:r>
          </w:p>
        </w:tc>
        <w:tc>
          <w:tcPr>
            <w:tcW w:w="540" w:type="pct"/>
            <w:tcBorders>
              <w:top w:val="nil"/>
              <w:left w:val="nil"/>
              <w:bottom w:val="single" w:sz="4" w:space="0" w:color="auto"/>
              <w:right w:val="single" w:sz="4" w:space="0" w:color="auto"/>
            </w:tcBorders>
            <w:shd w:val="clear" w:color="000000" w:fill="FFC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M</w:t>
            </w:r>
          </w:p>
        </w:tc>
        <w:tc>
          <w:tcPr>
            <w:tcW w:w="538" w:type="pct"/>
            <w:tcBorders>
              <w:top w:val="nil"/>
              <w:left w:val="nil"/>
              <w:bottom w:val="single" w:sz="4" w:space="0" w:color="auto"/>
              <w:right w:val="single" w:sz="4" w:space="0" w:color="auto"/>
            </w:tcBorders>
            <w:shd w:val="clear" w:color="000000" w:fill="FFC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M</w:t>
            </w:r>
          </w:p>
        </w:tc>
      </w:tr>
      <w:tr w:rsidR="00C04A82" w:rsidRPr="00DB4857" w:rsidTr="005007F2">
        <w:trPr>
          <w:trHeight w:val="407"/>
        </w:trPr>
        <w:tc>
          <w:tcPr>
            <w:tcW w:w="214" w:type="pct"/>
            <w:tcBorders>
              <w:top w:val="nil"/>
              <w:left w:val="single" w:sz="4" w:space="0" w:color="auto"/>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b/>
                <w:bCs/>
                <w:color w:val="000000"/>
                <w:sz w:val="16"/>
                <w:szCs w:val="16"/>
                <w:lang w:eastAsia="en-GB"/>
              </w:rPr>
            </w:pPr>
            <w:r w:rsidRPr="00DB4857">
              <w:rPr>
                <w:rFonts w:eastAsia="Times New Roman" w:cs="Calibri"/>
                <w:b/>
                <w:bCs/>
                <w:color w:val="000000"/>
                <w:sz w:val="16"/>
                <w:szCs w:val="16"/>
                <w:lang w:eastAsia="en-GB"/>
              </w:rPr>
              <w:lastRenderedPageBreak/>
              <w:t>8</w:t>
            </w:r>
          </w:p>
        </w:tc>
        <w:tc>
          <w:tcPr>
            <w:tcW w:w="922"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Pharmacy</w:t>
            </w:r>
          </w:p>
        </w:tc>
        <w:tc>
          <w:tcPr>
            <w:tcW w:w="2245"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Pr>
                <w:rFonts w:eastAsia="Times New Roman" w:cs="Calibri"/>
                <w:color w:val="000000"/>
                <w:sz w:val="16"/>
                <w:szCs w:val="16"/>
                <w:lang w:eastAsia="en-GB"/>
              </w:rPr>
              <w:t>IT issues in accommodating provider onto existing pharmacy system.</w:t>
            </w:r>
          </w:p>
        </w:tc>
        <w:tc>
          <w:tcPr>
            <w:tcW w:w="541"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c>
          <w:tcPr>
            <w:tcW w:w="540" w:type="pct"/>
            <w:tcBorders>
              <w:top w:val="nil"/>
              <w:left w:val="nil"/>
              <w:bottom w:val="single" w:sz="4" w:space="0" w:color="auto"/>
              <w:right w:val="single" w:sz="4" w:space="0" w:color="auto"/>
            </w:tcBorders>
            <w:shd w:val="clear" w:color="000000" w:fill="FFC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M</w:t>
            </w:r>
          </w:p>
        </w:tc>
        <w:tc>
          <w:tcPr>
            <w:tcW w:w="538" w:type="pct"/>
            <w:tcBorders>
              <w:top w:val="nil"/>
              <w:left w:val="nil"/>
              <w:bottom w:val="single" w:sz="4" w:space="0" w:color="auto"/>
              <w:right w:val="single" w:sz="4" w:space="0" w:color="auto"/>
            </w:tcBorders>
            <w:shd w:val="clear" w:color="000000" w:fill="FFC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M</w:t>
            </w:r>
          </w:p>
        </w:tc>
      </w:tr>
      <w:tr w:rsidR="00C04A82" w:rsidRPr="00DB4857" w:rsidTr="005007F2">
        <w:trPr>
          <w:trHeight w:val="270"/>
        </w:trPr>
        <w:tc>
          <w:tcPr>
            <w:tcW w:w="214" w:type="pct"/>
            <w:tcBorders>
              <w:top w:val="nil"/>
              <w:left w:val="single" w:sz="4" w:space="0" w:color="auto"/>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b/>
                <w:bCs/>
                <w:color w:val="000000"/>
                <w:sz w:val="16"/>
                <w:szCs w:val="16"/>
                <w:lang w:eastAsia="en-GB"/>
              </w:rPr>
            </w:pPr>
            <w:r w:rsidRPr="00DB4857">
              <w:rPr>
                <w:rFonts w:eastAsia="Times New Roman" w:cs="Calibri"/>
                <w:b/>
                <w:bCs/>
                <w:color w:val="000000"/>
                <w:sz w:val="16"/>
                <w:szCs w:val="16"/>
                <w:lang w:eastAsia="en-GB"/>
              </w:rPr>
              <w:t>9</w:t>
            </w:r>
          </w:p>
        </w:tc>
        <w:tc>
          <w:tcPr>
            <w:tcW w:w="922"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Communications</w:t>
            </w:r>
          </w:p>
        </w:tc>
        <w:tc>
          <w:tcPr>
            <w:tcW w:w="2245"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Overview &amp; Scrutiny committee request for information</w:t>
            </w:r>
          </w:p>
        </w:tc>
        <w:tc>
          <w:tcPr>
            <w:tcW w:w="541" w:type="pct"/>
            <w:tcBorders>
              <w:top w:val="nil"/>
              <w:left w:val="nil"/>
              <w:bottom w:val="single" w:sz="4" w:space="0" w:color="auto"/>
              <w:right w:val="single" w:sz="4" w:space="0" w:color="auto"/>
            </w:tcBorders>
            <w:shd w:val="clear" w:color="000000" w:fill="00B05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L</w:t>
            </w:r>
          </w:p>
        </w:tc>
        <w:tc>
          <w:tcPr>
            <w:tcW w:w="540" w:type="pct"/>
            <w:tcBorders>
              <w:top w:val="nil"/>
              <w:left w:val="nil"/>
              <w:bottom w:val="single" w:sz="4" w:space="0" w:color="auto"/>
              <w:right w:val="single" w:sz="4" w:space="0" w:color="auto"/>
            </w:tcBorders>
            <w:shd w:val="clear" w:color="000000" w:fill="00B05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L</w:t>
            </w:r>
          </w:p>
        </w:tc>
        <w:tc>
          <w:tcPr>
            <w:tcW w:w="538" w:type="pct"/>
            <w:tcBorders>
              <w:top w:val="nil"/>
              <w:left w:val="nil"/>
              <w:bottom w:val="single" w:sz="4" w:space="0" w:color="auto"/>
              <w:right w:val="single" w:sz="4" w:space="0" w:color="auto"/>
            </w:tcBorders>
            <w:shd w:val="clear" w:color="000000" w:fill="00B05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L</w:t>
            </w:r>
          </w:p>
        </w:tc>
      </w:tr>
      <w:tr w:rsidR="00C04A82" w:rsidRPr="00DB4857" w:rsidTr="005007F2">
        <w:trPr>
          <w:trHeight w:val="289"/>
        </w:trPr>
        <w:tc>
          <w:tcPr>
            <w:tcW w:w="214" w:type="pct"/>
            <w:tcBorders>
              <w:top w:val="nil"/>
              <w:left w:val="single" w:sz="4" w:space="0" w:color="auto"/>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b/>
                <w:bCs/>
                <w:color w:val="000000"/>
                <w:sz w:val="16"/>
                <w:szCs w:val="16"/>
                <w:lang w:eastAsia="en-GB"/>
              </w:rPr>
            </w:pPr>
            <w:r w:rsidRPr="00DB4857">
              <w:rPr>
                <w:rFonts w:eastAsia="Times New Roman" w:cs="Calibri"/>
                <w:b/>
                <w:bCs/>
                <w:color w:val="000000"/>
                <w:sz w:val="16"/>
                <w:szCs w:val="16"/>
                <w:lang w:eastAsia="en-GB"/>
              </w:rPr>
              <w:t>10</w:t>
            </w:r>
          </w:p>
        </w:tc>
        <w:tc>
          <w:tcPr>
            <w:tcW w:w="922"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Communications</w:t>
            </w:r>
          </w:p>
        </w:tc>
        <w:tc>
          <w:tcPr>
            <w:tcW w:w="2245" w:type="pct"/>
            <w:tcBorders>
              <w:top w:val="nil"/>
              <w:left w:val="nil"/>
              <w:bottom w:val="single" w:sz="4" w:space="0" w:color="auto"/>
              <w:right w:val="single" w:sz="4" w:space="0" w:color="auto"/>
            </w:tcBorders>
            <w:shd w:val="clear" w:color="auto" w:fill="auto"/>
            <w:hideMark/>
          </w:tcPr>
          <w:p w:rsidR="00C04A82" w:rsidRPr="004112EC" w:rsidRDefault="00C04A82" w:rsidP="005007F2">
            <w:pPr>
              <w:spacing w:after="0" w:line="240" w:lineRule="auto"/>
              <w:rPr>
                <w:rFonts w:eastAsia="Times New Roman" w:cs="Calibri"/>
                <w:color w:val="000000"/>
                <w:sz w:val="16"/>
                <w:szCs w:val="16"/>
                <w:lang w:eastAsia="en-GB"/>
              </w:rPr>
            </w:pPr>
            <w:r w:rsidRPr="004112EC">
              <w:rPr>
                <w:rFonts w:eastAsia="Times New Roman" w:cs="Calibri"/>
                <w:color w:val="000000"/>
                <w:sz w:val="16"/>
                <w:szCs w:val="16"/>
                <w:lang w:eastAsia="en-GB"/>
              </w:rPr>
              <w:t>Ensure all communication approved</w:t>
            </w:r>
          </w:p>
        </w:tc>
        <w:tc>
          <w:tcPr>
            <w:tcW w:w="541"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c>
          <w:tcPr>
            <w:tcW w:w="540"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c>
          <w:tcPr>
            <w:tcW w:w="538"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r>
      <w:tr w:rsidR="00C04A82" w:rsidRPr="00DB4857" w:rsidTr="005007F2">
        <w:trPr>
          <w:trHeight w:val="341"/>
        </w:trPr>
        <w:tc>
          <w:tcPr>
            <w:tcW w:w="214" w:type="pct"/>
            <w:tcBorders>
              <w:top w:val="nil"/>
              <w:left w:val="single" w:sz="4" w:space="0" w:color="auto"/>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b/>
                <w:bCs/>
                <w:color w:val="000000"/>
                <w:sz w:val="16"/>
                <w:szCs w:val="16"/>
                <w:lang w:eastAsia="en-GB"/>
              </w:rPr>
            </w:pPr>
            <w:r w:rsidRPr="00DB4857">
              <w:rPr>
                <w:rFonts w:eastAsia="Times New Roman" w:cs="Calibri"/>
                <w:b/>
                <w:bCs/>
                <w:color w:val="000000"/>
                <w:sz w:val="16"/>
                <w:szCs w:val="16"/>
                <w:lang w:eastAsia="en-GB"/>
              </w:rPr>
              <w:t>11</w:t>
            </w:r>
          </w:p>
        </w:tc>
        <w:tc>
          <w:tcPr>
            <w:tcW w:w="922"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Operational</w:t>
            </w:r>
          </w:p>
        </w:tc>
        <w:tc>
          <w:tcPr>
            <w:tcW w:w="2245"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 xml:space="preserve">Who will dispense </w:t>
            </w:r>
            <w:r>
              <w:rPr>
                <w:rFonts w:eastAsia="Times New Roman" w:cs="Calibri"/>
                <w:color w:val="000000"/>
                <w:sz w:val="16"/>
                <w:szCs w:val="16"/>
                <w:lang w:eastAsia="en-GB"/>
              </w:rPr>
              <w:t>clinical trial materials?</w:t>
            </w:r>
          </w:p>
        </w:tc>
        <w:tc>
          <w:tcPr>
            <w:tcW w:w="541" w:type="pct"/>
            <w:tcBorders>
              <w:top w:val="nil"/>
              <w:left w:val="nil"/>
              <w:bottom w:val="single" w:sz="4" w:space="0" w:color="auto"/>
              <w:right w:val="single" w:sz="4" w:space="0" w:color="auto"/>
            </w:tcBorders>
            <w:shd w:val="clear" w:color="000000" w:fill="00B05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L</w:t>
            </w:r>
          </w:p>
        </w:tc>
        <w:tc>
          <w:tcPr>
            <w:tcW w:w="540" w:type="pct"/>
            <w:tcBorders>
              <w:top w:val="nil"/>
              <w:left w:val="nil"/>
              <w:bottom w:val="single" w:sz="4" w:space="0" w:color="auto"/>
              <w:right w:val="single" w:sz="4" w:space="0" w:color="auto"/>
            </w:tcBorders>
            <w:shd w:val="clear" w:color="000000" w:fill="00B05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L</w:t>
            </w:r>
          </w:p>
        </w:tc>
        <w:tc>
          <w:tcPr>
            <w:tcW w:w="538" w:type="pct"/>
            <w:tcBorders>
              <w:top w:val="nil"/>
              <w:left w:val="nil"/>
              <w:bottom w:val="single" w:sz="4" w:space="0" w:color="auto"/>
              <w:right w:val="single" w:sz="4" w:space="0" w:color="auto"/>
            </w:tcBorders>
            <w:shd w:val="clear" w:color="000000" w:fill="00B05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L</w:t>
            </w:r>
          </w:p>
        </w:tc>
      </w:tr>
      <w:tr w:rsidR="00C04A82" w:rsidRPr="00DB4857" w:rsidTr="005007F2">
        <w:trPr>
          <w:trHeight w:val="359"/>
        </w:trPr>
        <w:tc>
          <w:tcPr>
            <w:tcW w:w="214" w:type="pct"/>
            <w:tcBorders>
              <w:top w:val="nil"/>
              <w:left w:val="single" w:sz="4" w:space="0" w:color="auto"/>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b/>
                <w:bCs/>
                <w:color w:val="000000"/>
                <w:sz w:val="16"/>
                <w:szCs w:val="16"/>
                <w:lang w:eastAsia="en-GB"/>
              </w:rPr>
            </w:pPr>
            <w:r w:rsidRPr="00DB4857">
              <w:rPr>
                <w:rFonts w:eastAsia="Times New Roman" w:cs="Calibri"/>
                <w:b/>
                <w:bCs/>
                <w:color w:val="000000"/>
                <w:sz w:val="16"/>
                <w:szCs w:val="16"/>
                <w:lang w:eastAsia="en-GB"/>
              </w:rPr>
              <w:t>12</w:t>
            </w:r>
          </w:p>
        </w:tc>
        <w:tc>
          <w:tcPr>
            <w:tcW w:w="922"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Operational</w:t>
            </w:r>
          </w:p>
        </w:tc>
        <w:tc>
          <w:tcPr>
            <w:tcW w:w="2245"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Project will require version 10 of Ascribe for SBs</w:t>
            </w:r>
          </w:p>
        </w:tc>
        <w:tc>
          <w:tcPr>
            <w:tcW w:w="541" w:type="pct"/>
            <w:tcBorders>
              <w:top w:val="nil"/>
              <w:left w:val="nil"/>
              <w:bottom w:val="single" w:sz="4" w:space="0" w:color="auto"/>
              <w:right w:val="single" w:sz="4" w:space="0" w:color="auto"/>
            </w:tcBorders>
            <w:shd w:val="clear" w:color="000000" w:fill="FFC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M</w:t>
            </w:r>
          </w:p>
        </w:tc>
        <w:tc>
          <w:tcPr>
            <w:tcW w:w="540"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c>
          <w:tcPr>
            <w:tcW w:w="538" w:type="pct"/>
            <w:tcBorders>
              <w:top w:val="nil"/>
              <w:left w:val="nil"/>
              <w:bottom w:val="single" w:sz="4" w:space="0" w:color="auto"/>
              <w:right w:val="single" w:sz="4" w:space="0" w:color="auto"/>
            </w:tcBorders>
            <w:shd w:val="clear" w:color="000000" w:fill="FFC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M</w:t>
            </w:r>
          </w:p>
        </w:tc>
      </w:tr>
      <w:tr w:rsidR="00C04A82" w:rsidRPr="00DB4857" w:rsidTr="005007F2">
        <w:trPr>
          <w:trHeight w:val="420"/>
        </w:trPr>
        <w:tc>
          <w:tcPr>
            <w:tcW w:w="214" w:type="pct"/>
            <w:tcBorders>
              <w:top w:val="nil"/>
              <w:left w:val="single" w:sz="4" w:space="0" w:color="auto"/>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b/>
                <w:bCs/>
                <w:color w:val="000000"/>
                <w:sz w:val="16"/>
                <w:szCs w:val="16"/>
                <w:lang w:eastAsia="en-GB"/>
              </w:rPr>
            </w:pPr>
            <w:r w:rsidRPr="00DB4857">
              <w:rPr>
                <w:rFonts w:eastAsia="Times New Roman" w:cs="Calibri"/>
                <w:b/>
                <w:bCs/>
                <w:color w:val="000000"/>
                <w:sz w:val="16"/>
                <w:szCs w:val="16"/>
                <w:lang w:eastAsia="en-GB"/>
              </w:rPr>
              <w:t>13</w:t>
            </w:r>
          </w:p>
        </w:tc>
        <w:tc>
          <w:tcPr>
            <w:tcW w:w="922"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Estates</w:t>
            </w:r>
          </w:p>
        </w:tc>
        <w:tc>
          <w:tcPr>
            <w:tcW w:w="2245"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 xml:space="preserve">Indecision on location and associated building/enabling works could delay opening. </w:t>
            </w:r>
          </w:p>
        </w:tc>
        <w:tc>
          <w:tcPr>
            <w:tcW w:w="541"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c>
          <w:tcPr>
            <w:tcW w:w="540"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c>
          <w:tcPr>
            <w:tcW w:w="538" w:type="pct"/>
            <w:tcBorders>
              <w:top w:val="nil"/>
              <w:left w:val="nil"/>
              <w:bottom w:val="single" w:sz="4" w:space="0" w:color="auto"/>
              <w:right w:val="single" w:sz="4" w:space="0" w:color="auto"/>
            </w:tcBorders>
            <w:shd w:val="clear" w:color="000000" w:fill="FFC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M</w:t>
            </w:r>
          </w:p>
        </w:tc>
      </w:tr>
      <w:tr w:rsidR="00C04A82" w:rsidRPr="00DB4857" w:rsidTr="005007F2">
        <w:trPr>
          <w:trHeight w:val="257"/>
        </w:trPr>
        <w:tc>
          <w:tcPr>
            <w:tcW w:w="214" w:type="pct"/>
            <w:tcBorders>
              <w:top w:val="nil"/>
              <w:left w:val="single" w:sz="4" w:space="0" w:color="auto"/>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b/>
                <w:bCs/>
                <w:color w:val="000000"/>
                <w:sz w:val="16"/>
                <w:szCs w:val="16"/>
                <w:lang w:eastAsia="en-GB"/>
              </w:rPr>
            </w:pPr>
            <w:r w:rsidRPr="00DB4857">
              <w:rPr>
                <w:rFonts w:eastAsia="Times New Roman" w:cs="Calibri"/>
                <w:b/>
                <w:bCs/>
                <w:color w:val="000000"/>
                <w:sz w:val="16"/>
                <w:szCs w:val="16"/>
                <w:lang w:eastAsia="en-GB"/>
              </w:rPr>
              <w:t>13</w:t>
            </w:r>
          </w:p>
        </w:tc>
        <w:tc>
          <w:tcPr>
            <w:tcW w:w="922"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Operational</w:t>
            </w:r>
          </w:p>
        </w:tc>
        <w:tc>
          <w:tcPr>
            <w:tcW w:w="2245"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Pr>
                <w:rFonts w:eastAsia="Times New Roman" w:cs="Calibri"/>
                <w:color w:val="000000"/>
                <w:sz w:val="16"/>
                <w:szCs w:val="16"/>
                <w:lang w:eastAsia="en-GB"/>
              </w:rPr>
              <w:t xml:space="preserve">Building works may </w:t>
            </w:r>
            <w:r w:rsidRPr="00DB4857">
              <w:rPr>
                <w:rFonts w:eastAsia="Times New Roman" w:cs="Calibri"/>
                <w:color w:val="000000"/>
                <w:sz w:val="16"/>
                <w:szCs w:val="16"/>
                <w:lang w:eastAsia="en-GB"/>
              </w:rPr>
              <w:t xml:space="preserve">be disruptive. </w:t>
            </w:r>
          </w:p>
        </w:tc>
        <w:tc>
          <w:tcPr>
            <w:tcW w:w="541"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c>
          <w:tcPr>
            <w:tcW w:w="540"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c>
          <w:tcPr>
            <w:tcW w:w="538"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r>
      <w:tr w:rsidR="00C04A82" w:rsidRPr="00DB4857" w:rsidTr="005007F2">
        <w:trPr>
          <w:trHeight w:val="416"/>
        </w:trPr>
        <w:tc>
          <w:tcPr>
            <w:tcW w:w="214" w:type="pct"/>
            <w:tcBorders>
              <w:top w:val="nil"/>
              <w:left w:val="single" w:sz="4" w:space="0" w:color="auto"/>
              <w:bottom w:val="single" w:sz="4" w:space="0" w:color="auto"/>
              <w:right w:val="single" w:sz="4" w:space="0" w:color="auto"/>
            </w:tcBorders>
            <w:shd w:val="clear" w:color="auto" w:fill="auto"/>
          </w:tcPr>
          <w:p w:rsidR="00C04A82" w:rsidRDefault="00C04A82" w:rsidP="005007F2">
            <w:pPr>
              <w:spacing w:after="0" w:line="240" w:lineRule="auto"/>
              <w:rPr>
                <w:rFonts w:eastAsia="Times New Roman" w:cs="Calibri"/>
                <w:b/>
                <w:bCs/>
                <w:color w:val="000000"/>
                <w:sz w:val="16"/>
                <w:szCs w:val="16"/>
                <w:lang w:eastAsia="en-GB"/>
              </w:rPr>
            </w:pPr>
            <w:r>
              <w:rPr>
                <w:rFonts w:eastAsia="Times New Roman" w:cs="Calibri"/>
                <w:b/>
                <w:bCs/>
                <w:color w:val="000000"/>
                <w:sz w:val="16"/>
                <w:szCs w:val="16"/>
                <w:lang w:eastAsia="en-GB"/>
              </w:rPr>
              <w:t>14</w:t>
            </w:r>
          </w:p>
        </w:tc>
        <w:tc>
          <w:tcPr>
            <w:tcW w:w="922" w:type="pct"/>
            <w:tcBorders>
              <w:top w:val="nil"/>
              <w:left w:val="nil"/>
              <w:bottom w:val="single" w:sz="4" w:space="0" w:color="auto"/>
              <w:right w:val="single" w:sz="4" w:space="0" w:color="auto"/>
            </w:tcBorders>
            <w:shd w:val="clear" w:color="auto" w:fill="auto"/>
          </w:tcPr>
          <w:p w:rsidR="00C04A82" w:rsidRPr="00DB4857" w:rsidRDefault="00C04A82" w:rsidP="005007F2">
            <w:pPr>
              <w:spacing w:after="0" w:line="240" w:lineRule="auto"/>
              <w:rPr>
                <w:rFonts w:eastAsia="Times New Roman" w:cs="Calibri"/>
                <w:color w:val="000000"/>
                <w:sz w:val="16"/>
                <w:szCs w:val="16"/>
                <w:lang w:eastAsia="en-GB"/>
              </w:rPr>
            </w:pPr>
            <w:r>
              <w:rPr>
                <w:rFonts w:eastAsia="Times New Roman" w:cs="Calibri"/>
                <w:color w:val="000000"/>
                <w:sz w:val="16"/>
                <w:szCs w:val="16"/>
                <w:lang w:eastAsia="en-GB"/>
              </w:rPr>
              <w:t>Finance</w:t>
            </w:r>
          </w:p>
        </w:tc>
        <w:tc>
          <w:tcPr>
            <w:tcW w:w="2245" w:type="pct"/>
            <w:tcBorders>
              <w:top w:val="nil"/>
              <w:left w:val="nil"/>
              <w:bottom w:val="single" w:sz="4" w:space="0" w:color="auto"/>
              <w:right w:val="single" w:sz="4" w:space="0" w:color="auto"/>
            </w:tcBorders>
            <w:shd w:val="clear" w:color="auto" w:fill="auto"/>
          </w:tcPr>
          <w:p w:rsidR="00C04A82" w:rsidRPr="00DB4857" w:rsidRDefault="00C04A82" w:rsidP="005007F2">
            <w:pPr>
              <w:spacing w:after="0" w:line="240" w:lineRule="auto"/>
              <w:rPr>
                <w:rFonts w:eastAsia="Times New Roman" w:cs="Calibri"/>
                <w:color w:val="000000"/>
                <w:sz w:val="16"/>
                <w:szCs w:val="16"/>
                <w:lang w:eastAsia="en-GB"/>
              </w:rPr>
            </w:pPr>
            <w:r>
              <w:rPr>
                <w:rFonts w:eastAsia="Times New Roman" w:cs="Calibri"/>
                <w:color w:val="000000"/>
                <w:sz w:val="16"/>
                <w:szCs w:val="16"/>
                <w:lang w:eastAsia="en-GB"/>
              </w:rPr>
              <w:t xml:space="preserve">Loss of income if </w:t>
            </w:r>
            <w:proofErr w:type="gramStart"/>
            <w:r>
              <w:rPr>
                <w:rFonts w:eastAsia="Times New Roman" w:cs="Calibri"/>
                <w:color w:val="000000"/>
                <w:sz w:val="16"/>
                <w:szCs w:val="16"/>
                <w:lang w:eastAsia="en-GB"/>
              </w:rPr>
              <w:t>don’t  bill</w:t>
            </w:r>
            <w:proofErr w:type="gramEnd"/>
            <w:r>
              <w:rPr>
                <w:rFonts w:eastAsia="Times New Roman" w:cs="Calibri"/>
                <w:color w:val="000000"/>
                <w:sz w:val="16"/>
                <w:szCs w:val="16"/>
                <w:lang w:eastAsia="en-GB"/>
              </w:rPr>
              <w:t xml:space="preserve"> PAS and PBR medicines to appropriate commissioner.</w:t>
            </w:r>
          </w:p>
        </w:tc>
        <w:tc>
          <w:tcPr>
            <w:tcW w:w="541" w:type="pct"/>
            <w:tcBorders>
              <w:top w:val="nil"/>
              <w:left w:val="nil"/>
              <w:bottom w:val="single" w:sz="4" w:space="0" w:color="auto"/>
              <w:right w:val="single" w:sz="4" w:space="0" w:color="auto"/>
            </w:tcBorders>
            <w:shd w:val="clear" w:color="000000" w:fill="FF0000"/>
          </w:tcPr>
          <w:p w:rsidR="00C04A82" w:rsidRPr="00DB4857" w:rsidRDefault="00C04A82" w:rsidP="005007F2">
            <w:pPr>
              <w:spacing w:after="0" w:line="240" w:lineRule="auto"/>
              <w:rPr>
                <w:rFonts w:eastAsia="Times New Roman" w:cs="Calibri"/>
                <w:color w:val="000000"/>
                <w:sz w:val="16"/>
                <w:szCs w:val="16"/>
                <w:lang w:eastAsia="en-GB"/>
              </w:rPr>
            </w:pPr>
            <w:r>
              <w:rPr>
                <w:rFonts w:eastAsia="Times New Roman" w:cs="Calibri"/>
                <w:color w:val="000000"/>
                <w:sz w:val="16"/>
                <w:szCs w:val="16"/>
                <w:lang w:eastAsia="en-GB"/>
              </w:rPr>
              <w:t>H</w:t>
            </w:r>
          </w:p>
        </w:tc>
        <w:tc>
          <w:tcPr>
            <w:tcW w:w="540" w:type="pct"/>
            <w:tcBorders>
              <w:top w:val="nil"/>
              <w:left w:val="nil"/>
              <w:bottom w:val="single" w:sz="4" w:space="0" w:color="auto"/>
              <w:right w:val="single" w:sz="4" w:space="0" w:color="auto"/>
            </w:tcBorders>
            <w:shd w:val="clear" w:color="000000" w:fill="FF0000"/>
          </w:tcPr>
          <w:p w:rsidR="00C04A82" w:rsidRPr="00DB4857" w:rsidRDefault="00C04A82" w:rsidP="005007F2">
            <w:pPr>
              <w:spacing w:after="0" w:line="240" w:lineRule="auto"/>
              <w:rPr>
                <w:rFonts w:eastAsia="Times New Roman" w:cs="Calibri"/>
                <w:color w:val="000000"/>
                <w:sz w:val="16"/>
                <w:szCs w:val="16"/>
                <w:lang w:eastAsia="en-GB"/>
              </w:rPr>
            </w:pPr>
            <w:r>
              <w:rPr>
                <w:rFonts w:eastAsia="Times New Roman" w:cs="Calibri"/>
                <w:color w:val="000000"/>
                <w:sz w:val="16"/>
                <w:szCs w:val="16"/>
                <w:lang w:eastAsia="en-GB"/>
              </w:rPr>
              <w:t>H</w:t>
            </w:r>
          </w:p>
        </w:tc>
        <w:tc>
          <w:tcPr>
            <w:tcW w:w="538" w:type="pct"/>
            <w:tcBorders>
              <w:top w:val="nil"/>
              <w:left w:val="nil"/>
              <w:bottom w:val="single" w:sz="4" w:space="0" w:color="auto"/>
              <w:right w:val="single" w:sz="4" w:space="0" w:color="auto"/>
            </w:tcBorders>
            <w:shd w:val="clear" w:color="000000" w:fill="FFC000"/>
          </w:tcPr>
          <w:p w:rsidR="00C04A82" w:rsidRPr="00DB4857" w:rsidRDefault="00C04A82" w:rsidP="005007F2">
            <w:pPr>
              <w:spacing w:after="0" w:line="240" w:lineRule="auto"/>
              <w:rPr>
                <w:rFonts w:eastAsia="Times New Roman" w:cs="Calibri"/>
                <w:color w:val="000000"/>
                <w:sz w:val="16"/>
                <w:szCs w:val="16"/>
                <w:lang w:eastAsia="en-GB"/>
              </w:rPr>
            </w:pPr>
            <w:r>
              <w:rPr>
                <w:rFonts w:eastAsia="Times New Roman" w:cs="Calibri"/>
                <w:color w:val="000000"/>
                <w:sz w:val="16"/>
                <w:szCs w:val="16"/>
                <w:lang w:eastAsia="en-GB"/>
              </w:rPr>
              <w:t>M</w:t>
            </w:r>
          </w:p>
        </w:tc>
      </w:tr>
      <w:tr w:rsidR="00C04A82" w:rsidRPr="00DB4857" w:rsidTr="005007F2">
        <w:trPr>
          <w:trHeight w:val="416"/>
        </w:trPr>
        <w:tc>
          <w:tcPr>
            <w:tcW w:w="214" w:type="pct"/>
            <w:tcBorders>
              <w:top w:val="nil"/>
              <w:left w:val="single" w:sz="4" w:space="0" w:color="auto"/>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b/>
                <w:bCs/>
                <w:color w:val="000000"/>
                <w:sz w:val="16"/>
                <w:szCs w:val="16"/>
                <w:lang w:eastAsia="en-GB"/>
              </w:rPr>
            </w:pPr>
            <w:r>
              <w:rPr>
                <w:rFonts w:eastAsia="Times New Roman" w:cs="Calibri"/>
                <w:b/>
                <w:bCs/>
                <w:color w:val="000000"/>
                <w:sz w:val="16"/>
                <w:szCs w:val="16"/>
                <w:lang w:eastAsia="en-GB"/>
              </w:rPr>
              <w:t>15</w:t>
            </w:r>
          </w:p>
        </w:tc>
        <w:tc>
          <w:tcPr>
            <w:tcW w:w="922"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 xml:space="preserve">Finance  </w:t>
            </w:r>
          </w:p>
        </w:tc>
        <w:tc>
          <w:tcPr>
            <w:tcW w:w="2245"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Access and availability of baseline information</w:t>
            </w:r>
          </w:p>
        </w:tc>
        <w:tc>
          <w:tcPr>
            <w:tcW w:w="541"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c>
          <w:tcPr>
            <w:tcW w:w="540"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c>
          <w:tcPr>
            <w:tcW w:w="538" w:type="pct"/>
            <w:tcBorders>
              <w:top w:val="nil"/>
              <w:left w:val="nil"/>
              <w:bottom w:val="single" w:sz="4" w:space="0" w:color="auto"/>
              <w:right w:val="single" w:sz="4" w:space="0" w:color="auto"/>
            </w:tcBorders>
            <w:shd w:val="clear" w:color="000000" w:fill="FFC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M</w:t>
            </w:r>
          </w:p>
        </w:tc>
      </w:tr>
      <w:tr w:rsidR="00C04A82" w:rsidRPr="00DB4857" w:rsidTr="005007F2">
        <w:trPr>
          <w:trHeight w:val="281"/>
        </w:trPr>
        <w:tc>
          <w:tcPr>
            <w:tcW w:w="214" w:type="pct"/>
            <w:tcBorders>
              <w:top w:val="nil"/>
              <w:left w:val="single" w:sz="4" w:space="0" w:color="auto"/>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b/>
                <w:bCs/>
                <w:color w:val="000000"/>
                <w:sz w:val="16"/>
                <w:szCs w:val="16"/>
                <w:lang w:eastAsia="en-GB"/>
              </w:rPr>
            </w:pPr>
            <w:r>
              <w:rPr>
                <w:rFonts w:eastAsia="Times New Roman" w:cs="Calibri"/>
                <w:b/>
                <w:bCs/>
                <w:color w:val="000000"/>
                <w:sz w:val="16"/>
                <w:szCs w:val="16"/>
                <w:lang w:eastAsia="en-GB"/>
              </w:rPr>
              <w:t>16</w:t>
            </w:r>
          </w:p>
        </w:tc>
        <w:tc>
          <w:tcPr>
            <w:tcW w:w="922"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Finance</w:t>
            </w:r>
          </w:p>
        </w:tc>
        <w:tc>
          <w:tcPr>
            <w:tcW w:w="2245"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review Pricing Matrix</w:t>
            </w:r>
          </w:p>
        </w:tc>
        <w:tc>
          <w:tcPr>
            <w:tcW w:w="541"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c>
          <w:tcPr>
            <w:tcW w:w="540"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c>
          <w:tcPr>
            <w:tcW w:w="538"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r>
      <w:tr w:rsidR="00C04A82" w:rsidRPr="00DB4857" w:rsidTr="005007F2">
        <w:trPr>
          <w:trHeight w:val="555"/>
        </w:trPr>
        <w:tc>
          <w:tcPr>
            <w:tcW w:w="214" w:type="pct"/>
            <w:tcBorders>
              <w:top w:val="nil"/>
              <w:left w:val="single" w:sz="4" w:space="0" w:color="auto"/>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b/>
                <w:bCs/>
                <w:color w:val="000000"/>
                <w:sz w:val="16"/>
                <w:szCs w:val="16"/>
                <w:lang w:eastAsia="en-GB"/>
              </w:rPr>
            </w:pPr>
            <w:r>
              <w:rPr>
                <w:rFonts w:eastAsia="Times New Roman" w:cs="Calibri"/>
                <w:b/>
                <w:bCs/>
                <w:color w:val="000000"/>
                <w:sz w:val="16"/>
                <w:szCs w:val="16"/>
                <w:lang w:eastAsia="en-GB"/>
              </w:rPr>
              <w:t>17</w:t>
            </w:r>
          </w:p>
        </w:tc>
        <w:tc>
          <w:tcPr>
            <w:tcW w:w="922"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IT</w:t>
            </w:r>
          </w:p>
        </w:tc>
        <w:tc>
          <w:tcPr>
            <w:tcW w:w="2245"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Pr>
                <w:rFonts w:eastAsia="Times New Roman" w:cs="Calibri"/>
                <w:color w:val="000000"/>
                <w:sz w:val="16"/>
                <w:szCs w:val="16"/>
                <w:lang w:eastAsia="en-GB"/>
              </w:rPr>
              <w:t xml:space="preserve">Lack </w:t>
            </w:r>
            <w:proofErr w:type="gramStart"/>
            <w:r>
              <w:rPr>
                <w:rFonts w:eastAsia="Times New Roman" w:cs="Calibri"/>
                <w:color w:val="000000"/>
                <w:sz w:val="16"/>
                <w:szCs w:val="16"/>
                <w:lang w:eastAsia="en-GB"/>
              </w:rPr>
              <w:t>of  link</w:t>
            </w:r>
            <w:proofErr w:type="gramEnd"/>
            <w:r>
              <w:rPr>
                <w:rFonts w:eastAsia="Times New Roman" w:cs="Calibri"/>
                <w:color w:val="000000"/>
                <w:sz w:val="16"/>
                <w:szCs w:val="16"/>
                <w:lang w:eastAsia="en-GB"/>
              </w:rPr>
              <w:t xml:space="preserve"> between Pharmacy system and PAS </w:t>
            </w:r>
            <w:r w:rsidRPr="00DB4857">
              <w:rPr>
                <w:rFonts w:eastAsia="Times New Roman" w:cs="Calibri"/>
                <w:color w:val="000000"/>
                <w:sz w:val="16"/>
                <w:szCs w:val="16"/>
                <w:lang w:eastAsia="en-GB"/>
              </w:rPr>
              <w:t>may cause problems in reconciliation of patient data/SCDS.</w:t>
            </w:r>
          </w:p>
        </w:tc>
        <w:tc>
          <w:tcPr>
            <w:tcW w:w="541" w:type="pct"/>
            <w:tcBorders>
              <w:top w:val="nil"/>
              <w:left w:val="nil"/>
              <w:bottom w:val="single" w:sz="4" w:space="0" w:color="auto"/>
              <w:right w:val="single" w:sz="4" w:space="0" w:color="auto"/>
            </w:tcBorders>
            <w:shd w:val="clear" w:color="000000" w:fill="FFC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M</w:t>
            </w:r>
          </w:p>
        </w:tc>
        <w:tc>
          <w:tcPr>
            <w:tcW w:w="540" w:type="pct"/>
            <w:tcBorders>
              <w:top w:val="nil"/>
              <w:left w:val="nil"/>
              <w:bottom w:val="single" w:sz="4" w:space="0" w:color="auto"/>
              <w:right w:val="single" w:sz="4" w:space="0" w:color="auto"/>
            </w:tcBorders>
            <w:shd w:val="clear" w:color="000000" w:fill="FFC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M</w:t>
            </w:r>
          </w:p>
        </w:tc>
        <w:tc>
          <w:tcPr>
            <w:tcW w:w="538" w:type="pct"/>
            <w:tcBorders>
              <w:top w:val="nil"/>
              <w:left w:val="nil"/>
              <w:bottom w:val="single" w:sz="4" w:space="0" w:color="auto"/>
              <w:right w:val="single" w:sz="4" w:space="0" w:color="auto"/>
            </w:tcBorders>
            <w:shd w:val="clear" w:color="000000" w:fill="FFC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M</w:t>
            </w:r>
          </w:p>
        </w:tc>
      </w:tr>
      <w:tr w:rsidR="00C04A82" w:rsidRPr="00DB4857" w:rsidTr="005007F2">
        <w:trPr>
          <w:trHeight w:val="279"/>
        </w:trPr>
        <w:tc>
          <w:tcPr>
            <w:tcW w:w="214" w:type="pct"/>
            <w:tcBorders>
              <w:top w:val="nil"/>
              <w:left w:val="single" w:sz="4" w:space="0" w:color="auto"/>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b/>
                <w:bCs/>
                <w:color w:val="000000"/>
                <w:sz w:val="16"/>
                <w:szCs w:val="16"/>
                <w:lang w:eastAsia="en-GB"/>
              </w:rPr>
            </w:pPr>
            <w:r>
              <w:rPr>
                <w:rFonts w:eastAsia="Times New Roman" w:cs="Calibri"/>
                <w:b/>
                <w:bCs/>
                <w:color w:val="000000"/>
                <w:sz w:val="16"/>
                <w:szCs w:val="16"/>
                <w:lang w:eastAsia="en-GB"/>
              </w:rPr>
              <w:t>18</w:t>
            </w:r>
          </w:p>
        </w:tc>
        <w:tc>
          <w:tcPr>
            <w:tcW w:w="922"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Finance</w:t>
            </w:r>
          </w:p>
        </w:tc>
        <w:tc>
          <w:tcPr>
            <w:tcW w:w="2245"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Change in savings from those approved in business case</w:t>
            </w:r>
          </w:p>
        </w:tc>
        <w:tc>
          <w:tcPr>
            <w:tcW w:w="541"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c>
          <w:tcPr>
            <w:tcW w:w="540"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c>
          <w:tcPr>
            <w:tcW w:w="538"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r>
      <w:tr w:rsidR="00C04A82" w:rsidRPr="00DB4857" w:rsidTr="005007F2">
        <w:trPr>
          <w:trHeight w:val="343"/>
        </w:trPr>
        <w:tc>
          <w:tcPr>
            <w:tcW w:w="214" w:type="pct"/>
            <w:tcBorders>
              <w:top w:val="nil"/>
              <w:left w:val="single" w:sz="4" w:space="0" w:color="auto"/>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b/>
                <w:bCs/>
                <w:color w:val="000000"/>
                <w:sz w:val="16"/>
                <w:szCs w:val="16"/>
                <w:lang w:eastAsia="en-GB"/>
              </w:rPr>
            </w:pPr>
            <w:r>
              <w:rPr>
                <w:rFonts w:eastAsia="Times New Roman" w:cs="Calibri"/>
                <w:b/>
                <w:bCs/>
                <w:color w:val="000000"/>
                <w:sz w:val="16"/>
                <w:szCs w:val="16"/>
                <w:lang w:eastAsia="en-GB"/>
              </w:rPr>
              <w:t>19</w:t>
            </w:r>
          </w:p>
        </w:tc>
        <w:tc>
          <w:tcPr>
            <w:tcW w:w="922"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Finance</w:t>
            </w:r>
          </w:p>
        </w:tc>
        <w:tc>
          <w:tcPr>
            <w:tcW w:w="2245"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Change to national Commissioning for High Cost Drugs</w:t>
            </w:r>
          </w:p>
        </w:tc>
        <w:tc>
          <w:tcPr>
            <w:tcW w:w="541"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c>
          <w:tcPr>
            <w:tcW w:w="540"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c>
          <w:tcPr>
            <w:tcW w:w="538" w:type="pct"/>
            <w:tcBorders>
              <w:top w:val="nil"/>
              <w:left w:val="nil"/>
              <w:bottom w:val="single" w:sz="4" w:space="0" w:color="auto"/>
              <w:right w:val="single" w:sz="4" w:space="0" w:color="auto"/>
            </w:tcBorders>
            <w:shd w:val="clear" w:color="000000" w:fill="FFC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M</w:t>
            </w:r>
          </w:p>
        </w:tc>
      </w:tr>
      <w:tr w:rsidR="00C04A82" w:rsidRPr="00DB4857" w:rsidTr="005007F2">
        <w:trPr>
          <w:trHeight w:val="404"/>
        </w:trPr>
        <w:tc>
          <w:tcPr>
            <w:tcW w:w="214" w:type="pct"/>
            <w:tcBorders>
              <w:top w:val="nil"/>
              <w:left w:val="single" w:sz="4" w:space="0" w:color="auto"/>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Pr>
                <w:rFonts w:eastAsia="Times New Roman" w:cs="Calibri"/>
                <w:color w:val="000000"/>
                <w:sz w:val="16"/>
                <w:szCs w:val="16"/>
                <w:lang w:eastAsia="en-GB"/>
              </w:rPr>
              <w:t>20</w:t>
            </w:r>
          </w:p>
        </w:tc>
        <w:tc>
          <w:tcPr>
            <w:tcW w:w="922"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Estates</w:t>
            </w:r>
          </w:p>
        </w:tc>
        <w:tc>
          <w:tcPr>
            <w:tcW w:w="2245"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Delays to building work will put at risk opening of new Pharmacy</w:t>
            </w:r>
          </w:p>
        </w:tc>
        <w:tc>
          <w:tcPr>
            <w:tcW w:w="541"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c>
          <w:tcPr>
            <w:tcW w:w="540" w:type="pct"/>
            <w:tcBorders>
              <w:top w:val="nil"/>
              <w:left w:val="nil"/>
              <w:bottom w:val="single" w:sz="4" w:space="0" w:color="auto"/>
              <w:right w:val="single" w:sz="4" w:space="0" w:color="auto"/>
            </w:tcBorders>
            <w:shd w:val="clear" w:color="000000" w:fill="FF0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H</w:t>
            </w:r>
          </w:p>
        </w:tc>
        <w:tc>
          <w:tcPr>
            <w:tcW w:w="538" w:type="pct"/>
            <w:tcBorders>
              <w:top w:val="nil"/>
              <w:left w:val="nil"/>
              <w:bottom w:val="single" w:sz="4" w:space="0" w:color="auto"/>
              <w:right w:val="single" w:sz="4" w:space="0" w:color="auto"/>
            </w:tcBorders>
            <w:shd w:val="clear" w:color="000000" w:fill="00B05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L</w:t>
            </w:r>
          </w:p>
        </w:tc>
      </w:tr>
      <w:tr w:rsidR="00C04A82" w:rsidRPr="00DB4857" w:rsidTr="005007F2">
        <w:trPr>
          <w:trHeight w:val="567"/>
        </w:trPr>
        <w:tc>
          <w:tcPr>
            <w:tcW w:w="214" w:type="pct"/>
            <w:tcBorders>
              <w:top w:val="nil"/>
              <w:left w:val="single" w:sz="4" w:space="0" w:color="auto"/>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Pr>
                <w:rFonts w:eastAsia="Times New Roman" w:cs="Calibri"/>
                <w:color w:val="000000"/>
                <w:sz w:val="16"/>
                <w:szCs w:val="16"/>
                <w:lang w:eastAsia="en-GB"/>
              </w:rPr>
              <w:t>21</w:t>
            </w:r>
          </w:p>
        </w:tc>
        <w:tc>
          <w:tcPr>
            <w:tcW w:w="922"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Recruitment</w:t>
            </w:r>
          </w:p>
        </w:tc>
        <w:tc>
          <w:tcPr>
            <w:tcW w:w="2245"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Delays to recruitment will delay training of staff and could increase risk to patients</w:t>
            </w:r>
          </w:p>
        </w:tc>
        <w:tc>
          <w:tcPr>
            <w:tcW w:w="541" w:type="pct"/>
            <w:tcBorders>
              <w:top w:val="nil"/>
              <w:left w:val="nil"/>
              <w:bottom w:val="single" w:sz="4" w:space="0" w:color="auto"/>
              <w:right w:val="single" w:sz="4" w:space="0" w:color="auto"/>
            </w:tcBorders>
            <w:shd w:val="clear" w:color="000000" w:fill="FFC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M</w:t>
            </w:r>
          </w:p>
        </w:tc>
        <w:tc>
          <w:tcPr>
            <w:tcW w:w="540" w:type="pct"/>
            <w:tcBorders>
              <w:top w:val="nil"/>
              <w:left w:val="nil"/>
              <w:bottom w:val="single" w:sz="4" w:space="0" w:color="auto"/>
              <w:right w:val="single" w:sz="4" w:space="0" w:color="auto"/>
            </w:tcBorders>
            <w:shd w:val="clear" w:color="auto" w:fill="auto"/>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M</w:t>
            </w:r>
          </w:p>
        </w:tc>
        <w:tc>
          <w:tcPr>
            <w:tcW w:w="538" w:type="pct"/>
            <w:tcBorders>
              <w:top w:val="nil"/>
              <w:left w:val="nil"/>
              <w:bottom w:val="single" w:sz="4" w:space="0" w:color="auto"/>
              <w:right w:val="single" w:sz="4" w:space="0" w:color="auto"/>
            </w:tcBorders>
            <w:shd w:val="clear" w:color="000000" w:fill="FFC000"/>
            <w:hideMark/>
          </w:tcPr>
          <w:p w:rsidR="00C04A82" w:rsidRPr="00DB4857" w:rsidRDefault="00C04A82" w:rsidP="005007F2">
            <w:pPr>
              <w:spacing w:after="0" w:line="240" w:lineRule="auto"/>
              <w:rPr>
                <w:rFonts w:eastAsia="Times New Roman" w:cs="Calibri"/>
                <w:color w:val="000000"/>
                <w:sz w:val="16"/>
                <w:szCs w:val="16"/>
                <w:lang w:eastAsia="en-GB"/>
              </w:rPr>
            </w:pPr>
            <w:r w:rsidRPr="00DB4857">
              <w:rPr>
                <w:rFonts w:eastAsia="Times New Roman" w:cs="Calibri"/>
                <w:color w:val="000000"/>
                <w:sz w:val="16"/>
                <w:szCs w:val="16"/>
                <w:lang w:eastAsia="en-GB"/>
              </w:rPr>
              <w:t>M</w:t>
            </w:r>
          </w:p>
        </w:tc>
      </w:tr>
    </w:tbl>
    <w:p w:rsidR="00106706" w:rsidRDefault="00106706" w:rsidP="0095512F">
      <w:pPr>
        <w:pStyle w:val="NoSpacing"/>
      </w:pPr>
    </w:p>
    <w:p w:rsidR="00106706" w:rsidRDefault="00106706" w:rsidP="0095512F">
      <w:pPr>
        <w:pStyle w:val="NoSpacing"/>
      </w:pPr>
    </w:p>
    <w:p w:rsidR="0095512F" w:rsidRPr="00DB4857" w:rsidRDefault="00106706" w:rsidP="0095512F">
      <w:pPr>
        <w:pStyle w:val="NoSpacing"/>
        <w:rPr>
          <w:color w:val="FF0000"/>
        </w:rPr>
      </w:pPr>
      <w:r w:rsidRPr="0095512F">
        <w:rPr>
          <w:u w:val="single"/>
        </w:rPr>
        <w:t xml:space="preserve"> </w:t>
      </w:r>
      <w:r w:rsidR="00DB2D8F" w:rsidRPr="0095512F">
        <w:rPr>
          <w:u w:val="single"/>
        </w:rPr>
        <w:t>Lessons Learned</w:t>
      </w:r>
      <w:r w:rsidR="00DB2D8F" w:rsidRPr="0095512F">
        <w:rPr>
          <w:b/>
          <w:u w:val="single"/>
        </w:rPr>
        <w:t xml:space="preserve"> </w:t>
      </w:r>
      <w:r w:rsidR="0095512F" w:rsidRPr="0095512F">
        <w:rPr>
          <w:u w:val="single"/>
        </w:rPr>
        <w:t>around Implementing a Service</w:t>
      </w:r>
      <w:r w:rsidR="00DB2D8F" w:rsidRPr="0095512F">
        <w:br/>
      </w:r>
      <w:proofErr w:type="gramStart"/>
      <w:r w:rsidR="0095512F" w:rsidRPr="0095512F">
        <w:t>The</w:t>
      </w:r>
      <w:proofErr w:type="gramEnd"/>
      <w:r w:rsidR="0095512F" w:rsidRPr="0095512F">
        <w:t xml:space="preserve"> group collected together lessons learned from their experiences of implementing an outsourced service.  These can be summarised</w:t>
      </w:r>
      <w:r w:rsidR="0095512F">
        <w:t xml:space="preserve"> as follows:-</w:t>
      </w:r>
    </w:p>
    <w:p w:rsidR="0095512F" w:rsidRPr="0095512F" w:rsidRDefault="0095512F" w:rsidP="0095512F">
      <w:pPr>
        <w:pStyle w:val="NoSpacing"/>
      </w:pPr>
    </w:p>
    <w:p w:rsidR="0095512F" w:rsidRDefault="0095512F" w:rsidP="0095512F">
      <w:pPr>
        <w:pStyle w:val="NoSpacing"/>
        <w:numPr>
          <w:ilvl w:val="0"/>
          <w:numId w:val="29"/>
        </w:numPr>
      </w:pPr>
      <w:r w:rsidRPr="0095512F">
        <w:t xml:space="preserve">General Feedback    </w:t>
      </w:r>
    </w:p>
    <w:p w:rsidR="0095512F" w:rsidRDefault="0095512F" w:rsidP="0095512F">
      <w:pPr>
        <w:pStyle w:val="NoSpacing"/>
        <w:numPr>
          <w:ilvl w:val="1"/>
          <w:numId w:val="29"/>
        </w:numPr>
      </w:pPr>
      <w:r w:rsidRPr="0095512F">
        <w:t xml:space="preserve">Excellent working relationships, </w:t>
      </w:r>
      <w:proofErr w:type="spellStart"/>
      <w:r w:rsidRPr="0095512F">
        <w:t>ongoing</w:t>
      </w:r>
      <w:proofErr w:type="spellEnd"/>
      <w:r w:rsidRPr="0095512F">
        <w:t xml:space="preserve"> communication and trust between the commercial pharmacy and Trust pharmacy staff are essential to form a true partnership.</w:t>
      </w:r>
      <w:r>
        <w:t xml:space="preserve">  This s</w:t>
      </w:r>
      <w:r w:rsidRPr="0095512F">
        <w:t>tarts with the planning stage which involves collabo</w:t>
      </w:r>
      <w:r>
        <w:t xml:space="preserve">rative working with estates, IT, finance, procurement </w:t>
      </w:r>
      <w:r w:rsidRPr="0095512F">
        <w:t>and communications.</w:t>
      </w:r>
    </w:p>
    <w:p w:rsidR="0095512F" w:rsidRDefault="0095512F" w:rsidP="0095512F">
      <w:pPr>
        <w:pStyle w:val="NoSpacing"/>
        <w:numPr>
          <w:ilvl w:val="1"/>
          <w:numId w:val="29"/>
        </w:numPr>
      </w:pPr>
      <w:r>
        <w:t xml:space="preserve">Implementing the arrangements from contract award requires at least 6 months </w:t>
      </w:r>
      <w:proofErr w:type="gramStart"/>
      <w:r>
        <w:t>to be</w:t>
      </w:r>
      <w:proofErr w:type="gramEnd"/>
      <w:r>
        <w:t xml:space="preserve"> effective.</w:t>
      </w:r>
    </w:p>
    <w:p w:rsidR="0095512F" w:rsidRDefault="0095512F" w:rsidP="0095512F">
      <w:pPr>
        <w:pStyle w:val="NoSpacing"/>
        <w:numPr>
          <w:ilvl w:val="0"/>
          <w:numId w:val="29"/>
        </w:numPr>
      </w:pPr>
      <w:r w:rsidRPr="0095512F">
        <w:t>General Planning/meetings</w:t>
      </w:r>
    </w:p>
    <w:p w:rsidR="0095512F" w:rsidRDefault="0095512F" w:rsidP="0095512F">
      <w:pPr>
        <w:pStyle w:val="NoSpacing"/>
        <w:numPr>
          <w:ilvl w:val="1"/>
          <w:numId w:val="29"/>
        </w:numPr>
      </w:pPr>
      <w:r w:rsidRPr="0095512F">
        <w:t>Trust</w:t>
      </w:r>
      <w:r>
        <w:t xml:space="preserve"> </w:t>
      </w:r>
      <w:proofErr w:type="gramStart"/>
      <w:r>
        <w:t>staff need</w:t>
      </w:r>
      <w:proofErr w:type="gramEnd"/>
      <w:r>
        <w:t xml:space="preserve"> to be</w:t>
      </w:r>
      <w:r w:rsidR="00725F62">
        <w:t xml:space="preserve"> fully engag</w:t>
      </w:r>
      <w:r>
        <w:t>ed</w:t>
      </w:r>
      <w:r w:rsidRPr="0095512F">
        <w:t xml:space="preserve"> with</w:t>
      </w:r>
      <w:r w:rsidR="00725F62">
        <w:t xml:space="preserve"> setting</w:t>
      </w:r>
      <w:r w:rsidRPr="0095512F">
        <w:t xml:space="preserve"> priorities in </w:t>
      </w:r>
      <w:r w:rsidR="00725F62">
        <w:t>work streams and in agreeing the timelines for progress.</w:t>
      </w:r>
    </w:p>
    <w:p w:rsidR="00725F62" w:rsidRDefault="0095512F" w:rsidP="0095512F">
      <w:pPr>
        <w:pStyle w:val="NoSpacing"/>
        <w:numPr>
          <w:ilvl w:val="1"/>
          <w:numId w:val="29"/>
        </w:numPr>
      </w:pPr>
      <w:r>
        <w:t>Weekly steering g</w:t>
      </w:r>
      <w:r w:rsidR="0036369A">
        <w:t>roup meetings are</w:t>
      </w:r>
      <w:r w:rsidRPr="0095512F">
        <w:t xml:space="preserve"> essential. </w:t>
      </w:r>
    </w:p>
    <w:p w:rsidR="00725F62" w:rsidRDefault="00725F62" w:rsidP="0095512F">
      <w:pPr>
        <w:pStyle w:val="NoSpacing"/>
        <w:numPr>
          <w:ilvl w:val="0"/>
          <w:numId w:val="29"/>
        </w:numPr>
      </w:pPr>
      <w:r>
        <w:t>Training for Contractor</w:t>
      </w:r>
      <w:r w:rsidR="0095512F" w:rsidRPr="00725F62">
        <w:t xml:space="preserve"> staff</w:t>
      </w:r>
    </w:p>
    <w:p w:rsidR="00725F62" w:rsidRDefault="00725F62" w:rsidP="0095512F">
      <w:pPr>
        <w:pStyle w:val="NoSpacing"/>
        <w:numPr>
          <w:ilvl w:val="1"/>
          <w:numId w:val="29"/>
        </w:numPr>
      </w:pPr>
      <w:r>
        <w:t>Contractor</w:t>
      </w:r>
      <w:r w:rsidR="0036369A">
        <w:t xml:space="preserve"> staff training with t</w:t>
      </w:r>
      <w:r w:rsidR="0095512F" w:rsidRPr="0095512F">
        <w:t xml:space="preserve">rust pharmacy staff </w:t>
      </w:r>
      <w:r>
        <w:t xml:space="preserve">is vital </w:t>
      </w:r>
      <w:r w:rsidR="0036369A">
        <w:t xml:space="preserve">to </w:t>
      </w:r>
      <w:proofErr w:type="gramStart"/>
      <w:r w:rsidR="0036369A">
        <w:t xml:space="preserve">give </w:t>
      </w:r>
      <w:r>
        <w:t xml:space="preserve"> a</w:t>
      </w:r>
      <w:proofErr w:type="gramEnd"/>
      <w:r>
        <w:t xml:space="preserve"> good grounding in the culture and work practices of the trust.</w:t>
      </w:r>
    </w:p>
    <w:p w:rsidR="0095512F" w:rsidRDefault="00725F62" w:rsidP="0095512F">
      <w:pPr>
        <w:pStyle w:val="NoSpacing"/>
        <w:numPr>
          <w:ilvl w:val="1"/>
          <w:numId w:val="29"/>
        </w:numPr>
      </w:pPr>
      <w:r>
        <w:t xml:space="preserve">Training should concentrate on IT systems </w:t>
      </w:r>
      <w:proofErr w:type="gramStart"/>
      <w:r>
        <w:t xml:space="preserve">( </w:t>
      </w:r>
      <w:r w:rsidR="0036369A">
        <w:t>pharmacy</w:t>
      </w:r>
      <w:proofErr w:type="gramEnd"/>
      <w:r w:rsidR="0036369A">
        <w:t xml:space="preserve"> system, e trading,</w:t>
      </w:r>
      <w:r>
        <w:t>).</w:t>
      </w:r>
    </w:p>
    <w:p w:rsidR="00725F62" w:rsidRDefault="00725F62" w:rsidP="0095512F">
      <w:pPr>
        <w:pStyle w:val="NoSpacing"/>
        <w:numPr>
          <w:ilvl w:val="1"/>
          <w:numId w:val="29"/>
        </w:numPr>
      </w:pPr>
      <w:r>
        <w:t>Training in the pharmacy system (if it is being used) is vital and should be undertaken by tru</w:t>
      </w:r>
      <w:r w:rsidR="0036369A">
        <w:t>st pharmacy staff</w:t>
      </w:r>
      <w:r>
        <w:t>.  The training for provider managers needs to include the reporting systems.</w:t>
      </w:r>
    </w:p>
    <w:p w:rsidR="00725F62" w:rsidRDefault="00725F62" w:rsidP="0095512F">
      <w:pPr>
        <w:pStyle w:val="NoSpacing"/>
        <w:numPr>
          <w:ilvl w:val="1"/>
          <w:numId w:val="29"/>
        </w:numPr>
      </w:pPr>
      <w:r>
        <w:t>There should be considerable support from trust pharmacy staff over the first few weeks of operation.</w:t>
      </w:r>
    </w:p>
    <w:p w:rsidR="00622857" w:rsidRDefault="000223D9" w:rsidP="0095512F">
      <w:pPr>
        <w:pStyle w:val="NoSpacing"/>
        <w:numPr>
          <w:ilvl w:val="1"/>
          <w:numId w:val="29"/>
        </w:numPr>
      </w:pPr>
      <w:r>
        <w:t xml:space="preserve">There should be weekly IT </w:t>
      </w:r>
      <w:r w:rsidR="001C52C3">
        <w:t>conference</w:t>
      </w:r>
      <w:r>
        <w:t xml:space="preserve"> calls during implementation to keep the </w:t>
      </w:r>
      <w:r w:rsidR="001C52C3">
        <w:t>work stream</w:t>
      </w:r>
      <w:r>
        <w:t xml:space="preserve"> on track.</w:t>
      </w:r>
    </w:p>
    <w:p w:rsidR="00622857" w:rsidRDefault="00622857" w:rsidP="0095512F">
      <w:pPr>
        <w:pStyle w:val="NoSpacing"/>
        <w:numPr>
          <w:ilvl w:val="0"/>
          <w:numId w:val="29"/>
        </w:numPr>
      </w:pPr>
      <w:r>
        <w:t>IT Issues</w:t>
      </w:r>
    </w:p>
    <w:p w:rsidR="00622857" w:rsidRDefault="0095512F" w:rsidP="0095512F">
      <w:pPr>
        <w:pStyle w:val="NoSpacing"/>
        <w:numPr>
          <w:ilvl w:val="1"/>
          <w:numId w:val="29"/>
        </w:numPr>
      </w:pPr>
      <w:r w:rsidRPr="0095512F">
        <w:lastRenderedPageBreak/>
        <w:t>Providing the drug file for</w:t>
      </w:r>
      <w:r w:rsidR="00622857">
        <w:t xml:space="preserve"> the pharmacy system locality can be a major issue and can take months to be resolved. </w:t>
      </w:r>
    </w:p>
    <w:p w:rsidR="00622857" w:rsidRDefault="00622857" w:rsidP="0095512F">
      <w:pPr>
        <w:pStyle w:val="NoSpacing"/>
        <w:numPr>
          <w:ilvl w:val="1"/>
          <w:numId w:val="29"/>
        </w:numPr>
      </w:pPr>
      <w:r>
        <w:t>Staff entering any data relating to medicines should be local and hence familiar with the process and drug names.  Do not outsource this task!</w:t>
      </w:r>
    </w:p>
    <w:p w:rsidR="00622857" w:rsidRDefault="00622857" w:rsidP="0095512F">
      <w:pPr>
        <w:pStyle w:val="NoSpacing"/>
        <w:numPr>
          <w:ilvl w:val="1"/>
          <w:numId w:val="29"/>
        </w:numPr>
      </w:pPr>
      <w:r>
        <w:t>Trust IT department may</w:t>
      </w:r>
      <w:r w:rsidR="0095512F" w:rsidRPr="0095512F">
        <w:t xml:space="preserve"> </w:t>
      </w:r>
      <w:r>
        <w:t xml:space="preserve">be </w:t>
      </w:r>
      <w:r w:rsidR="0095512F" w:rsidRPr="0095512F">
        <w:t xml:space="preserve">not familiar with </w:t>
      </w:r>
      <w:r>
        <w:t xml:space="preserve">contractor IT systems hence may be </w:t>
      </w:r>
      <w:r w:rsidR="0095512F" w:rsidRPr="0095512F">
        <w:t>unable</w:t>
      </w:r>
      <w:r>
        <w:t xml:space="preserve"> to help with training and support</w:t>
      </w:r>
      <w:r w:rsidR="0095512F" w:rsidRPr="0095512F">
        <w:t xml:space="preserve">. </w:t>
      </w:r>
    </w:p>
    <w:p w:rsidR="004824E9" w:rsidRDefault="00622857" w:rsidP="0095512F">
      <w:pPr>
        <w:pStyle w:val="NoSpacing"/>
        <w:numPr>
          <w:ilvl w:val="1"/>
          <w:numId w:val="29"/>
        </w:numPr>
      </w:pPr>
      <w:r>
        <w:t xml:space="preserve">Information is </w:t>
      </w:r>
      <w:proofErr w:type="gramStart"/>
      <w:r>
        <w:t xml:space="preserve">needed </w:t>
      </w:r>
      <w:r w:rsidR="0095512F" w:rsidRPr="0095512F">
        <w:t xml:space="preserve"> to</w:t>
      </w:r>
      <w:proofErr w:type="gramEnd"/>
      <w:r w:rsidR="0095512F" w:rsidRPr="0095512F">
        <w:t xml:space="preserve"> understand server requirements, connectivity, capacity and cost implications. </w:t>
      </w:r>
    </w:p>
    <w:p w:rsidR="004824E9" w:rsidRDefault="004824E9" w:rsidP="0095512F">
      <w:pPr>
        <w:pStyle w:val="NoSpacing"/>
        <w:numPr>
          <w:ilvl w:val="1"/>
          <w:numId w:val="29"/>
        </w:numPr>
      </w:pPr>
      <w:r>
        <w:t>These issues MUST be resolved before going live.</w:t>
      </w:r>
    </w:p>
    <w:p w:rsidR="004824E9" w:rsidRDefault="0095512F" w:rsidP="0095512F">
      <w:pPr>
        <w:pStyle w:val="NoSpacing"/>
        <w:numPr>
          <w:ilvl w:val="0"/>
          <w:numId w:val="29"/>
        </w:numPr>
      </w:pPr>
      <w:r w:rsidRPr="004824E9">
        <w:t>Operational issues</w:t>
      </w:r>
    </w:p>
    <w:p w:rsidR="004824E9" w:rsidRDefault="0095512F" w:rsidP="0095512F">
      <w:pPr>
        <w:pStyle w:val="NoSpacing"/>
        <w:numPr>
          <w:ilvl w:val="1"/>
          <w:numId w:val="29"/>
        </w:numPr>
      </w:pPr>
      <w:r w:rsidRPr="004824E9">
        <w:t>Procurement</w:t>
      </w:r>
    </w:p>
    <w:p w:rsidR="001C52C3" w:rsidRDefault="001C52C3" w:rsidP="0095512F">
      <w:pPr>
        <w:pStyle w:val="NoSpacing"/>
        <w:numPr>
          <w:ilvl w:val="2"/>
          <w:numId w:val="29"/>
        </w:numPr>
      </w:pPr>
      <w:r>
        <w:t xml:space="preserve">Medicine suppliers need to be contacted to confirm that trust contract prices will be made available to the contractor.  </w:t>
      </w:r>
      <w:r w:rsidR="005007F2">
        <w:t>The Commercial Medicines Unit (</w:t>
      </w:r>
      <w:r>
        <w:t>CMU</w:t>
      </w:r>
      <w:r w:rsidR="005007F2">
        <w:t>) who arrange contracts for hospitals in England</w:t>
      </w:r>
      <w:r>
        <w:t xml:space="preserve"> have devised a standard letter for this.  This process should be completed well before the start of the service.</w:t>
      </w:r>
    </w:p>
    <w:p w:rsidR="004824E9" w:rsidRDefault="001C52C3" w:rsidP="0095512F">
      <w:pPr>
        <w:pStyle w:val="NoSpacing"/>
        <w:numPr>
          <w:ilvl w:val="2"/>
          <w:numId w:val="29"/>
        </w:numPr>
      </w:pPr>
      <w:r>
        <w:t xml:space="preserve">Trust pharmacy procurement </w:t>
      </w:r>
      <w:proofErr w:type="gramStart"/>
      <w:r>
        <w:t>staff need</w:t>
      </w:r>
      <w:proofErr w:type="gramEnd"/>
      <w:r>
        <w:t xml:space="preserve"> to assist the contractor in ensuring the correct mix of products in suitable quantities are stocked prior to the start of the service.  Equally trust stocking levels need to be reduced to take account of the reduction in demand.</w:t>
      </w:r>
    </w:p>
    <w:p w:rsidR="004824E9" w:rsidRDefault="001C52C3" w:rsidP="0095512F">
      <w:pPr>
        <w:pStyle w:val="NoSpacing"/>
        <w:numPr>
          <w:ilvl w:val="2"/>
          <w:numId w:val="29"/>
        </w:numPr>
      </w:pPr>
      <w:r>
        <w:t>Suitable arrangements need to be put in place for sharing out of stock items between the trust and the contractor, especially during the first few weeks of service.</w:t>
      </w:r>
    </w:p>
    <w:p w:rsidR="004824E9" w:rsidRDefault="001C52C3" w:rsidP="0095512F">
      <w:pPr>
        <w:pStyle w:val="NoSpacing"/>
        <w:numPr>
          <w:ilvl w:val="2"/>
          <w:numId w:val="29"/>
        </w:numPr>
      </w:pPr>
      <w:r>
        <w:t>Arrangements need to be put in place to ensure changes to trust medicine contracts are communicated to the contractor in good time.</w:t>
      </w:r>
      <w:r w:rsidR="004824E9">
        <w:t xml:space="preserve"> </w:t>
      </w:r>
    </w:p>
    <w:p w:rsidR="004824E9" w:rsidRDefault="0095512F" w:rsidP="0095512F">
      <w:pPr>
        <w:pStyle w:val="NoSpacing"/>
        <w:numPr>
          <w:ilvl w:val="1"/>
          <w:numId w:val="29"/>
        </w:numPr>
      </w:pPr>
      <w:r w:rsidRPr="004824E9">
        <w:t>Operational issues</w:t>
      </w:r>
    </w:p>
    <w:p w:rsidR="007113F6" w:rsidRDefault="007113F6" w:rsidP="007113F6">
      <w:pPr>
        <w:pStyle w:val="NoSpacing"/>
        <w:numPr>
          <w:ilvl w:val="2"/>
          <w:numId w:val="29"/>
        </w:numPr>
      </w:pPr>
      <w:r>
        <w:t>S</w:t>
      </w:r>
      <w:r w:rsidRPr="004824E9">
        <w:t>ignage</w:t>
      </w:r>
      <w:r>
        <w:t xml:space="preserve"> is often an issue and should be addressed early. </w:t>
      </w:r>
    </w:p>
    <w:p w:rsidR="004824E9" w:rsidRDefault="0095512F" w:rsidP="0095512F">
      <w:pPr>
        <w:pStyle w:val="NoSpacing"/>
        <w:numPr>
          <w:ilvl w:val="2"/>
          <w:numId w:val="29"/>
        </w:numPr>
      </w:pPr>
      <w:r w:rsidRPr="004824E9">
        <w:t>A phase</w:t>
      </w:r>
      <w:r w:rsidR="00E74CCD">
        <w:t>d transfer of outpatients might</w:t>
      </w:r>
      <w:r w:rsidRPr="004824E9">
        <w:t xml:space="preserve"> be considered over </w:t>
      </w:r>
      <w:r w:rsidR="00E74CCD">
        <w:t>the first few</w:t>
      </w:r>
      <w:r w:rsidRPr="004824E9">
        <w:t xml:space="preserve"> month</w:t>
      </w:r>
      <w:r w:rsidR="00E74CCD">
        <w:t>s of opening.</w:t>
      </w:r>
    </w:p>
    <w:p w:rsidR="007113F6" w:rsidRPr="007113F6" w:rsidRDefault="0095512F" w:rsidP="007113F6">
      <w:pPr>
        <w:pStyle w:val="NoSpacing"/>
        <w:numPr>
          <w:ilvl w:val="2"/>
          <w:numId w:val="29"/>
        </w:numPr>
      </w:pPr>
      <w:r w:rsidRPr="004824E9">
        <w:t>A two or three day pre-o</w:t>
      </w:r>
      <w:r w:rsidR="007113F6">
        <w:t>pening ‘dry run’ might be</w:t>
      </w:r>
      <w:r w:rsidRPr="004824E9">
        <w:t xml:space="preserve"> useful to test if stock was available an</w:t>
      </w:r>
      <w:r w:rsidR="004824E9">
        <w:t>d systems operational</w:t>
      </w:r>
      <w:r w:rsidR="007113F6">
        <w:t>.</w:t>
      </w:r>
      <w:r w:rsidR="007113F6" w:rsidRPr="007113F6">
        <w:t xml:space="preserve"> </w:t>
      </w:r>
      <w:r w:rsidR="007113F6">
        <w:t xml:space="preserve">  </w:t>
      </w:r>
      <w:r w:rsidR="007113F6" w:rsidRPr="007113F6">
        <w:t>It is worth undertaking a dummy run with “practice” prescriptions of different types to unearth teething difficulties.</w:t>
      </w:r>
    </w:p>
    <w:p w:rsidR="00DB2D8F" w:rsidRDefault="0095512F" w:rsidP="00DB2D8F">
      <w:pPr>
        <w:pStyle w:val="NoSpacing"/>
        <w:numPr>
          <w:ilvl w:val="2"/>
          <w:numId w:val="29"/>
        </w:numPr>
      </w:pPr>
      <w:r w:rsidRPr="004824E9">
        <w:t>There needs to be</w:t>
      </w:r>
      <w:r w:rsidR="007113F6">
        <w:t xml:space="preserve"> a clear</w:t>
      </w:r>
      <w:r w:rsidRPr="004824E9">
        <w:t xml:space="preserve"> processes for managing and invoicing </w:t>
      </w:r>
      <w:r w:rsidR="00E2089A">
        <w:t>so called pass through medicines (</w:t>
      </w:r>
      <w:proofErr w:type="spellStart"/>
      <w:r w:rsidRPr="004824E9">
        <w:t>PbR</w:t>
      </w:r>
      <w:proofErr w:type="spellEnd"/>
      <w:r w:rsidRPr="004824E9">
        <w:t xml:space="preserve"> excluded drug</w:t>
      </w:r>
      <w:r w:rsidR="004824E9">
        <w:t>s</w:t>
      </w:r>
      <w:r w:rsidR="007113F6">
        <w:t xml:space="preserve">, </w:t>
      </w:r>
      <w:r w:rsidR="005007F2">
        <w:t>innovative pricing schemes (</w:t>
      </w:r>
      <w:r w:rsidR="007113F6">
        <w:t>PAS schemes</w:t>
      </w:r>
      <w:r w:rsidR="005007F2">
        <w:t xml:space="preserve"> </w:t>
      </w:r>
      <w:r w:rsidR="00E2089A">
        <w:t xml:space="preserve">see below) </w:t>
      </w:r>
      <w:r w:rsidR="007113F6">
        <w:t xml:space="preserve"> and </w:t>
      </w:r>
      <w:r w:rsidR="00E2089A">
        <w:t xml:space="preserve">the </w:t>
      </w:r>
      <w:r w:rsidR="007113F6">
        <w:t>other complex pricing systems unique to the NHS!</w:t>
      </w:r>
    </w:p>
    <w:p w:rsidR="00DB2D8F" w:rsidRDefault="00DB2D8F" w:rsidP="00DB2D8F">
      <w:pPr>
        <w:pStyle w:val="NoSpacing"/>
      </w:pPr>
    </w:p>
    <w:p w:rsidR="002E5732" w:rsidRDefault="00451B6D" w:rsidP="00292F13">
      <w:pPr>
        <w:pStyle w:val="NoSpacing"/>
      </w:pPr>
      <w:r>
        <w:rPr>
          <w:u w:val="single"/>
        </w:rPr>
        <w:t xml:space="preserve">Dealing with Patient Access Schemes (PAS) </w:t>
      </w:r>
      <w:r w:rsidR="00B00C7F">
        <w:rPr>
          <w:u w:val="single"/>
        </w:rPr>
        <w:t>and PBR excluded medicines.</w:t>
      </w:r>
      <w:r w:rsidR="00DB2D8F">
        <w:br/>
      </w:r>
      <w:r w:rsidR="00B00C7F">
        <w:t>Issues of P</w:t>
      </w:r>
      <w:r w:rsidR="002E5732">
        <w:t xml:space="preserve">BR medicines need to be logged at </w:t>
      </w:r>
      <w:r w:rsidR="00106706">
        <w:t xml:space="preserve">patient </w:t>
      </w:r>
      <w:r w:rsidR="002E5732">
        <w:t>level so</w:t>
      </w:r>
      <w:r w:rsidR="00B00C7F">
        <w:t xml:space="preserve"> the appropriate commissio</w:t>
      </w:r>
      <w:r w:rsidR="002E5732">
        <w:t>ner can be invoiced</w:t>
      </w:r>
      <w:r w:rsidR="00B00C7F">
        <w:t xml:space="preserve">.  </w:t>
      </w:r>
    </w:p>
    <w:p w:rsidR="002E5732" w:rsidRDefault="00B00C7F" w:rsidP="003E099C">
      <w:pPr>
        <w:pStyle w:val="NoSpacing"/>
      </w:pPr>
      <w:r>
        <w:t xml:space="preserve"> Trusts need to ensure that providers are aware of the</w:t>
      </w:r>
      <w:r w:rsidR="002E5732">
        <w:t xml:space="preserve"> PAS</w:t>
      </w:r>
      <w:r>
        <w:t xml:space="preserve"> schemes </w:t>
      </w:r>
      <w:r w:rsidR="002E5732">
        <w:t>the trust has</w:t>
      </w:r>
      <w:r>
        <w:t xml:space="preserve"> signed up to, understand and respect the confidentiality of the arrangements and can access the correct price (or free stock) as appropriate.  Providers need to be able to administer these schemes appropriately.  This may involve keeping patient logs etc.  Providers need to understand the confidentiality of these patient records.  Finally appropriate charges need to be identified so that the trust can invoice the commissioner appropriately. [Most of th</w:t>
      </w:r>
      <w:r w:rsidR="002E5732">
        <w:t>ese medicines are PBR excluded].</w:t>
      </w:r>
    </w:p>
    <w:p w:rsidR="003E099C" w:rsidRDefault="00AC38DE" w:rsidP="003E099C">
      <w:pPr>
        <w:pStyle w:val="NoSpacing"/>
      </w:pPr>
      <w:r w:rsidRPr="00292F13">
        <w:rPr>
          <w:u w:val="single"/>
        </w:rPr>
        <w:t>Collection</w:t>
      </w:r>
      <w:r w:rsidR="007A5110">
        <w:rPr>
          <w:u w:val="single"/>
        </w:rPr>
        <w:t xml:space="preserve"> of </w:t>
      </w:r>
      <w:proofErr w:type="gramStart"/>
      <w:r w:rsidR="007A5110">
        <w:rPr>
          <w:u w:val="single"/>
        </w:rPr>
        <w:t xml:space="preserve">Prescription </w:t>
      </w:r>
      <w:r w:rsidRPr="00292F13">
        <w:rPr>
          <w:u w:val="single"/>
        </w:rPr>
        <w:t xml:space="preserve"> Charges</w:t>
      </w:r>
      <w:proofErr w:type="gramEnd"/>
      <w:r w:rsidRPr="00AC38DE">
        <w:rPr>
          <w:b/>
        </w:rPr>
        <w:t xml:space="preserve"> </w:t>
      </w:r>
      <w:r w:rsidRPr="00AC38DE">
        <w:rPr>
          <w:b/>
        </w:rPr>
        <w:br/>
      </w:r>
      <w:r w:rsidR="009C0916">
        <w:t xml:space="preserve">Although the survey size is small (5 trusts) they represented the three main service providers (Lloyds Boots and </w:t>
      </w:r>
      <w:proofErr w:type="spellStart"/>
      <w:r w:rsidR="009C0916">
        <w:t>Sainsburys</w:t>
      </w:r>
      <w:proofErr w:type="spellEnd"/>
      <w:r w:rsidR="009C0916">
        <w:t>).</w:t>
      </w:r>
    </w:p>
    <w:p w:rsidR="009C0916" w:rsidRDefault="009C0916" w:rsidP="003E099C">
      <w:pPr>
        <w:pStyle w:val="NoSpacing"/>
        <w:numPr>
          <w:ilvl w:val="0"/>
          <w:numId w:val="15"/>
        </w:numPr>
      </w:pPr>
      <w:r>
        <w:t>In all cases the provider credits the trust with the payments on a monthly basis.</w:t>
      </w:r>
    </w:p>
    <w:p w:rsidR="009C0916" w:rsidRDefault="009C0916" w:rsidP="003E099C">
      <w:pPr>
        <w:pStyle w:val="NoSpacing"/>
        <w:numPr>
          <w:ilvl w:val="0"/>
          <w:numId w:val="15"/>
        </w:numPr>
      </w:pPr>
      <w:r>
        <w:t>If patients are unable to pay immediately most sites supply the medications and make arrangements to col</w:t>
      </w:r>
      <w:r w:rsidR="003E099C">
        <w:t>lect the money at a later date</w:t>
      </w:r>
      <w:r>
        <w:t>.  One supplies one day only (three at a weekend) and asks the patient to return.</w:t>
      </w:r>
    </w:p>
    <w:p w:rsidR="003E099C" w:rsidRDefault="003E099C" w:rsidP="003E099C">
      <w:pPr>
        <w:pStyle w:val="NoSpacing"/>
        <w:numPr>
          <w:ilvl w:val="0"/>
          <w:numId w:val="15"/>
        </w:numPr>
      </w:pPr>
      <w:r>
        <w:lastRenderedPageBreak/>
        <w:t xml:space="preserve">If a patient cannot provide evidence of exemption most trusts get </w:t>
      </w:r>
      <w:proofErr w:type="spellStart"/>
      <w:r>
        <w:t>he</w:t>
      </w:r>
      <w:proofErr w:type="spellEnd"/>
      <w:r>
        <w:t xml:space="preserve"> patient to sign a form stating exemption and then supply the medicines.  One site requires patients to pay and reclaim the payment on provision of the evidence.</w:t>
      </w:r>
    </w:p>
    <w:p w:rsidR="00FF6429" w:rsidRDefault="003E099C" w:rsidP="00FF6429">
      <w:pPr>
        <w:pStyle w:val="NoSpacing"/>
        <w:numPr>
          <w:ilvl w:val="0"/>
          <w:numId w:val="15"/>
        </w:numPr>
      </w:pPr>
      <w:r>
        <w:t>In most cases trusts saw a rise in revenue from prescription charges after outsourcing.  That is it would appear the providers are more rigorous in collecting prescription charges.  One saw no change.</w:t>
      </w:r>
    </w:p>
    <w:p w:rsidR="00FF6429" w:rsidRPr="00FF6429" w:rsidRDefault="00FF6429" w:rsidP="00FF6429">
      <w:pPr>
        <w:pStyle w:val="NoSpacing"/>
      </w:pPr>
    </w:p>
    <w:p w:rsidR="0012659D" w:rsidRPr="00D0037D" w:rsidRDefault="00AC38DE" w:rsidP="0012659D">
      <w:pPr>
        <w:pStyle w:val="Footer"/>
        <w:tabs>
          <w:tab w:val="clear" w:pos="4153"/>
          <w:tab w:val="clear" w:pos="8306"/>
        </w:tabs>
        <w:rPr>
          <w:rFonts w:ascii="Calibri" w:hAnsi="Calibri" w:cs="Calibri"/>
          <w:sz w:val="22"/>
          <w:szCs w:val="22"/>
        </w:rPr>
      </w:pPr>
      <w:r w:rsidRPr="00D0037D">
        <w:rPr>
          <w:rFonts w:ascii="Calibri" w:hAnsi="Calibri" w:cs="Calibri"/>
          <w:sz w:val="22"/>
          <w:szCs w:val="22"/>
          <w:u w:val="single"/>
        </w:rPr>
        <w:t>Business Cases</w:t>
      </w:r>
      <w:r w:rsidRPr="00D0037D">
        <w:rPr>
          <w:rFonts w:ascii="Calibri" w:hAnsi="Calibri" w:cs="Calibri"/>
          <w:b/>
          <w:sz w:val="22"/>
          <w:szCs w:val="22"/>
        </w:rPr>
        <w:br/>
      </w:r>
      <w:proofErr w:type="gramStart"/>
      <w:r w:rsidR="0012659D" w:rsidRPr="00D0037D">
        <w:rPr>
          <w:rFonts w:ascii="Calibri" w:hAnsi="Calibri" w:cs="Calibri"/>
          <w:sz w:val="22"/>
          <w:szCs w:val="22"/>
        </w:rPr>
        <w:t>The</w:t>
      </w:r>
      <w:proofErr w:type="gramEnd"/>
      <w:r w:rsidR="0012659D" w:rsidRPr="00D0037D">
        <w:rPr>
          <w:rFonts w:ascii="Calibri" w:hAnsi="Calibri" w:cs="Calibri"/>
          <w:sz w:val="22"/>
          <w:szCs w:val="22"/>
        </w:rPr>
        <w:t xml:space="preserve"> group have considered a number of examples of business cases that m</w:t>
      </w:r>
      <w:r w:rsidR="00236842">
        <w:rPr>
          <w:rFonts w:ascii="Calibri" w:hAnsi="Calibri" w:cs="Calibri"/>
          <w:sz w:val="22"/>
          <w:szCs w:val="22"/>
        </w:rPr>
        <w:t>embers have used.  From these the group has</w:t>
      </w:r>
      <w:r w:rsidR="0012659D" w:rsidRPr="00D0037D">
        <w:rPr>
          <w:rFonts w:ascii="Calibri" w:hAnsi="Calibri" w:cs="Calibri"/>
          <w:sz w:val="22"/>
          <w:szCs w:val="22"/>
        </w:rPr>
        <w:t xml:space="preserve"> drawn up a template that </w:t>
      </w:r>
      <w:r w:rsidR="00236842">
        <w:rPr>
          <w:rFonts w:ascii="Calibri" w:hAnsi="Calibri" w:cs="Calibri"/>
          <w:sz w:val="22"/>
          <w:szCs w:val="22"/>
        </w:rPr>
        <w:t xml:space="preserve">we feel </w:t>
      </w:r>
      <w:r w:rsidR="0012659D" w:rsidRPr="00D0037D">
        <w:rPr>
          <w:rFonts w:ascii="Calibri" w:hAnsi="Calibri" w:cs="Calibri"/>
          <w:sz w:val="22"/>
          <w:szCs w:val="22"/>
        </w:rPr>
        <w:t>contains the most re</w:t>
      </w:r>
      <w:r w:rsidR="00E423C7" w:rsidRPr="00D0037D">
        <w:rPr>
          <w:rFonts w:ascii="Calibri" w:hAnsi="Calibri" w:cs="Calibri"/>
          <w:sz w:val="22"/>
          <w:szCs w:val="22"/>
        </w:rPr>
        <w:t xml:space="preserve">levant information.  </w:t>
      </w:r>
      <w:r w:rsidR="0027009A">
        <w:rPr>
          <w:rFonts w:ascii="Calibri" w:hAnsi="Calibri" w:cs="Calibri"/>
          <w:sz w:val="22"/>
          <w:szCs w:val="22"/>
        </w:rPr>
        <w:t>(</w:t>
      </w:r>
      <w:r w:rsidR="00E423C7" w:rsidRPr="00D0037D">
        <w:rPr>
          <w:rFonts w:ascii="Calibri" w:hAnsi="Calibri" w:cs="Calibri"/>
          <w:sz w:val="22"/>
          <w:szCs w:val="22"/>
        </w:rPr>
        <w:t>Se</w:t>
      </w:r>
      <w:r w:rsidR="002E5732">
        <w:rPr>
          <w:rFonts w:ascii="Calibri" w:hAnsi="Calibri" w:cs="Calibri"/>
          <w:sz w:val="22"/>
          <w:szCs w:val="22"/>
        </w:rPr>
        <w:t xml:space="preserve">e Appendix </w:t>
      </w:r>
      <w:r w:rsidR="00C04A82">
        <w:rPr>
          <w:rFonts w:ascii="Calibri" w:hAnsi="Calibri" w:cs="Calibri"/>
          <w:sz w:val="22"/>
          <w:szCs w:val="22"/>
        </w:rPr>
        <w:t>3</w:t>
      </w:r>
      <w:r w:rsidR="0027009A">
        <w:rPr>
          <w:rFonts w:ascii="Calibri" w:hAnsi="Calibri" w:cs="Calibri"/>
          <w:sz w:val="22"/>
          <w:szCs w:val="22"/>
        </w:rPr>
        <w:t>)</w:t>
      </w:r>
    </w:p>
    <w:p w:rsidR="0012659D" w:rsidRPr="00D0037D" w:rsidRDefault="0012659D" w:rsidP="0012659D">
      <w:pPr>
        <w:pStyle w:val="Footer"/>
        <w:tabs>
          <w:tab w:val="clear" w:pos="4153"/>
          <w:tab w:val="clear" w:pos="8306"/>
        </w:tabs>
        <w:rPr>
          <w:rFonts w:ascii="Calibri" w:hAnsi="Calibri" w:cs="Calibri"/>
          <w:sz w:val="22"/>
          <w:szCs w:val="22"/>
        </w:rPr>
      </w:pPr>
    </w:p>
    <w:p w:rsidR="00AC38DE" w:rsidRDefault="0088731E" w:rsidP="00AC38DE">
      <w:pPr>
        <w:pStyle w:val="NoSpacing"/>
        <w:rPr>
          <w:u w:val="single"/>
        </w:rPr>
      </w:pPr>
      <w:r w:rsidRPr="0088731E">
        <w:rPr>
          <w:u w:val="single"/>
        </w:rPr>
        <w:t xml:space="preserve">Future Agenda Items </w:t>
      </w:r>
    </w:p>
    <w:p w:rsidR="0088731E" w:rsidRPr="0088731E" w:rsidRDefault="0088731E" w:rsidP="00AC38DE">
      <w:pPr>
        <w:pStyle w:val="NoSpacing"/>
      </w:pPr>
      <w:r w:rsidRPr="0088731E">
        <w:t>The group has identified a series of</w:t>
      </w:r>
      <w:r w:rsidR="00D95B90">
        <w:t xml:space="preserve"> additional</w:t>
      </w:r>
      <w:r w:rsidRPr="0088731E">
        <w:t xml:space="preserve"> </w:t>
      </w:r>
      <w:r w:rsidR="00D95B90">
        <w:t>subject areas to be explored in the future</w:t>
      </w:r>
      <w:r w:rsidR="002E5732">
        <w:t>.  These include:</w:t>
      </w:r>
    </w:p>
    <w:p w:rsidR="00E423C7" w:rsidRDefault="00E423C7" w:rsidP="00AC38DE">
      <w:pPr>
        <w:pStyle w:val="NoSpacing"/>
        <w:numPr>
          <w:ilvl w:val="0"/>
          <w:numId w:val="2"/>
        </w:numPr>
      </w:pPr>
      <w:r>
        <w:t>Meeting collectively with the providers to discuss issues of mutual interest and develop some industry standards if possible.</w:t>
      </w:r>
    </w:p>
    <w:p w:rsidR="00AC38DE" w:rsidRDefault="00AC38DE" w:rsidP="00AC38DE">
      <w:pPr>
        <w:pStyle w:val="NoSpacing"/>
        <w:numPr>
          <w:ilvl w:val="0"/>
          <w:numId w:val="2"/>
        </w:numPr>
      </w:pPr>
      <w:r>
        <w:t>Confidentiality issues in working with a contractor.</w:t>
      </w:r>
    </w:p>
    <w:p w:rsidR="00AC38DE" w:rsidRDefault="00AC38DE" w:rsidP="00AC38DE">
      <w:pPr>
        <w:pStyle w:val="NoSpacing"/>
        <w:numPr>
          <w:ilvl w:val="0"/>
          <w:numId w:val="2"/>
        </w:numPr>
      </w:pPr>
      <w:r>
        <w:t>Procurement models including</w:t>
      </w:r>
    </w:p>
    <w:p w:rsidR="00AC38DE" w:rsidRDefault="00AC38DE" w:rsidP="00AC38DE">
      <w:pPr>
        <w:pStyle w:val="NoSpacing"/>
        <w:numPr>
          <w:ilvl w:val="1"/>
          <w:numId w:val="2"/>
        </w:numPr>
      </w:pPr>
      <w:r>
        <w:t>Dealing with supply issues</w:t>
      </w:r>
    </w:p>
    <w:p w:rsidR="00AC38DE" w:rsidRDefault="00AC38DE" w:rsidP="00AC38DE">
      <w:pPr>
        <w:pStyle w:val="NoSpacing"/>
        <w:numPr>
          <w:ilvl w:val="1"/>
          <w:numId w:val="2"/>
        </w:numPr>
      </w:pPr>
      <w:r>
        <w:t>Access to contract prices</w:t>
      </w:r>
    </w:p>
    <w:p w:rsidR="00AC38DE" w:rsidRDefault="00AC38DE" w:rsidP="00AC38DE">
      <w:pPr>
        <w:pStyle w:val="NoSpacing"/>
        <w:numPr>
          <w:ilvl w:val="1"/>
          <w:numId w:val="2"/>
        </w:numPr>
      </w:pPr>
      <w:r>
        <w:t>Change of contracts</w:t>
      </w:r>
    </w:p>
    <w:p w:rsidR="00AC38DE" w:rsidRDefault="00AC38DE" w:rsidP="00AC38DE">
      <w:pPr>
        <w:pStyle w:val="NoSpacing"/>
        <w:numPr>
          <w:ilvl w:val="1"/>
          <w:numId w:val="2"/>
        </w:numPr>
      </w:pPr>
      <w:r>
        <w:t>Purchasing non contract lines</w:t>
      </w:r>
    </w:p>
    <w:p w:rsidR="00AC38DE" w:rsidRDefault="00AC38DE" w:rsidP="00AC38DE">
      <w:pPr>
        <w:pStyle w:val="NoSpacing"/>
        <w:numPr>
          <w:ilvl w:val="1"/>
          <w:numId w:val="2"/>
        </w:numPr>
      </w:pPr>
      <w:r>
        <w:t>Invoice matching</w:t>
      </w:r>
    </w:p>
    <w:p w:rsidR="00AC38DE" w:rsidRDefault="00AC38DE" w:rsidP="00AC38DE">
      <w:pPr>
        <w:pStyle w:val="NoSpacing"/>
        <w:numPr>
          <w:ilvl w:val="1"/>
          <w:numId w:val="2"/>
        </w:numPr>
      </w:pPr>
      <w:r>
        <w:t>Complying with contracts to deliver trust commitment on volumes.</w:t>
      </w:r>
    </w:p>
    <w:p w:rsidR="00AC38DE" w:rsidRDefault="00AC38DE" w:rsidP="00AC38DE">
      <w:pPr>
        <w:pStyle w:val="NoSpacing"/>
        <w:numPr>
          <w:ilvl w:val="0"/>
          <w:numId w:val="2"/>
        </w:numPr>
      </w:pPr>
      <w:r>
        <w:t>Standardised specification and contract documentation.</w:t>
      </w:r>
    </w:p>
    <w:p w:rsidR="00AC38DE" w:rsidRDefault="00D95B90" w:rsidP="00AC38DE">
      <w:pPr>
        <w:pStyle w:val="NoSpacing"/>
        <w:numPr>
          <w:ilvl w:val="0"/>
          <w:numId w:val="2"/>
        </w:numPr>
      </w:pPr>
      <w:r>
        <w:t xml:space="preserve">Standardising tender documents </w:t>
      </w:r>
      <w:proofErr w:type="gramStart"/>
      <w:r>
        <w:t xml:space="preserve">with </w:t>
      </w:r>
      <w:r w:rsidR="00AC38DE">
        <w:t xml:space="preserve"> common</w:t>
      </w:r>
      <w:proofErr w:type="gramEnd"/>
      <w:r w:rsidR="00AC38DE">
        <w:t xml:space="preserve"> headings etc.</w:t>
      </w:r>
    </w:p>
    <w:p w:rsidR="00AC38DE" w:rsidRDefault="00AC38DE" w:rsidP="0088731E">
      <w:pPr>
        <w:pStyle w:val="NoSpacing"/>
      </w:pPr>
    </w:p>
    <w:p w:rsidR="00050FC9" w:rsidRPr="00ED728D" w:rsidRDefault="003B0169" w:rsidP="00050FC9">
      <w:pPr>
        <w:pStyle w:val="NoSpacing"/>
        <w:rPr>
          <w:rFonts w:cs="Arial"/>
          <w:b/>
        </w:rPr>
      </w:pPr>
      <w:r w:rsidRPr="00050FC9">
        <w:rPr>
          <w:u w:val="single"/>
        </w:rPr>
        <w:t>Access to contract prices</w:t>
      </w:r>
      <w:r>
        <w:t xml:space="preserve"> </w:t>
      </w:r>
      <w:r w:rsidR="00E423C7">
        <w:br/>
      </w:r>
      <w:proofErr w:type="gramStart"/>
      <w:r w:rsidR="00050FC9">
        <w:t>It</w:t>
      </w:r>
      <w:proofErr w:type="gramEnd"/>
      <w:r w:rsidR="00050FC9">
        <w:t xml:space="preserve"> is essential for the business case that the providers can access CMU contract prices.  However if they purchase direct (as most do) they do not automatically qualify under the terms of the CMU contract.  CMU have produced a check list </w:t>
      </w:r>
      <w:r w:rsidR="002E5732">
        <w:t xml:space="preserve">of </w:t>
      </w:r>
      <w:r w:rsidR="00050FC9" w:rsidRPr="00050FC9">
        <w:t xml:space="preserve">criteria for access </w:t>
      </w:r>
      <w:r w:rsidR="00B74189">
        <w:t xml:space="preserve">to contracts </w:t>
      </w:r>
      <w:r w:rsidR="00050FC9" w:rsidRPr="00050FC9">
        <w:t>by third party pharmacy out-patient dispensing service providers</w:t>
      </w:r>
    </w:p>
    <w:p w:rsidR="00050FC9" w:rsidRPr="00ED728D" w:rsidRDefault="00050FC9" w:rsidP="00050FC9">
      <w:pPr>
        <w:pStyle w:val="NoSpacing"/>
        <w:numPr>
          <w:ilvl w:val="0"/>
          <w:numId w:val="17"/>
        </w:numPr>
        <w:ind w:left="720"/>
        <w:rPr>
          <w:rFonts w:cs="Arial"/>
        </w:rPr>
      </w:pPr>
      <w:r w:rsidRPr="00ED728D">
        <w:rPr>
          <w:rFonts w:cs="Arial"/>
        </w:rPr>
        <w:t xml:space="preserve">Third parties cannot be party to CMU framework agreements and the NHS cannot </w:t>
      </w:r>
      <w:r>
        <w:rPr>
          <w:rFonts w:cs="Arial"/>
        </w:rPr>
        <w:t>therefore</w:t>
      </w:r>
      <w:r w:rsidRPr="00ED728D">
        <w:rPr>
          <w:rFonts w:cs="Arial"/>
        </w:rPr>
        <w:t xml:space="preserve"> mandate or direct access.  </w:t>
      </w:r>
    </w:p>
    <w:p w:rsidR="00050FC9" w:rsidRPr="00ED728D" w:rsidRDefault="00050FC9" w:rsidP="00050FC9">
      <w:pPr>
        <w:pStyle w:val="NoSpacing"/>
        <w:numPr>
          <w:ilvl w:val="0"/>
          <w:numId w:val="17"/>
        </w:numPr>
        <w:ind w:left="720"/>
        <w:rPr>
          <w:rFonts w:cs="Arial"/>
        </w:rPr>
      </w:pPr>
      <w:r w:rsidRPr="00ED728D">
        <w:rPr>
          <w:rFonts w:cs="Arial"/>
        </w:rPr>
        <w:t xml:space="preserve">Only NHS trusts can request access to the prices from manufacturers and suppliers. </w:t>
      </w:r>
      <w:r>
        <w:rPr>
          <w:rFonts w:cs="Arial"/>
        </w:rPr>
        <w:t xml:space="preserve">  </w:t>
      </w:r>
      <w:r w:rsidRPr="00ED728D">
        <w:rPr>
          <w:rFonts w:cs="Arial"/>
        </w:rPr>
        <w:t xml:space="preserve">In order for a third party provider to access contract prices, the NHS trust must get written permission from the contracted supplier. (A standard letter </w:t>
      </w:r>
      <w:r>
        <w:rPr>
          <w:rFonts w:cs="Arial"/>
        </w:rPr>
        <w:t xml:space="preserve">has been produced).  </w:t>
      </w:r>
    </w:p>
    <w:p w:rsidR="00050FC9" w:rsidRPr="00ED728D" w:rsidRDefault="00050FC9" w:rsidP="00050FC9">
      <w:pPr>
        <w:pStyle w:val="NoSpacing"/>
        <w:numPr>
          <w:ilvl w:val="0"/>
          <w:numId w:val="17"/>
        </w:numPr>
        <w:ind w:left="720"/>
        <w:rPr>
          <w:rFonts w:cs="Arial"/>
        </w:rPr>
      </w:pPr>
      <w:r w:rsidRPr="00ED728D">
        <w:rPr>
          <w:rFonts w:cs="Arial"/>
        </w:rPr>
        <w:t>In the relationships between the manufacturers and suppliers and third parties, NHS Terms and Conditions do not apply.</w:t>
      </w:r>
    </w:p>
    <w:p w:rsidR="00050FC9" w:rsidRPr="00ED728D" w:rsidRDefault="00050FC9" w:rsidP="00050FC9">
      <w:pPr>
        <w:pStyle w:val="NoSpacing"/>
        <w:numPr>
          <w:ilvl w:val="0"/>
          <w:numId w:val="17"/>
        </w:numPr>
        <w:ind w:left="720"/>
        <w:rPr>
          <w:rFonts w:cs="Arial"/>
        </w:rPr>
      </w:pPr>
      <w:r w:rsidRPr="00ED728D">
        <w:rPr>
          <w:rFonts w:cs="Arial"/>
        </w:rPr>
        <w:t xml:space="preserve">In awarding contracts to third parties, NHS trusts must make sure that the third party is financially robust. </w:t>
      </w:r>
    </w:p>
    <w:p w:rsidR="00050FC9" w:rsidRPr="00ED728D" w:rsidRDefault="00050FC9" w:rsidP="00050FC9">
      <w:pPr>
        <w:pStyle w:val="NoSpacing"/>
        <w:numPr>
          <w:ilvl w:val="0"/>
          <w:numId w:val="17"/>
        </w:numPr>
        <w:ind w:left="720"/>
        <w:rPr>
          <w:rFonts w:cs="Arial"/>
        </w:rPr>
      </w:pPr>
      <w:r w:rsidRPr="00ED728D">
        <w:rPr>
          <w:rFonts w:cs="Arial"/>
        </w:rPr>
        <w:t>NHS trusts should ensure the ability of service providers to separate and manage stock under third party arrangements.</w:t>
      </w:r>
    </w:p>
    <w:p w:rsidR="002E5732" w:rsidRDefault="00050FC9" w:rsidP="002E5732">
      <w:pPr>
        <w:pStyle w:val="NoSpacing"/>
        <w:numPr>
          <w:ilvl w:val="0"/>
          <w:numId w:val="17"/>
        </w:numPr>
        <w:ind w:left="720"/>
        <w:rPr>
          <w:rFonts w:cs="Arial"/>
        </w:rPr>
      </w:pPr>
      <w:r>
        <w:rPr>
          <w:rFonts w:cs="Arial"/>
        </w:rPr>
        <w:t>A</w:t>
      </w:r>
      <w:r w:rsidRPr="00ED728D">
        <w:rPr>
          <w:rFonts w:cs="Arial"/>
        </w:rPr>
        <w:t xml:space="preserve">ny third party using the CMU framework should provide purchase data to CMU in the specified format </w:t>
      </w:r>
      <w:r>
        <w:rPr>
          <w:rFonts w:cs="Arial"/>
        </w:rPr>
        <w:t xml:space="preserve">on a monthly basis. </w:t>
      </w:r>
      <w:r w:rsidRPr="00ED728D">
        <w:rPr>
          <w:rFonts w:cs="Arial"/>
        </w:rPr>
        <w:t xml:space="preserve">A </w:t>
      </w:r>
      <w:r>
        <w:rPr>
          <w:rFonts w:cs="Arial"/>
        </w:rPr>
        <w:t>l</w:t>
      </w:r>
      <w:r w:rsidRPr="00ED728D">
        <w:rPr>
          <w:rFonts w:cs="Arial"/>
        </w:rPr>
        <w:t>ack of data presented to CMU undermines the credibility of the current NHS sourcing model by compromising manufacturer forecasts.  Where this occurs, it introduces risk and when supply problems arise, it makes management of supply harder to deal with.</w:t>
      </w:r>
    </w:p>
    <w:p w:rsidR="00292F13" w:rsidRPr="002E5732" w:rsidRDefault="00050FC9" w:rsidP="002E5732">
      <w:pPr>
        <w:pStyle w:val="NoSpacing"/>
        <w:numPr>
          <w:ilvl w:val="0"/>
          <w:numId w:val="17"/>
        </w:numPr>
        <w:ind w:left="720"/>
        <w:rPr>
          <w:rFonts w:cs="Arial"/>
        </w:rPr>
      </w:pPr>
      <w:r w:rsidRPr="002E5732">
        <w:rPr>
          <w:rFonts w:cs="Arial"/>
        </w:rPr>
        <w:t xml:space="preserve">Separate IT systems and associated data flows should be maintained and fully auditable and used exclusively for the purpose as set out in the contract between the NHS trust and third </w:t>
      </w:r>
      <w:r w:rsidRPr="002E5732">
        <w:rPr>
          <w:rFonts w:cs="Arial"/>
        </w:rPr>
        <w:lastRenderedPageBreak/>
        <w:t>party pharmacy service provider, so as to ensure that framework prices are accessed and medicines supplied to patients only against hospital orders relating to the contracted service. This should be auditable.</w:t>
      </w:r>
      <w:r w:rsidRPr="00E7514E">
        <w:t xml:space="preserve"> </w:t>
      </w:r>
      <w:r>
        <w:br/>
      </w:r>
    </w:p>
    <w:p w:rsidR="00AD797A" w:rsidRDefault="00050FC9" w:rsidP="0088731E">
      <w:pPr>
        <w:pStyle w:val="NoSpacing"/>
        <w:rPr>
          <w:rFonts w:cs="Arial"/>
          <w:u w:val="single"/>
        </w:rPr>
      </w:pPr>
      <w:r>
        <w:rPr>
          <w:rFonts w:cs="Arial"/>
          <w:u w:val="single"/>
        </w:rPr>
        <w:t xml:space="preserve">Importance of Contributing Usage Data to </w:t>
      </w:r>
      <w:proofErr w:type="spellStart"/>
      <w:r>
        <w:rPr>
          <w:rFonts w:cs="Arial"/>
          <w:u w:val="single"/>
        </w:rPr>
        <w:t>PhARMEX</w:t>
      </w:r>
      <w:proofErr w:type="spellEnd"/>
      <w:r>
        <w:rPr>
          <w:rFonts w:cs="Arial"/>
          <w:u w:val="single"/>
        </w:rPr>
        <w:t xml:space="preserve"> and Define</w:t>
      </w:r>
    </w:p>
    <w:p w:rsidR="00F043FA" w:rsidRPr="00AD797A" w:rsidRDefault="002E5732" w:rsidP="0088731E">
      <w:pPr>
        <w:pStyle w:val="NoSpacing"/>
        <w:rPr>
          <w:rFonts w:cs="Arial"/>
          <w:u w:val="single"/>
        </w:rPr>
      </w:pPr>
      <w:proofErr w:type="gramStart"/>
      <w:r>
        <w:t xml:space="preserve">For </w:t>
      </w:r>
      <w:r w:rsidR="00CF591E">
        <w:t xml:space="preserve"> CMU</w:t>
      </w:r>
      <w:proofErr w:type="gramEnd"/>
      <w:r w:rsidR="00CF591E">
        <w:t xml:space="preserve"> contracts to function correctly it is essential that contractors have an accurate understanding of the demand for the product (from </w:t>
      </w:r>
      <w:r>
        <w:t xml:space="preserve">the </w:t>
      </w:r>
      <w:proofErr w:type="spellStart"/>
      <w:r>
        <w:t>PhARMEX</w:t>
      </w:r>
      <w:proofErr w:type="spellEnd"/>
      <w:r>
        <w:t xml:space="preserve"> system). I</w:t>
      </w:r>
      <w:r w:rsidR="00CF591E">
        <w:t>f there are holes in that data (from homecare</w:t>
      </w:r>
      <w:r>
        <w:t xml:space="preserve"> or outsourced outpatient usage</w:t>
      </w:r>
      <w:r w:rsidR="00CF591E">
        <w:t>) then demand may be underestimated and shortages may occur.  Not all providers are making this data available to CMU</w:t>
      </w:r>
      <w:r w:rsidR="00F043FA">
        <w:t xml:space="preserve">.  </w:t>
      </w:r>
      <w:r w:rsidR="00CF591E">
        <w:t>Similarly more and more trusts are using Define (or similar systems) to compare clinical usage of medicines across trusts.</w:t>
      </w:r>
      <w:r w:rsidR="00F043FA">
        <w:t xml:space="preserve">  Loss of data makes these comparisons more difficult.  </w:t>
      </w:r>
      <w:r w:rsidR="00F043FA">
        <w:br/>
      </w:r>
    </w:p>
    <w:p w:rsidR="00CF591E" w:rsidRPr="00CF591E" w:rsidRDefault="00F043FA" w:rsidP="0088731E">
      <w:pPr>
        <w:pStyle w:val="NoSpacing"/>
      </w:pPr>
      <w:r>
        <w:t xml:space="preserve">Discussions are </w:t>
      </w:r>
      <w:proofErr w:type="spellStart"/>
      <w:r>
        <w:t>ongoing</w:t>
      </w:r>
      <w:proofErr w:type="spellEnd"/>
      <w:r>
        <w:t xml:space="preserve"> between CMU, OOCMG and providers.  Ideally the requirement to provide this data should be written into the contract at initiation.</w:t>
      </w:r>
    </w:p>
    <w:p w:rsidR="00681F00" w:rsidRDefault="00681F00" w:rsidP="0088731E">
      <w:pPr>
        <w:pStyle w:val="NoSpacing"/>
        <w:rPr>
          <w:color w:val="1F497D"/>
        </w:rPr>
      </w:pPr>
    </w:p>
    <w:p w:rsidR="002E5732" w:rsidRPr="002E5732" w:rsidRDefault="002E5732" w:rsidP="0088731E">
      <w:pPr>
        <w:pStyle w:val="NoSpacing"/>
        <w:rPr>
          <w:u w:val="single"/>
        </w:rPr>
      </w:pPr>
      <w:r w:rsidRPr="002E5732">
        <w:rPr>
          <w:u w:val="single"/>
        </w:rPr>
        <w:t xml:space="preserve">Members of the group are given in Appendix </w:t>
      </w:r>
      <w:r w:rsidR="00371833">
        <w:rPr>
          <w:u w:val="single"/>
        </w:rPr>
        <w:t>4</w:t>
      </w:r>
      <w:r w:rsidRPr="002E5732">
        <w:rPr>
          <w:u w:val="single"/>
        </w:rPr>
        <w:t xml:space="preserve">. </w:t>
      </w:r>
    </w:p>
    <w:p w:rsidR="00FD3A85" w:rsidRDefault="00FD3A85" w:rsidP="00FD3A85">
      <w:pPr>
        <w:pStyle w:val="NoSpacing"/>
      </w:pPr>
    </w:p>
    <w:p w:rsidR="00FD3A85" w:rsidRDefault="00FD3A85">
      <w:r>
        <w:t xml:space="preserve">OOCMG </w:t>
      </w:r>
      <w:r w:rsidR="00AD797A">
        <w:t>December 2015</w:t>
      </w:r>
    </w:p>
    <w:p w:rsidR="00AD797A" w:rsidRDefault="00AD797A"/>
    <w:sectPr w:rsidR="00AD797A">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4F1"/>
    <w:multiLevelType w:val="hybridMultilevel"/>
    <w:tmpl w:val="69E86FF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2F44F0"/>
    <w:multiLevelType w:val="hybridMultilevel"/>
    <w:tmpl w:val="BD18C844"/>
    <w:lvl w:ilvl="0" w:tplc="D0E69FC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E8710F4"/>
    <w:multiLevelType w:val="hybridMultilevel"/>
    <w:tmpl w:val="4AA4F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BB6BD5"/>
    <w:multiLevelType w:val="hybridMultilevel"/>
    <w:tmpl w:val="195E6B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636510"/>
    <w:multiLevelType w:val="hybridMultilevel"/>
    <w:tmpl w:val="CDD4E41A"/>
    <w:lvl w:ilvl="0" w:tplc="D0E69FC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415891"/>
    <w:multiLevelType w:val="hybridMultilevel"/>
    <w:tmpl w:val="6EC2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804D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45469F"/>
    <w:multiLevelType w:val="hybridMultilevel"/>
    <w:tmpl w:val="F8DA66C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2A07D3A"/>
    <w:multiLevelType w:val="hybridMultilevel"/>
    <w:tmpl w:val="FDDED7B8"/>
    <w:lvl w:ilvl="0" w:tplc="D0E69FC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821172B"/>
    <w:multiLevelType w:val="hybridMultilevel"/>
    <w:tmpl w:val="10585CBE"/>
    <w:lvl w:ilvl="0" w:tplc="D386401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146682"/>
    <w:multiLevelType w:val="hybridMultilevel"/>
    <w:tmpl w:val="A5D44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5B5808"/>
    <w:multiLevelType w:val="hybridMultilevel"/>
    <w:tmpl w:val="EDF8F278"/>
    <w:lvl w:ilvl="0" w:tplc="D386401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6B4458"/>
    <w:multiLevelType w:val="hybridMultilevel"/>
    <w:tmpl w:val="8BACDC78"/>
    <w:lvl w:ilvl="0" w:tplc="D0E69FC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F0904B9"/>
    <w:multiLevelType w:val="hybridMultilevel"/>
    <w:tmpl w:val="D1788AB6"/>
    <w:lvl w:ilvl="0" w:tplc="D386401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321EC9"/>
    <w:multiLevelType w:val="hybridMultilevel"/>
    <w:tmpl w:val="8D64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7F0416"/>
    <w:multiLevelType w:val="multilevel"/>
    <w:tmpl w:val="309897E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B6E7E1A"/>
    <w:multiLevelType w:val="hybridMultilevel"/>
    <w:tmpl w:val="F296E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3CC7683"/>
    <w:multiLevelType w:val="hybridMultilevel"/>
    <w:tmpl w:val="53CC2C46"/>
    <w:lvl w:ilvl="0" w:tplc="D386401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061A68"/>
    <w:multiLevelType w:val="hybridMultilevel"/>
    <w:tmpl w:val="953831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54F1101"/>
    <w:multiLevelType w:val="hybridMultilevel"/>
    <w:tmpl w:val="04B00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175802"/>
    <w:multiLevelType w:val="hybridMultilevel"/>
    <w:tmpl w:val="3014D398"/>
    <w:lvl w:ilvl="0" w:tplc="FF68C33A">
      <w:start w:val="1"/>
      <w:numFmt w:val="bullet"/>
      <w:lvlText w:val="•"/>
      <w:lvlJc w:val="left"/>
      <w:pPr>
        <w:tabs>
          <w:tab w:val="num" w:pos="720"/>
        </w:tabs>
        <w:ind w:left="720" w:hanging="360"/>
      </w:pPr>
      <w:rPr>
        <w:rFonts w:ascii="Arial" w:hAnsi="Arial" w:hint="default"/>
      </w:rPr>
    </w:lvl>
    <w:lvl w:ilvl="1" w:tplc="1B14385C" w:tentative="1">
      <w:start w:val="1"/>
      <w:numFmt w:val="bullet"/>
      <w:lvlText w:val="•"/>
      <w:lvlJc w:val="left"/>
      <w:pPr>
        <w:tabs>
          <w:tab w:val="num" w:pos="1440"/>
        </w:tabs>
        <w:ind w:left="1440" w:hanging="360"/>
      </w:pPr>
      <w:rPr>
        <w:rFonts w:ascii="Arial" w:hAnsi="Arial" w:hint="default"/>
      </w:rPr>
    </w:lvl>
    <w:lvl w:ilvl="2" w:tplc="76BEB64C" w:tentative="1">
      <w:start w:val="1"/>
      <w:numFmt w:val="bullet"/>
      <w:lvlText w:val="•"/>
      <w:lvlJc w:val="left"/>
      <w:pPr>
        <w:tabs>
          <w:tab w:val="num" w:pos="2160"/>
        </w:tabs>
        <w:ind w:left="2160" w:hanging="360"/>
      </w:pPr>
      <w:rPr>
        <w:rFonts w:ascii="Arial" w:hAnsi="Arial" w:hint="default"/>
      </w:rPr>
    </w:lvl>
    <w:lvl w:ilvl="3" w:tplc="F9A23F66" w:tentative="1">
      <w:start w:val="1"/>
      <w:numFmt w:val="bullet"/>
      <w:lvlText w:val="•"/>
      <w:lvlJc w:val="left"/>
      <w:pPr>
        <w:tabs>
          <w:tab w:val="num" w:pos="2880"/>
        </w:tabs>
        <w:ind w:left="2880" w:hanging="360"/>
      </w:pPr>
      <w:rPr>
        <w:rFonts w:ascii="Arial" w:hAnsi="Arial" w:hint="default"/>
      </w:rPr>
    </w:lvl>
    <w:lvl w:ilvl="4" w:tplc="A8E6F746" w:tentative="1">
      <w:start w:val="1"/>
      <w:numFmt w:val="bullet"/>
      <w:lvlText w:val="•"/>
      <w:lvlJc w:val="left"/>
      <w:pPr>
        <w:tabs>
          <w:tab w:val="num" w:pos="3600"/>
        </w:tabs>
        <w:ind w:left="3600" w:hanging="360"/>
      </w:pPr>
      <w:rPr>
        <w:rFonts w:ascii="Arial" w:hAnsi="Arial" w:hint="default"/>
      </w:rPr>
    </w:lvl>
    <w:lvl w:ilvl="5" w:tplc="F4B6736E" w:tentative="1">
      <w:start w:val="1"/>
      <w:numFmt w:val="bullet"/>
      <w:lvlText w:val="•"/>
      <w:lvlJc w:val="left"/>
      <w:pPr>
        <w:tabs>
          <w:tab w:val="num" w:pos="4320"/>
        </w:tabs>
        <w:ind w:left="4320" w:hanging="360"/>
      </w:pPr>
      <w:rPr>
        <w:rFonts w:ascii="Arial" w:hAnsi="Arial" w:hint="default"/>
      </w:rPr>
    </w:lvl>
    <w:lvl w:ilvl="6" w:tplc="C7709856" w:tentative="1">
      <w:start w:val="1"/>
      <w:numFmt w:val="bullet"/>
      <w:lvlText w:val="•"/>
      <w:lvlJc w:val="left"/>
      <w:pPr>
        <w:tabs>
          <w:tab w:val="num" w:pos="5040"/>
        </w:tabs>
        <w:ind w:left="5040" w:hanging="360"/>
      </w:pPr>
      <w:rPr>
        <w:rFonts w:ascii="Arial" w:hAnsi="Arial" w:hint="default"/>
      </w:rPr>
    </w:lvl>
    <w:lvl w:ilvl="7" w:tplc="9738AFAC" w:tentative="1">
      <w:start w:val="1"/>
      <w:numFmt w:val="bullet"/>
      <w:lvlText w:val="•"/>
      <w:lvlJc w:val="left"/>
      <w:pPr>
        <w:tabs>
          <w:tab w:val="num" w:pos="5760"/>
        </w:tabs>
        <w:ind w:left="5760" w:hanging="360"/>
      </w:pPr>
      <w:rPr>
        <w:rFonts w:ascii="Arial" w:hAnsi="Arial" w:hint="default"/>
      </w:rPr>
    </w:lvl>
    <w:lvl w:ilvl="8" w:tplc="DC5C6B74" w:tentative="1">
      <w:start w:val="1"/>
      <w:numFmt w:val="bullet"/>
      <w:lvlText w:val="•"/>
      <w:lvlJc w:val="left"/>
      <w:pPr>
        <w:tabs>
          <w:tab w:val="num" w:pos="6480"/>
        </w:tabs>
        <w:ind w:left="6480" w:hanging="360"/>
      </w:pPr>
      <w:rPr>
        <w:rFonts w:ascii="Arial" w:hAnsi="Arial" w:hint="default"/>
      </w:rPr>
    </w:lvl>
  </w:abstractNum>
  <w:abstractNum w:abstractNumId="21">
    <w:nsid w:val="573E2BF7"/>
    <w:multiLevelType w:val="hybridMultilevel"/>
    <w:tmpl w:val="C256F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A8C002F"/>
    <w:multiLevelType w:val="hybridMultilevel"/>
    <w:tmpl w:val="D8049704"/>
    <w:lvl w:ilvl="0" w:tplc="84BA40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EC151A5"/>
    <w:multiLevelType w:val="hybridMultilevel"/>
    <w:tmpl w:val="21C4DA5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16653E5"/>
    <w:multiLevelType w:val="hybridMultilevel"/>
    <w:tmpl w:val="6C3A7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196129E"/>
    <w:multiLevelType w:val="hybridMultilevel"/>
    <w:tmpl w:val="BA4C6F3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3A57168"/>
    <w:multiLevelType w:val="hybridMultilevel"/>
    <w:tmpl w:val="E8E0677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nsid w:val="64672254"/>
    <w:multiLevelType w:val="hybridMultilevel"/>
    <w:tmpl w:val="49604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DAC2A46"/>
    <w:multiLevelType w:val="hybridMultilevel"/>
    <w:tmpl w:val="FA288692"/>
    <w:lvl w:ilvl="0" w:tplc="D0E69FC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5E06513"/>
    <w:multiLevelType w:val="hybridMultilevel"/>
    <w:tmpl w:val="34203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5B1D3D"/>
    <w:multiLevelType w:val="hybridMultilevel"/>
    <w:tmpl w:val="B618325C"/>
    <w:lvl w:ilvl="0" w:tplc="D386401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3"/>
  </w:num>
  <w:num w:numId="4">
    <w:abstractNumId w:val="6"/>
  </w:num>
  <w:num w:numId="5">
    <w:abstractNumId w:val="15"/>
  </w:num>
  <w:num w:numId="6">
    <w:abstractNumId w:val="27"/>
  </w:num>
  <w:num w:numId="7">
    <w:abstractNumId w:val="20"/>
  </w:num>
  <w:num w:numId="8">
    <w:abstractNumId w:val="24"/>
  </w:num>
  <w:num w:numId="9">
    <w:abstractNumId w:val="7"/>
  </w:num>
  <w:num w:numId="10">
    <w:abstractNumId w:val="4"/>
  </w:num>
  <w:num w:numId="11">
    <w:abstractNumId w:val="1"/>
  </w:num>
  <w:num w:numId="12">
    <w:abstractNumId w:val="12"/>
  </w:num>
  <w:num w:numId="13">
    <w:abstractNumId w:val="28"/>
  </w:num>
  <w:num w:numId="14">
    <w:abstractNumId w:val="8"/>
  </w:num>
  <w:num w:numId="15">
    <w:abstractNumId w:val="21"/>
  </w:num>
  <w:num w:numId="16">
    <w:abstractNumId w:val="23"/>
  </w:num>
  <w:num w:numId="17">
    <w:abstractNumId w:val="22"/>
  </w:num>
  <w:num w:numId="18">
    <w:abstractNumId w:val="16"/>
  </w:num>
  <w:num w:numId="19">
    <w:abstractNumId w:val="10"/>
  </w:num>
  <w:num w:numId="20">
    <w:abstractNumId w:val="26"/>
  </w:num>
  <w:num w:numId="21">
    <w:abstractNumId w:val="5"/>
  </w:num>
  <w:num w:numId="22">
    <w:abstractNumId w:val="19"/>
  </w:num>
  <w:num w:numId="23">
    <w:abstractNumId w:val="14"/>
  </w:num>
  <w:num w:numId="24">
    <w:abstractNumId w:val="30"/>
  </w:num>
  <w:num w:numId="25">
    <w:abstractNumId w:val="17"/>
  </w:num>
  <w:num w:numId="26">
    <w:abstractNumId w:val="9"/>
  </w:num>
  <w:num w:numId="27">
    <w:abstractNumId w:val="13"/>
  </w:num>
  <w:num w:numId="28">
    <w:abstractNumId w:val="11"/>
  </w:num>
  <w:num w:numId="29">
    <w:abstractNumId w:val="25"/>
  </w:num>
  <w:num w:numId="30">
    <w:abstractNumId w:val="1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85"/>
    <w:rsid w:val="00002AAB"/>
    <w:rsid w:val="000073D8"/>
    <w:rsid w:val="000223D9"/>
    <w:rsid w:val="00026CBF"/>
    <w:rsid w:val="00030E74"/>
    <w:rsid w:val="00050FC9"/>
    <w:rsid w:val="0006385B"/>
    <w:rsid w:val="000741B5"/>
    <w:rsid w:val="00075AD9"/>
    <w:rsid w:val="00077930"/>
    <w:rsid w:val="000840F8"/>
    <w:rsid w:val="000C143A"/>
    <w:rsid w:val="00106706"/>
    <w:rsid w:val="00122CD2"/>
    <w:rsid w:val="0012659D"/>
    <w:rsid w:val="00150402"/>
    <w:rsid w:val="001609EF"/>
    <w:rsid w:val="00161CE7"/>
    <w:rsid w:val="001918F5"/>
    <w:rsid w:val="001B4574"/>
    <w:rsid w:val="001C52C3"/>
    <w:rsid w:val="001D79CE"/>
    <w:rsid w:val="001E5F2A"/>
    <w:rsid w:val="002264FC"/>
    <w:rsid w:val="00236842"/>
    <w:rsid w:val="002505D2"/>
    <w:rsid w:val="0027009A"/>
    <w:rsid w:val="00292F13"/>
    <w:rsid w:val="002E5732"/>
    <w:rsid w:val="00321914"/>
    <w:rsid w:val="003554AE"/>
    <w:rsid w:val="0036369A"/>
    <w:rsid w:val="00371833"/>
    <w:rsid w:val="0037643E"/>
    <w:rsid w:val="003939AF"/>
    <w:rsid w:val="003A6BED"/>
    <w:rsid w:val="003B0169"/>
    <w:rsid w:val="003E099C"/>
    <w:rsid w:val="00404E64"/>
    <w:rsid w:val="004112EC"/>
    <w:rsid w:val="00447DC9"/>
    <w:rsid w:val="00451B6D"/>
    <w:rsid w:val="00461368"/>
    <w:rsid w:val="00465576"/>
    <w:rsid w:val="004824E9"/>
    <w:rsid w:val="005007F2"/>
    <w:rsid w:val="0055170A"/>
    <w:rsid w:val="00564202"/>
    <w:rsid w:val="00567D5E"/>
    <w:rsid w:val="005820DB"/>
    <w:rsid w:val="005A0316"/>
    <w:rsid w:val="005A63DC"/>
    <w:rsid w:val="005B13E4"/>
    <w:rsid w:val="005C7974"/>
    <w:rsid w:val="005D118B"/>
    <w:rsid w:val="00622857"/>
    <w:rsid w:val="00627D5F"/>
    <w:rsid w:val="0067100E"/>
    <w:rsid w:val="006806A7"/>
    <w:rsid w:val="00681F00"/>
    <w:rsid w:val="00696CD5"/>
    <w:rsid w:val="006B159E"/>
    <w:rsid w:val="006D491B"/>
    <w:rsid w:val="006F36C5"/>
    <w:rsid w:val="007113F6"/>
    <w:rsid w:val="00725F62"/>
    <w:rsid w:val="00743C23"/>
    <w:rsid w:val="00757209"/>
    <w:rsid w:val="007845DF"/>
    <w:rsid w:val="00791DB5"/>
    <w:rsid w:val="007A5110"/>
    <w:rsid w:val="007C15CA"/>
    <w:rsid w:val="007C3ADD"/>
    <w:rsid w:val="007D79CC"/>
    <w:rsid w:val="007F3111"/>
    <w:rsid w:val="008579FC"/>
    <w:rsid w:val="00864E8C"/>
    <w:rsid w:val="00877E8C"/>
    <w:rsid w:val="0088731E"/>
    <w:rsid w:val="008B0F2C"/>
    <w:rsid w:val="008B37F9"/>
    <w:rsid w:val="008B3BF4"/>
    <w:rsid w:val="008F4278"/>
    <w:rsid w:val="00910536"/>
    <w:rsid w:val="00945BE9"/>
    <w:rsid w:val="0095512F"/>
    <w:rsid w:val="00966CD1"/>
    <w:rsid w:val="00986E3E"/>
    <w:rsid w:val="009A0DBA"/>
    <w:rsid w:val="009B4B2F"/>
    <w:rsid w:val="009C0916"/>
    <w:rsid w:val="009C53E2"/>
    <w:rsid w:val="009D2ECC"/>
    <w:rsid w:val="009E592E"/>
    <w:rsid w:val="00A10F42"/>
    <w:rsid w:val="00A45E5C"/>
    <w:rsid w:val="00A6338A"/>
    <w:rsid w:val="00AC38DE"/>
    <w:rsid w:val="00AD797A"/>
    <w:rsid w:val="00B00C7F"/>
    <w:rsid w:val="00B202C6"/>
    <w:rsid w:val="00B32CBF"/>
    <w:rsid w:val="00B74189"/>
    <w:rsid w:val="00B769E5"/>
    <w:rsid w:val="00BC3A07"/>
    <w:rsid w:val="00BE6657"/>
    <w:rsid w:val="00C04A82"/>
    <w:rsid w:val="00C30672"/>
    <w:rsid w:val="00C41CE6"/>
    <w:rsid w:val="00C64593"/>
    <w:rsid w:val="00C64BA7"/>
    <w:rsid w:val="00C66CD9"/>
    <w:rsid w:val="00C76C6D"/>
    <w:rsid w:val="00CA09B2"/>
    <w:rsid w:val="00CA3FD5"/>
    <w:rsid w:val="00CB0281"/>
    <w:rsid w:val="00CF591E"/>
    <w:rsid w:val="00CF6A94"/>
    <w:rsid w:val="00D0037D"/>
    <w:rsid w:val="00D2481D"/>
    <w:rsid w:val="00D25127"/>
    <w:rsid w:val="00D341AB"/>
    <w:rsid w:val="00D84665"/>
    <w:rsid w:val="00D9155B"/>
    <w:rsid w:val="00D95B90"/>
    <w:rsid w:val="00D95FCF"/>
    <w:rsid w:val="00D96253"/>
    <w:rsid w:val="00DB2D8F"/>
    <w:rsid w:val="00DB4857"/>
    <w:rsid w:val="00E201A2"/>
    <w:rsid w:val="00E2089A"/>
    <w:rsid w:val="00E35F97"/>
    <w:rsid w:val="00E37A5B"/>
    <w:rsid w:val="00E40DA5"/>
    <w:rsid w:val="00E423C7"/>
    <w:rsid w:val="00E532FA"/>
    <w:rsid w:val="00E74CCD"/>
    <w:rsid w:val="00E91B35"/>
    <w:rsid w:val="00EA6C44"/>
    <w:rsid w:val="00EE29FB"/>
    <w:rsid w:val="00F043FA"/>
    <w:rsid w:val="00FB527F"/>
    <w:rsid w:val="00FD3A85"/>
    <w:rsid w:val="00FD4C77"/>
    <w:rsid w:val="00FD7CDD"/>
    <w:rsid w:val="00FE133B"/>
    <w:rsid w:val="00FF6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12659D"/>
    <w:pPr>
      <w:keepNext/>
      <w:spacing w:after="0" w:line="240" w:lineRule="auto"/>
      <w:outlineLvl w:val="1"/>
    </w:pPr>
    <w:rPr>
      <w:rFonts w:ascii="Arial" w:eastAsia="Times New Roman" w:hAnsi="Arial"/>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D3A85"/>
    <w:rPr>
      <w:sz w:val="22"/>
      <w:szCs w:val="22"/>
      <w:lang w:eastAsia="en-US"/>
    </w:rPr>
  </w:style>
  <w:style w:type="character" w:customStyle="1" w:styleId="NoSpacingChar">
    <w:name w:val="No Spacing Char"/>
    <w:link w:val="NoSpacing"/>
    <w:uiPriority w:val="1"/>
    <w:rsid w:val="00AC38DE"/>
    <w:rPr>
      <w:sz w:val="22"/>
      <w:szCs w:val="22"/>
      <w:lang w:eastAsia="en-US"/>
    </w:rPr>
  </w:style>
  <w:style w:type="paragraph" w:styleId="BalloonText">
    <w:name w:val="Balloon Text"/>
    <w:basedOn w:val="Normal"/>
    <w:link w:val="BalloonTextChar"/>
    <w:uiPriority w:val="99"/>
    <w:semiHidden/>
    <w:unhideWhenUsed/>
    <w:rsid w:val="009D2E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2ECC"/>
    <w:rPr>
      <w:rFonts w:ascii="Tahoma" w:hAnsi="Tahoma" w:cs="Tahoma"/>
      <w:sz w:val="16"/>
      <w:szCs w:val="16"/>
      <w:lang w:eastAsia="en-US"/>
    </w:rPr>
  </w:style>
  <w:style w:type="paragraph" w:styleId="NormalWeb">
    <w:name w:val="Normal (Web)"/>
    <w:basedOn w:val="Normal"/>
    <w:uiPriority w:val="99"/>
    <w:semiHidden/>
    <w:unhideWhenUsed/>
    <w:rsid w:val="00D2481D"/>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D2481D"/>
    <w:pPr>
      <w:spacing w:after="0" w:line="240" w:lineRule="auto"/>
      <w:ind w:left="720"/>
      <w:contextualSpacing/>
    </w:pPr>
    <w:rPr>
      <w:rFonts w:ascii="Times New Roman" w:eastAsia="Times New Roman" w:hAnsi="Times New Roman"/>
      <w:sz w:val="24"/>
      <w:szCs w:val="24"/>
      <w:lang w:eastAsia="en-GB"/>
    </w:rPr>
  </w:style>
  <w:style w:type="table" w:styleId="TableGrid">
    <w:name w:val="Table Grid"/>
    <w:basedOn w:val="TableNormal"/>
    <w:uiPriority w:val="59"/>
    <w:rsid w:val="009C5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12659D"/>
    <w:rPr>
      <w:rFonts w:ascii="Arial" w:eastAsia="Times New Roman" w:hAnsi="Arial"/>
      <w:b/>
      <w:sz w:val="36"/>
      <w:lang w:eastAsia="en-US"/>
    </w:rPr>
  </w:style>
  <w:style w:type="paragraph" w:styleId="Header">
    <w:name w:val="header"/>
    <w:basedOn w:val="Normal"/>
    <w:link w:val="HeaderChar"/>
    <w:rsid w:val="0012659D"/>
    <w:pPr>
      <w:tabs>
        <w:tab w:val="center" w:pos="4153"/>
        <w:tab w:val="right" w:pos="8306"/>
      </w:tabs>
      <w:spacing w:after="0" w:line="240" w:lineRule="auto"/>
    </w:pPr>
    <w:rPr>
      <w:rFonts w:ascii="Arial" w:eastAsia="Times New Roman" w:hAnsi="Arial"/>
      <w:b/>
      <w:sz w:val="28"/>
      <w:szCs w:val="20"/>
    </w:rPr>
  </w:style>
  <w:style w:type="character" w:customStyle="1" w:styleId="HeaderChar">
    <w:name w:val="Header Char"/>
    <w:link w:val="Header"/>
    <w:rsid w:val="0012659D"/>
    <w:rPr>
      <w:rFonts w:ascii="Arial" w:eastAsia="Times New Roman" w:hAnsi="Arial"/>
      <w:b/>
      <w:sz w:val="28"/>
      <w:lang w:eastAsia="en-US"/>
    </w:rPr>
  </w:style>
  <w:style w:type="paragraph" w:styleId="Footer">
    <w:name w:val="footer"/>
    <w:basedOn w:val="Normal"/>
    <w:link w:val="FooterChar"/>
    <w:rsid w:val="0012659D"/>
    <w:pPr>
      <w:tabs>
        <w:tab w:val="center" w:pos="4153"/>
        <w:tab w:val="right" w:pos="8306"/>
      </w:tabs>
      <w:spacing w:after="0" w:line="240" w:lineRule="auto"/>
    </w:pPr>
    <w:rPr>
      <w:rFonts w:ascii="Times New Roman" w:eastAsia="Times New Roman" w:hAnsi="Times New Roman"/>
      <w:sz w:val="24"/>
      <w:szCs w:val="20"/>
    </w:rPr>
  </w:style>
  <w:style w:type="character" w:customStyle="1" w:styleId="FooterChar">
    <w:name w:val="Footer Char"/>
    <w:link w:val="Footer"/>
    <w:rsid w:val="0012659D"/>
    <w:rPr>
      <w:rFonts w:ascii="Times New Roman" w:eastAsia="Times New Roman" w:hAnsi="Times New Roman"/>
      <w:sz w:val="24"/>
      <w:lang w:eastAsia="en-US"/>
    </w:rPr>
  </w:style>
  <w:style w:type="table" w:styleId="MediumShading2-Accent1">
    <w:name w:val="Medium Shading 2 Accent 1"/>
    <w:basedOn w:val="TableNormal"/>
    <w:uiPriority w:val="64"/>
    <w:rsid w:val="0075720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yperlink">
    <w:name w:val="Hyperlink"/>
    <w:uiPriority w:val="99"/>
    <w:unhideWhenUsed/>
    <w:rsid w:val="00E532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12659D"/>
    <w:pPr>
      <w:keepNext/>
      <w:spacing w:after="0" w:line="240" w:lineRule="auto"/>
      <w:outlineLvl w:val="1"/>
    </w:pPr>
    <w:rPr>
      <w:rFonts w:ascii="Arial" w:eastAsia="Times New Roman" w:hAnsi="Arial"/>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D3A85"/>
    <w:rPr>
      <w:sz w:val="22"/>
      <w:szCs w:val="22"/>
      <w:lang w:eastAsia="en-US"/>
    </w:rPr>
  </w:style>
  <w:style w:type="character" w:customStyle="1" w:styleId="NoSpacingChar">
    <w:name w:val="No Spacing Char"/>
    <w:link w:val="NoSpacing"/>
    <w:uiPriority w:val="1"/>
    <w:rsid w:val="00AC38DE"/>
    <w:rPr>
      <w:sz w:val="22"/>
      <w:szCs w:val="22"/>
      <w:lang w:eastAsia="en-US"/>
    </w:rPr>
  </w:style>
  <w:style w:type="paragraph" w:styleId="BalloonText">
    <w:name w:val="Balloon Text"/>
    <w:basedOn w:val="Normal"/>
    <w:link w:val="BalloonTextChar"/>
    <w:uiPriority w:val="99"/>
    <w:semiHidden/>
    <w:unhideWhenUsed/>
    <w:rsid w:val="009D2E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2ECC"/>
    <w:rPr>
      <w:rFonts w:ascii="Tahoma" w:hAnsi="Tahoma" w:cs="Tahoma"/>
      <w:sz w:val="16"/>
      <w:szCs w:val="16"/>
      <w:lang w:eastAsia="en-US"/>
    </w:rPr>
  </w:style>
  <w:style w:type="paragraph" w:styleId="NormalWeb">
    <w:name w:val="Normal (Web)"/>
    <w:basedOn w:val="Normal"/>
    <w:uiPriority w:val="99"/>
    <w:semiHidden/>
    <w:unhideWhenUsed/>
    <w:rsid w:val="00D2481D"/>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D2481D"/>
    <w:pPr>
      <w:spacing w:after="0" w:line="240" w:lineRule="auto"/>
      <w:ind w:left="720"/>
      <w:contextualSpacing/>
    </w:pPr>
    <w:rPr>
      <w:rFonts w:ascii="Times New Roman" w:eastAsia="Times New Roman" w:hAnsi="Times New Roman"/>
      <w:sz w:val="24"/>
      <w:szCs w:val="24"/>
      <w:lang w:eastAsia="en-GB"/>
    </w:rPr>
  </w:style>
  <w:style w:type="table" w:styleId="TableGrid">
    <w:name w:val="Table Grid"/>
    <w:basedOn w:val="TableNormal"/>
    <w:uiPriority w:val="59"/>
    <w:rsid w:val="009C5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12659D"/>
    <w:rPr>
      <w:rFonts w:ascii="Arial" w:eastAsia="Times New Roman" w:hAnsi="Arial"/>
      <w:b/>
      <w:sz w:val="36"/>
      <w:lang w:eastAsia="en-US"/>
    </w:rPr>
  </w:style>
  <w:style w:type="paragraph" w:styleId="Header">
    <w:name w:val="header"/>
    <w:basedOn w:val="Normal"/>
    <w:link w:val="HeaderChar"/>
    <w:rsid w:val="0012659D"/>
    <w:pPr>
      <w:tabs>
        <w:tab w:val="center" w:pos="4153"/>
        <w:tab w:val="right" w:pos="8306"/>
      </w:tabs>
      <w:spacing w:after="0" w:line="240" w:lineRule="auto"/>
    </w:pPr>
    <w:rPr>
      <w:rFonts w:ascii="Arial" w:eastAsia="Times New Roman" w:hAnsi="Arial"/>
      <w:b/>
      <w:sz w:val="28"/>
      <w:szCs w:val="20"/>
    </w:rPr>
  </w:style>
  <w:style w:type="character" w:customStyle="1" w:styleId="HeaderChar">
    <w:name w:val="Header Char"/>
    <w:link w:val="Header"/>
    <w:rsid w:val="0012659D"/>
    <w:rPr>
      <w:rFonts w:ascii="Arial" w:eastAsia="Times New Roman" w:hAnsi="Arial"/>
      <w:b/>
      <w:sz w:val="28"/>
      <w:lang w:eastAsia="en-US"/>
    </w:rPr>
  </w:style>
  <w:style w:type="paragraph" w:styleId="Footer">
    <w:name w:val="footer"/>
    <w:basedOn w:val="Normal"/>
    <w:link w:val="FooterChar"/>
    <w:rsid w:val="0012659D"/>
    <w:pPr>
      <w:tabs>
        <w:tab w:val="center" w:pos="4153"/>
        <w:tab w:val="right" w:pos="8306"/>
      </w:tabs>
      <w:spacing w:after="0" w:line="240" w:lineRule="auto"/>
    </w:pPr>
    <w:rPr>
      <w:rFonts w:ascii="Times New Roman" w:eastAsia="Times New Roman" w:hAnsi="Times New Roman"/>
      <w:sz w:val="24"/>
      <w:szCs w:val="20"/>
    </w:rPr>
  </w:style>
  <w:style w:type="character" w:customStyle="1" w:styleId="FooterChar">
    <w:name w:val="Footer Char"/>
    <w:link w:val="Footer"/>
    <w:rsid w:val="0012659D"/>
    <w:rPr>
      <w:rFonts w:ascii="Times New Roman" w:eastAsia="Times New Roman" w:hAnsi="Times New Roman"/>
      <w:sz w:val="24"/>
      <w:lang w:eastAsia="en-US"/>
    </w:rPr>
  </w:style>
  <w:style w:type="table" w:styleId="MediumShading2-Accent1">
    <w:name w:val="Medium Shading 2 Accent 1"/>
    <w:basedOn w:val="TableNormal"/>
    <w:uiPriority w:val="64"/>
    <w:rsid w:val="0075720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yperlink">
    <w:name w:val="Hyperlink"/>
    <w:uiPriority w:val="99"/>
    <w:unhideWhenUsed/>
    <w:rsid w:val="00E5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009549">
      <w:bodyDiv w:val="1"/>
      <w:marLeft w:val="0"/>
      <w:marRight w:val="0"/>
      <w:marTop w:val="0"/>
      <w:marBottom w:val="0"/>
      <w:divBdr>
        <w:top w:val="none" w:sz="0" w:space="0" w:color="auto"/>
        <w:left w:val="none" w:sz="0" w:space="0" w:color="auto"/>
        <w:bottom w:val="none" w:sz="0" w:space="0" w:color="auto"/>
        <w:right w:val="none" w:sz="0" w:space="0" w:color="auto"/>
      </w:divBdr>
    </w:div>
    <w:div w:id="1382289125">
      <w:bodyDiv w:val="1"/>
      <w:marLeft w:val="0"/>
      <w:marRight w:val="0"/>
      <w:marTop w:val="0"/>
      <w:marBottom w:val="0"/>
      <w:divBdr>
        <w:top w:val="none" w:sz="0" w:space="0" w:color="auto"/>
        <w:left w:val="none" w:sz="0" w:space="0" w:color="auto"/>
        <w:bottom w:val="none" w:sz="0" w:space="0" w:color="auto"/>
        <w:right w:val="none" w:sz="0" w:space="0" w:color="auto"/>
      </w:divBdr>
    </w:div>
    <w:div w:id="1677153289">
      <w:bodyDiv w:val="1"/>
      <w:marLeft w:val="0"/>
      <w:marRight w:val="0"/>
      <w:marTop w:val="0"/>
      <w:marBottom w:val="0"/>
      <w:divBdr>
        <w:top w:val="none" w:sz="0" w:space="0" w:color="auto"/>
        <w:left w:val="none" w:sz="0" w:space="0" w:color="auto"/>
        <w:bottom w:val="none" w:sz="0" w:space="0" w:color="auto"/>
        <w:right w:val="none" w:sz="0" w:space="0" w:color="auto"/>
      </w:divBdr>
    </w:div>
    <w:div w:id="1765148310">
      <w:bodyDiv w:val="1"/>
      <w:marLeft w:val="0"/>
      <w:marRight w:val="0"/>
      <w:marTop w:val="0"/>
      <w:marBottom w:val="0"/>
      <w:divBdr>
        <w:top w:val="none" w:sz="0" w:space="0" w:color="auto"/>
        <w:left w:val="none" w:sz="0" w:space="0" w:color="auto"/>
        <w:bottom w:val="none" w:sz="0" w:space="0" w:color="auto"/>
        <w:right w:val="none" w:sz="0" w:space="0" w:color="auto"/>
      </w:divBdr>
    </w:div>
    <w:div w:id="184058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evan.wind@southend.nhs.uk"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3889</Words>
  <Characters>22170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Southend University Hospital NHS Foundation Trust</Company>
  <LinksUpToDate>false</LinksUpToDate>
  <CharactersWithSpaces>26007</CharactersWithSpaces>
  <SharedDoc>false</SharedDoc>
  <HLinks>
    <vt:vector size="12" baseType="variant">
      <vt:variant>
        <vt:i4>3801093</vt:i4>
      </vt:variant>
      <vt:variant>
        <vt:i4>0</vt:i4>
      </vt:variant>
      <vt:variant>
        <vt:i4>0</vt:i4>
      </vt:variant>
      <vt:variant>
        <vt:i4>5</vt:i4>
      </vt:variant>
      <vt:variant>
        <vt:lpwstr>mailto:Kevan.wind@southend.nhs.uk</vt:lpwstr>
      </vt:variant>
      <vt:variant>
        <vt:lpwstr/>
      </vt:variant>
      <vt:variant>
        <vt:i4>524316</vt:i4>
      </vt:variant>
      <vt:variant>
        <vt:i4>0</vt:i4>
      </vt:variant>
      <vt:variant>
        <vt:i4>0</vt:i4>
      </vt:variant>
      <vt:variant>
        <vt:i4>5</vt:i4>
      </vt:variant>
      <vt:variant>
        <vt:lpwstr>https://www.cmu.nhs.uk/secure/EDIS/Login.aspx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 Kevan</dc:creator>
  <cp:lastModifiedBy>Kevan Wind</cp:lastModifiedBy>
  <cp:revision>2</cp:revision>
  <dcterms:created xsi:type="dcterms:W3CDTF">2016-03-14T09:46:00Z</dcterms:created>
  <dcterms:modified xsi:type="dcterms:W3CDTF">2016-03-14T09:46:00Z</dcterms:modified>
</cp:coreProperties>
</file>