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1D220" w14:textId="0EE2AEA5" w:rsidR="0019125B" w:rsidRPr="00C717BD" w:rsidRDefault="0019125B" w:rsidP="1FCA46AB">
      <w:pPr>
        <w:keepNext/>
        <w:keepLines/>
        <w:spacing w:after="240" w:line="240" w:lineRule="auto"/>
        <w:jc w:val="center"/>
        <w:outlineLvl w:val="1"/>
        <w:rPr>
          <w:b/>
          <w:bCs/>
          <w:lang w:val="en-US"/>
        </w:rPr>
      </w:pPr>
      <w:r w:rsidRPr="1FCA46AB">
        <w:rPr>
          <w:b/>
          <w:bCs/>
          <w:lang w:val="en-US"/>
        </w:rPr>
        <w:t>DATA PROTECTION PROTOCOL</w:t>
      </w:r>
    </w:p>
    <w:p w14:paraId="6856EE43" w14:textId="61C56B66" w:rsidR="0019125B" w:rsidRDefault="0019125B" w:rsidP="001B28BC">
      <w:pPr>
        <w:spacing w:before="0" w:after="240" w:line="240" w:lineRule="auto"/>
        <w:rPr>
          <w:i/>
          <w:color w:val="999999"/>
          <w:szCs w:val="19"/>
        </w:rPr>
      </w:pPr>
      <w:r w:rsidRPr="0028308A">
        <w:rPr>
          <w:i/>
          <w:color w:val="999999"/>
          <w:sz w:val="20"/>
          <w:szCs w:val="19"/>
        </w:rPr>
        <w:t xml:space="preserve">Guidance: </w:t>
      </w:r>
      <w:r>
        <w:rPr>
          <w:i/>
          <w:color w:val="999999"/>
          <w:sz w:val="20"/>
          <w:szCs w:val="19"/>
        </w:rPr>
        <w:t>This Data Protection Protocol is for use alongside the NHS terms and conditions</w:t>
      </w:r>
      <w:r w:rsidR="00C53ED6">
        <w:rPr>
          <w:i/>
          <w:color w:val="999999"/>
          <w:sz w:val="20"/>
          <w:szCs w:val="19"/>
        </w:rPr>
        <w:t>.</w:t>
      </w:r>
      <w:r>
        <w:rPr>
          <w:i/>
          <w:color w:val="999999"/>
          <w:sz w:val="20"/>
          <w:szCs w:val="19"/>
        </w:rPr>
        <w:t xml:space="preserve"> The table at the beginning of the Protocol </w:t>
      </w:r>
      <w:r w:rsidRPr="00E13681">
        <w:rPr>
          <w:i/>
          <w:color w:val="999999"/>
          <w:sz w:val="20"/>
          <w:szCs w:val="19"/>
        </w:rPr>
        <w:t>should be completed</w:t>
      </w:r>
      <w:r w:rsidRPr="0028308A">
        <w:rPr>
          <w:i/>
          <w:color w:val="999999"/>
          <w:sz w:val="20"/>
          <w:szCs w:val="19"/>
        </w:rPr>
        <w:t xml:space="preserve"> </w:t>
      </w:r>
      <w:r>
        <w:rPr>
          <w:i/>
          <w:color w:val="999999"/>
          <w:sz w:val="20"/>
          <w:szCs w:val="19"/>
        </w:rPr>
        <w:t>by the Authority</w:t>
      </w:r>
      <w:r w:rsidRPr="00E13681">
        <w:rPr>
          <w:i/>
          <w:color w:val="999999"/>
          <w:sz w:val="20"/>
          <w:szCs w:val="19"/>
        </w:rPr>
        <w:t xml:space="preserve"> setting out the nature of the</w:t>
      </w:r>
      <w:r w:rsidR="00C53ED6">
        <w:rPr>
          <w:i/>
          <w:color w:val="999999"/>
          <w:sz w:val="20"/>
          <w:szCs w:val="19"/>
        </w:rPr>
        <w:t xml:space="preserve"> relationship and</w:t>
      </w:r>
      <w:r w:rsidRPr="00E13681">
        <w:rPr>
          <w:i/>
          <w:color w:val="999999"/>
          <w:sz w:val="20"/>
          <w:szCs w:val="19"/>
        </w:rPr>
        <w:t xml:space="preserve"> processing that will be </w:t>
      </w:r>
      <w:r w:rsidR="00C53ED6">
        <w:rPr>
          <w:i/>
          <w:color w:val="999999"/>
          <w:sz w:val="20"/>
          <w:szCs w:val="19"/>
        </w:rPr>
        <w:t>taking place under the Contract.</w:t>
      </w:r>
    </w:p>
    <w:p w14:paraId="69FF7BF8" w14:textId="77777777" w:rsidR="0019125B" w:rsidRPr="001B28BC" w:rsidRDefault="0019125B" w:rsidP="00311FFC">
      <w:pPr>
        <w:keepNext/>
        <w:keepLines/>
        <w:spacing w:line="240" w:lineRule="auto"/>
        <w:jc w:val="center"/>
        <w:outlineLvl w:val="2"/>
        <w:rPr>
          <w:b/>
        </w:rPr>
      </w:pPr>
      <w:r w:rsidRPr="001B28BC">
        <w:rPr>
          <w:b/>
        </w:rPr>
        <w:t>Table A – Processing, Personal Data and Data Subjects</w:t>
      </w:r>
    </w:p>
    <w:p w14:paraId="0943CE0F" w14:textId="77777777" w:rsidR="0019125B" w:rsidRPr="00EE0550" w:rsidRDefault="0019125B" w:rsidP="00E54321">
      <w:pPr>
        <w:spacing w:line="240" w:lineRule="auto"/>
        <w:rPr>
          <w:szCs w:val="24"/>
        </w:rPr>
      </w:pPr>
      <w:r w:rsidRPr="00EE0550">
        <w:rPr>
          <w:szCs w:val="24"/>
        </w:rPr>
        <w:t xml:space="preserve">This </w:t>
      </w:r>
      <w:r>
        <w:rPr>
          <w:szCs w:val="24"/>
        </w:rPr>
        <w:t>Table</w:t>
      </w:r>
      <w:r w:rsidRPr="00EE0550">
        <w:rPr>
          <w:szCs w:val="24"/>
        </w:rPr>
        <w:t xml:space="preserve"> shall be completed by the </w:t>
      </w:r>
      <w:r>
        <w:rPr>
          <w:szCs w:val="24"/>
        </w:rPr>
        <w:t>Authority</w:t>
      </w:r>
      <w:r w:rsidRPr="00EE0550">
        <w:rPr>
          <w:szCs w:val="24"/>
        </w:rPr>
        <w:t xml:space="preserve">, who may take account of the view of the </w:t>
      </w:r>
      <w:r>
        <w:rPr>
          <w:szCs w:val="24"/>
        </w:rPr>
        <w:t>Supplier</w:t>
      </w:r>
      <w:r w:rsidRPr="00EE0550">
        <w:rPr>
          <w:szCs w:val="24"/>
        </w:rPr>
        <w:t xml:space="preserve">, however the final decision as to the content of this </w:t>
      </w:r>
      <w:r>
        <w:rPr>
          <w:szCs w:val="24"/>
        </w:rPr>
        <w:t>Table</w:t>
      </w:r>
      <w:r w:rsidRPr="00EE0550">
        <w:rPr>
          <w:szCs w:val="24"/>
        </w:rPr>
        <w:t xml:space="preserve"> shall be with the </w:t>
      </w:r>
      <w:r>
        <w:rPr>
          <w:szCs w:val="24"/>
        </w:rPr>
        <w:t>Authority</w:t>
      </w:r>
      <w:r w:rsidRPr="00EE0550">
        <w:rPr>
          <w:szCs w:val="24"/>
        </w:rPr>
        <w:t xml:space="preserve"> at its absolute discretion.</w:t>
      </w:r>
    </w:p>
    <w:p w14:paraId="0A681866" w14:textId="77777777" w:rsidR="00311FFC" w:rsidRPr="0019125B" w:rsidRDefault="00311FFC" w:rsidP="00311FFC">
      <w:pPr>
        <w:spacing w:before="0" w:line="240" w:lineRule="auto"/>
        <w:ind w:left="714" w:hanging="357"/>
        <w:rPr>
          <w:szCs w:val="24"/>
          <w:lang w:val="en-US" w:eastAsia="en-US"/>
        </w:rPr>
      </w:pPr>
    </w:p>
    <w:p w14:paraId="567CBC66" w14:textId="77777777" w:rsidR="0019125B" w:rsidRPr="00E13681" w:rsidRDefault="0019125B" w:rsidP="00E54321">
      <w:pPr>
        <w:spacing w:before="1" w:line="240" w:lineRule="auto"/>
        <w:rPr>
          <w:rFonts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957"/>
        <w:gridCol w:w="7015"/>
      </w:tblGrid>
      <w:tr w:rsidR="0019125B" w:rsidRPr="00E13681" w14:paraId="7A0BE78B"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EBEBE"/>
          </w:tcPr>
          <w:p w14:paraId="0A546981" w14:textId="77777777" w:rsidR="0019125B" w:rsidRPr="00E13681" w:rsidRDefault="0019125B" w:rsidP="00E54321">
            <w:pPr>
              <w:spacing w:before="14" w:line="240" w:lineRule="auto"/>
              <w:ind w:left="795"/>
              <w:rPr>
                <w:szCs w:val="24"/>
              </w:rPr>
            </w:pPr>
            <w:r w:rsidRPr="00E13681">
              <w:rPr>
                <w:b/>
                <w:sz w:val="24"/>
                <w:szCs w:val="24"/>
              </w:rPr>
              <w:t>Description</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EBEBE"/>
          </w:tcPr>
          <w:p w14:paraId="6360222C" w14:textId="77777777" w:rsidR="0019125B" w:rsidRPr="00E13681" w:rsidRDefault="0019125B" w:rsidP="00E54321">
            <w:pPr>
              <w:spacing w:before="14" w:line="240" w:lineRule="auto"/>
              <w:ind w:left="2918" w:right="2941"/>
              <w:jc w:val="center"/>
              <w:rPr>
                <w:szCs w:val="24"/>
              </w:rPr>
            </w:pPr>
            <w:r w:rsidRPr="00E13681">
              <w:rPr>
                <w:b/>
                <w:sz w:val="24"/>
                <w:szCs w:val="24"/>
              </w:rPr>
              <w:t>Details</w:t>
            </w:r>
          </w:p>
        </w:tc>
      </w:tr>
      <w:tr w:rsidR="0019125B" w:rsidRPr="00EE0550" w14:paraId="35975F2E"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BEBF79" w14:textId="36E8E795" w:rsidR="0019125B" w:rsidRPr="00E13681" w:rsidRDefault="0019125B" w:rsidP="001958B8">
            <w:pPr>
              <w:spacing w:line="240" w:lineRule="auto"/>
              <w:ind w:left="104"/>
              <w:rPr>
                <w:szCs w:val="24"/>
              </w:rPr>
            </w:pPr>
            <w:r w:rsidRPr="00EE0550">
              <w:rPr>
                <w:sz w:val="24"/>
                <w:szCs w:val="24"/>
              </w:rPr>
              <w:t>Identity of the Controller</w:t>
            </w:r>
            <w:r>
              <w:rPr>
                <w:sz w:val="24"/>
                <w:szCs w:val="24"/>
              </w:rPr>
              <w:t xml:space="preserve"> </w:t>
            </w:r>
            <w:r w:rsidRPr="00EE0550">
              <w:rPr>
                <w:sz w:val="24"/>
                <w:szCs w:val="24"/>
              </w:rPr>
              <w:t xml:space="preserve">and </w:t>
            </w:r>
            <w:r w:rsidR="006276E4">
              <w:rPr>
                <w:sz w:val="24"/>
                <w:szCs w:val="24"/>
              </w:rPr>
              <w:t>Proces</w:t>
            </w:r>
            <w:r w:rsidR="001958B8">
              <w:rPr>
                <w:sz w:val="24"/>
                <w:szCs w:val="24"/>
              </w:rPr>
              <w:t>s</w:t>
            </w:r>
            <w:r w:rsidR="001958B8" w:rsidRPr="00EE0550">
              <w:rPr>
                <w:sz w:val="24"/>
                <w:szCs w:val="24"/>
              </w:rPr>
              <w:t>or</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A42315" w14:textId="4A6DF1E1" w:rsidR="00C53ED6" w:rsidRPr="00462C1F" w:rsidRDefault="00C53ED6" w:rsidP="1FCA46AB">
            <w:pPr>
              <w:spacing w:line="240" w:lineRule="auto"/>
              <w:ind w:left="104" w:right="135"/>
              <w:rPr>
                <w:rFonts w:eastAsia="Arial" w:cs="Arial"/>
                <w:sz w:val="24"/>
                <w:szCs w:val="24"/>
              </w:rPr>
            </w:pPr>
            <w:r w:rsidRPr="1FCA46AB">
              <w:rPr>
                <w:rFonts w:eastAsia="Arial" w:cs="Arial"/>
                <w:sz w:val="24"/>
                <w:szCs w:val="24"/>
              </w:rPr>
              <w:t xml:space="preserve">The Parties acknowledge that they are </w:t>
            </w:r>
            <w:r w:rsidR="004761C1" w:rsidRPr="1FCA46AB">
              <w:rPr>
                <w:rFonts w:eastAsia="Arial" w:cs="Arial"/>
                <w:sz w:val="24"/>
                <w:szCs w:val="24"/>
              </w:rPr>
              <w:t xml:space="preserve">independent </w:t>
            </w:r>
            <w:r w:rsidRPr="1FCA46AB">
              <w:rPr>
                <w:rFonts w:eastAsia="Arial" w:cs="Arial"/>
                <w:sz w:val="24"/>
                <w:szCs w:val="24"/>
              </w:rPr>
              <w:t>Controllers for the purposes of the Data Protection Legislation</w:t>
            </w:r>
            <w:r w:rsidR="0E41BD84" w:rsidRPr="1FCA46AB">
              <w:rPr>
                <w:rFonts w:eastAsia="Arial" w:cs="Arial"/>
                <w:sz w:val="24"/>
                <w:szCs w:val="24"/>
              </w:rPr>
              <w:t>.</w:t>
            </w:r>
          </w:p>
          <w:p w14:paraId="36E2B8DE" w14:textId="1DAD7869" w:rsidR="00C53ED6" w:rsidRPr="00462C1F" w:rsidRDefault="00C53ED6" w:rsidP="1FCA46AB">
            <w:pPr>
              <w:spacing w:line="240" w:lineRule="auto"/>
              <w:ind w:left="104" w:right="135"/>
              <w:rPr>
                <w:rFonts w:eastAsia="Arial" w:cs="Arial"/>
                <w:sz w:val="24"/>
                <w:szCs w:val="24"/>
              </w:rPr>
            </w:pPr>
            <w:r w:rsidRPr="1FCA46AB">
              <w:rPr>
                <w:rFonts w:eastAsia="Arial" w:cs="Arial"/>
                <w:sz w:val="24"/>
                <w:szCs w:val="24"/>
              </w:rPr>
              <w:t>In respect of Personal Data</w:t>
            </w:r>
            <w:r w:rsidR="144ED0DF" w:rsidRPr="1FCA46AB">
              <w:rPr>
                <w:rFonts w:eastAsia="Arial" w:cs="Arial"/>
                <w:sz w:val="24"/>
                <w:szCs w:val="24"/>
              </w:rPr>
              <w:t xml:space="preserve"> shared under the Contract in circumstances where the Authority and </w:t>
            </w:r>
            <w:r w:rsidR="008D7BED" w:rsidRPr="1FCA46AB">
              <w:rPr>
                <w:rFonts w:eastAsia="Arial" w:cs="Arial"/>
                <w:sz w:val="24"/>
                <w:szCs w:val="24"/>
              </w:rPr>
              <w:t xml:space="preserve">the </w:t>
            </w:r>
            <w:r w:rsidR="144ED0DF" w:rsidRPr="1FCA46AB">
              <w:rPr>
                <w:rFonts w:eastAsia="Arial" w:cs="Arial"/>
                <w:sz w:val="24"/>
                <w:szCs w:val="24"/>
              </w:rPr>
              <w:t xml:space="preserve">Supplier </w:t>
            </w:r>
            <w:r w:rsidR="34975E24" w:rsidRPr="1FCA46AB">
              <w:rPr>
                <w:rFonts w:eastAsia="Arial" w:cs="Arial"/>
                <w:sz w:val="24"/>
                <w:szCs w:val="24"/>
              </w:rPr>
              <w:t>are</w:t>
            </w:r>
            <w:r w:rsidR="144ED0DF" w:rsidRPr="1FCA46AB">
              <w:rPr>
                <w:rFonts w:eastAsia="Arial" w:cs="Arial"/>
                <w:sz w:val="24"/>
                <w:szCs w:val="24"/>
              </w:rPr>
              <w:t xml:space="preserve"> independent Controller</w:t>
            </w:r>
            <w:r w:rsidR="34975E24" w:rsidRPr="1FCA46AB">
              <w:rPr>
                <w:rFonts w:eastAsia="Arial" w:cs="Arial"/>
                <w:sz w:val="24"/>
                <w:szCs w:val="24"/>
              </w:rPr>
              <w:t>s</w:t>
            </w:r>
            <w:r w:rsidRPr="1FCA46AB">
              <w:rPr>
                <w:rFonts w:eastAsia="Arial" w:cs="Arial"/>
                <w:sz w:val="24"/>
                <w:szCs w:val="24"/>
              </w:rPr>
              <w:t xml:space="preserve">, Clause </w:t>
            </w:r>
            <w:r w:rsidR="004761C1" w:rsidRPr="1FCA46AB">
              <w:rPr>
                <w:rFonts w:eastAsia="Arial" w:cs="Arial"/>
                <w:sz w:val="24"/>
                <w:szCs w:val="24"/>
              </w:rPr>
              <w:t xml:space="preserve">3 </w:t>
            </w:r>
            <w:r w:rsidR="1B033047" w:rsidRPr="1FCA46AB">
              <w:rPr>
                <w:rFonts w:eastAsia="Arial" w:cs="Arial"/>
                <w:sz w:val="24"/>
                <w:szCs w:val="24"/>
              </w:rPr>
              <w:t xml:space="preserve">of this Protocol </w:t>
            </w:r>
            <w:r w:rsidRPr="1FCA46AB">
              <w:rPr>
                <w:rFonts w:eastAsia="Arial" w:cs="Arial"/>
                <w:sz w:val="24"/>
                <w:szCs w:val="24"/>
              </w:rPr>
              <w:t>will apply</w:t>
            </w:r>
            <w:r w:rsidR="58F412FA" w:rsidRPr="1FCA46AB">
              <w:rPr>
                <w:rFonts w:eastAsia="Arial" w:cs="Arial"/>
                <w:sz w:val="24"/>
                <w:szCs w:val="24"/>
              </w:rPr>
              <w:t>.</w:t>
            </w:r>
          </w:p>
          <w:p w14:paraId="4E39CA7D" w14:textId="67EECA22" w:rsidR="00F01D18" w:rsidRDefault="2D4AFDA8" w:rsidP="1FCA46AB">
            <w:pPr>
              <w:spacing w:line="240" w:lineRule="auto"/>
              <w:ind w:left="104" w:right="135"/>
              <w:rPr>
                <w:rFonts w:eastAsia="Arial" w:cs="Arial"/>
                <w:sz w:val="24"/>
                <w:szCs w:val="24"/>
              </w:rPr>
            </w:pPr>
            <w:r w:rsidRPr="1FCA46AB">
              <w:rPr>
                <w:rFonts w:eastAsia="Arial" w:cs="Arial"/>
                <w:sz w:val="24"/>
                <w:szCs w:val="24"/>
              </w:rPr>
              <w:t>Both NHS clinical referring centres and homecare providers are independent data controllers</w:t>
            </w:r>
            <w:r w:rsidR="736D0713" w:rsidRPr="1FCA46AB">
              <w:rPr>
                <w:rFonts w:eastAsia="Arial" w:cs="Arial"/>
                <w:sz w:val="24"/>
                <w:szCs w:val="24"/>
              </w:rPr>
              <w:t xml:space="preserve">. </w:t>
            </w:r>
            <w:r w:rsidRPr="1FCA46AB">
              <w:rPr>
                <w:rFonts w:eastAsia="Arial" w:cs="Arial"/>
                <w:sz w:val="24"/>
                <w:szCs w:val="24"/>
              </w:rPr>
              <w:t xml:space="preserve">NHS clinical referring centres routinely </w:t>
            </w:r>
            <w:r w:rsidR="01AF3252" w:rsidRPr="1FCA46AB">
              <w:rPr>
                <w:rFonts w:eastAsia="Arial" w:cs="Arial"/>
                <w:sz w:val="24"/>
                <w:szCs w:val="24"/>
              </w:rPr>
              <w:t>using (a)</w:t>
            </w:r>
            <w:r w:rsidRPr="1FCA46AB">
              <w:rPr>
                <w:rFonts w:eastAsia="Arial" w:cs="Arial"/>
                <w:sz w:val="24"/>
                <w:szCs w:val="24"/>
              </w:rPr>
              <w:t xml:space="preserve"> </w:t>
            </w:r>
            <w:r w:rsidR="6E66B383" w:rsidRPr="1FCA46AB">
              <w:rPr>
                <w:rFonts w:eastAsia="Arial" w:cs="Arial"/>
                <w:sz w:val="24"/>
                <w:szCs w:val="24"/>
              </w:rPr>
              <w:t xml:space="preserve">Article 6(1)(e) </w:t>
            </w:r>
            <w:r w:rsidRPr="1FCA46AB">
              <w:rPr>
                <w:rFonts w:eastAsia="Arial" w:cs="Arial"/>
                <w:sz w:val="24"/>
                <w:szCs w:val="24"/>
              </w:rPr>
              <w:t>‘performance of a task carried out in the public interest (public task)’</w:t>
            </w:r>
            <w:r w:rsidR="088E03D3" w:rsidRPr="1FCA46AB">
              <w:rPr>
                <w:rFonts w:eastAsia="Arial" w:cs="Arial"/>
                <w:sz w:val="24"/>
                <w:szCs w:val="24"/>
              </w:rPr>
              <w:t xml:space="preserve"> (for non-special category personal data) and (b) Article 9(2)(h) GDPR for special category personal data</w:t>
            </w:r>
            <w:r w:rsidRPr="1FCA46AB">
              <w:rPr>
                <w:rFonts w:eastAsia="Arial" w:cs="Arial"/>
                <w:sz w:val="24"/>
                <w:szCs w:val="24"/>
              </w:rPr>
              <w:t xml:space="preserve"> as the lawful basis of processing patient data and homecare providers routinely us</w:t>
            </w:r>
            <w:r w:rsidR="00D63A34" w:rsidRPr="1FCA46AB">
              <w:rPr>
                <w:rFonts w:eastAsia="Arial" w:cs="Arial"/>
                <w:sz w:val="24"/>
                <w:szCs w:val="24"/>
              </w:rPr>
              <w:t>e</w:t>
            </w:r>
            <w:r w:rsidRPr="1FCA46AB">
              <w:rPr>
                <w:rFonts w:eastAsia="Arial" w:cs="Arial"/>
                <w:sz w:val="24"/>
                <w:szCs w:val="24"/>
              </w:rPr>
              <w:t xml:space="preserve"> </w:t>
            </w:r>
            <w:r w:rsidR="00D63A34" w:rsidRPr="1FCA46AB">
              <w:rPr>
                <w:rFonts w:eastAsia="Arial" w:cs="Arial"/>
                <w:sz w:val="24"/>
                <w:szCs w:val="24"/>
              </w:rPr>
              <w:t xml:space="preserve">(a) Article 6(1)(f) GDPR - </w:t>
            </w:r>
            <w:r w:rsidRPr="1FCA46AB">
              <w:rPr>
                <w:rFonts w:eastAsia="Arial" w:cs="Arial"/>
                <w:sz w:val="24"/>
                <w:szCs w:val="24"/>
              </w:rPr>
              <w:t xml:space="preserve">legitimate interest </w:t>
            </w:r>
            <w:r w:rsidR="00D63A34" w:rsidRPr="1FCA46AB">
              <w:rPr>
                <w:rFonts w:eastAsia="Arial" w:cs="Arial"/>
                <w:sz w:val="24"/>
                <w:szCs w:val="24"/>
              </w:rPr>
              <w:t xml:space="preserve">(for non-special category personal data) and (b) Article 9(2)(h) GDPR for special category personal data </w:t>
            </w:r>
            <w:r w:rsidRPr="1FCA46AB">
              <w:rPr>
                <w:rFonts w:eastAsia="Arial" w:cs="Arial"/>
                <w:sz w:val="24"/>
                <w:szCs w:val="24"/>
              </w:rPr>
              <w:t>as the lawful bas</w:t>
            </w:r>
            <w:r w:rsidR="00D63A34" w:rsidRPr="1FCA46AB">
              <w:rPr>
                <w:rFonts w:eastAsia="Arial" w:cs="Arial"/>
                <w:sz w:val="24"/>
                <w:szCs w:val="24"/>
              </w:rPr>
              <w:t>e</w:t>
            </w:r>
            <w:r w:rsidRPr="1FCA46AB">
              <w:rPr>
                <w:rFonts w:eastAsia="Arial" w:cs="Arial"/>
                <w:sz w:val="24"/>
                <w:szCs w:val="24"/>
              </w:rPr>
              <w:t>s of processing patient data in the provision of clinical and medicines homecare services for NHS patients.</w:t>
            </w:r>
          </w:p>
          <w:p w14:paraId="0DE9BAFD" w14:textId="2DAE8299" w:rsidR="00F01D18" w:rsidRPr="008D5821" w:rsidRDefault="58BC7502" w:rsidP="1FCA46AB">
            <w:pPr>
              <w:spacing w:line="240" w:lineRule="auto"/>
              <w:ind w:left="104" w:right="135"/>
              <w:rPr>
                <w:rFonts w:eastAsia="Arial" w:cs="Arial"/>
                <w:sz w:val="24"/>
                <w:szCs w:val="24"/>
              </w:rPr>
            </w:pPr>
            <w:r w:rsidRPr="1FCA46AB">
              <w:rPr>
                <w:rFonts w:eastAsia="Arial" w:cs="Arial"/>
                <w:sz w:val="24"/>
                <w:szCs w:val="24"/>
              </w:rPr>
              <w:t>See Annex B – Legal Basis for Data Processing</w:t>
            </w:r>
          </w:p>
          <w:p w14:paraId="1856FE62" w14:textId="77777777" w:rsidR="00245975" w:rsidRPr="00462C1F" w:rsidRDefault="736D0713" w:rsidP="1FCA46AB">
            <w:pPr>
              <w:spacing w:line="240" w:lineRule="auto"/>
              <w:ind w:left="104" w:right="135"/>
              <w:rPr>
                <w:rFonts w:eastAsia="Arial" w:cs="Arial"/>
                <w:sz w:val="24"/>
                <w:szCs w:val="24"/>
              </w:rPr>
            </w:pPr>
            <w:r w:rsidRPr="1FCA46AB">
              <w:rPr>
                <w:rFonts w:eastAsia="Arial" w:cs="Arial"/>
                <w:sz w:val="24"/>
                <w:szCs w:val="24"/>
              </w:rPr>
              <w:t>Patient identifiable data can only be processed for the legitimate interest of delivering the clinical and medicines homecare service which the NHS has commissioned. Whilst legitimate interest is a wide category, the homecare provider can only use the personal data in ways that patients would reasonably expect and this test must be strictly applied where special category data (e.g. health data) is being processed. In practice this means the patient’s personal data will only be used to provide the clinical and medicines homecare service as stated in the clinical referring centres clinical and medicines homecare service information and the homecare provider’s welcome pack.</w:t>
            </w:r>
          </w:p>
          <w:p w14:paraId="45F07A79" w14:textId="76E53221" w:rsidR="00DD0AF1" w:rsidRPr="00462C1F" w:rsidRDefault="00DD0AF1" w:rsidP="00DD0AF1">
            <w:pPr>
              <w:spacing w:line="240" w:lineRule="auto"/>
              <w:ind w:left="104" w:right="142"/>
              <w:jc w:val="left"/>
            </w:pPr>
          </w:p>
        </w:tc>
      </w:tr>
      <w:tr w:rsidR="0019125B" w:rsidRPr="00E13681" w14:paraId="5C998501"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2B3EC8" w14:textId="77777777" w:rsidR="0019125B" w:rsidRPr="00E13681" w:rsidRDefault="0019125B" w:rsidP="00E54321">
            <w:pPr>
              <w:spacing w:line="240" w:lineRule="auto"/>
              <w:ind w:left="104"/>
              <w:rPr>
                <w:szCs w:val="24"/>
              </w:rPr>
            </w:pPr>
            <w:r w:rsidRPr="00E13681">
              <w:rPr>
                <w:sz w:val="24"/>
                <w:szCs w:val="24"/>
              </w:rPr>
              <w:t>Subject matter of the</w:t>
            </w:r>
          </w:p>
          <w:p w14:paraId="151434AF" w14:textId="77777777" w:rsidR="0019125B" w:rsidRPr="00E13681" w:rsidRDefault="001958B8" w:rsidP="00E54321">
            <w:pPr>
              <w:spacing w:before="9" w:line="240" w:lineRule="auto"/>
              <w:ind w:left="104"/>
              <w:rPr>
                <w:szCs w:val="24"/>
              </w:rPr>
            </w:pPr>
            <w:r>
              <w:rPr>
                <w:sz w:val="24"/>
                <w:szCs w:val="24"/>
              </w:rPr>
              <w:lastRenderedPageBreak/>
              <w:t>P</w:t>
            </w:r>
            <w:r w:rsidR="0019125B" w:rsidRPr="00E13681">
              <w:rPr>
                <w:sz w:val="24"/>
                <w:szCs w:val="24"/>
              </w:rPr>
              <w:t>rocessing</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7B970C" w14:textId="77777777" w:rsidR="0099470A" w:rsidRDefault="019FF900" w:rsidP="1FCA46AB">
            <w:pPr>
              <w:spacing w:line="240" w:lineRule="auto"/>
              <w:ind w:left="104" w:right="135"/>
              <w:rPr>
                <w:rFonts w:eastAsia="Arial" w:cs="Arial"/>
                <w:sz w:val="24"/>
                <w:szCs w:val="24"/>
              </w:rPr>
            </w:pPr>
            <w:r w:rsidRPr="1FCA46AB">
              <w:rPr>
                <w:rFonts w:eastAsia="Arial" w:cs="Arial"/>
                <w:sz w:val="24"/>
                <w:szCs w:val="24"/>
              </w:rPr>
              <w:lastRenderedPageBreak/>
              <w:t xml:space="preserve">Processing of personal data, including sensitive personal data, </w:t>
            </w:r>
            <w:r w:rsidRPr="1FCA46AB">
              <w:rPr>
                <w:rFonts w:eastAsia="Arial" w:cs="Arial"/>
                <w:sz w:val="24"/>
                <w:szCs w:val="24"/>
              </w:rPr>
              <w:lastRenderedPageBreak/>
              <w:t>for the purpose of dispensing and delivering pharmaceutical products and, where required, associated clinical services (e.g. injection training and medication administration) to the patients’ home or alternative appropriate location. Personal data processed may include personal information of patients’ friends, family and carers.</w:t>
            </w:r>
          </w:p>
          <w:p w14:paraId="60E56D28" w14:textId="0ABEB8A9" w:rsidR="0099470A" w:rsidRPr="00E13681" w:rsidRDefault="0099470A" w:rsidP="00E54321">
            <w:pPr>
              <w:spacing w:line="240" w:lineRule="auto"/>
              <w:ind w:left="104"/>
              <w:jc w:val="left"/>
              <w:rPr>
                <w:szCs w:val="24"/>
                <w:highlight w:val="cyan"/>
              </w:rPr>
            </w:pPr>
          </w:p>
        </w:tc>
      </w:tr>
      <w:tr w:rsidR="0019125B" w:rsidRPr="00E13681" w14:paraId="76B7AF2E"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90504F" w14:textId="77777777" w:rsidR="0019125B" w:rsidRPr="00403FC3" w:rsidRDefault="0019125B" w:rsidP="00E54321">
            <w:pPr>
              <w:spacing w:line="240" w:lineRule="auto"/>
              <w:ind w:left="104"/>
              <w:rPr>
                <w:szCs w:val="24"/>
              </w:rPr>
            </w:pPr>
            <w:r w:rsidRPr="00403FC3">
              <w:rPr>
                <w:sz w:val="24"/>
                <w:szCs w:val="24"/>
              </w:rPr>
              <w:lastRenderedPageBreak/>
              <w:t>Duration of the</w:t>
            </w:r>
          </w:p>
          <w:p w14:paraId="23658B1E" w14:textId="77777777" w:rsidR="0019125B" w:rsidRPr="00403FC3" w:rsidRDefault="001958B8" w:rsidP="00E54321">
            <w:pPr>
              <w:spacing w:before="9" w:line="240" w:lineRule="auto"/>
              <w:ind w:left="104"/>
              <w:rPr>
                <w:szCs w:val="24"/>
              </w:rPr>
            </w:pPr>
            <w:r>
              <w:rPr>
                <w:sz w:val="24"/>
                <w:szCs w:val="24"/>
              </w:rPr>
              <w:t>P</w:t>
            </w:r>
            <w:r w:rsidR="0019125B" w:rsidRPr="00403FC3">
              <w:rPr>
                <w:sz w:val="24"/>
                <w:szCs w:val="24"/>
              </w:rPr>
              <w:t>rocessing</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D7B38F" w14:textId="1C5AFECF" w:rsidR="005749A0" w:rsidRPr="00D74A25" w:rsidRDefault="005749A0" w:rsidP="005749A0">
            <w:pPr>
              <w:spacing w:line="240" w:lineRule="auto"/>
              <w:ind w:left="104" w:right="135"/>
              <w:rPr>
                <w:rFonts w:eastAsia="Arial" w:cs="Arial"/>
                <w:sz w:val="24"/>
                <w:szCs w:val="24"/>
              </w:rPr>
            </w:pPr>
            <w:r w:rsidRPr="677426BA">
              <w:rPr>
                <w:rFonts w:eastAsia="Arial" w:cs="Arial"/>
                <w:sz w:val="24"/>
                <w:szCs w:val="24"/>
              </w:rPr>
              <w:t xml:space="preserve">Processing shall start on the commencement date and shall continue for the term of the Contract. The Supplier shall maintain its obligations as a data controller for the specified datasets following termination of the Contract. </w:t>
            </w:r>
          </w:p>
          <w:p w14:paraId="4D1061F8" w14:textId="77777777" w:rsidR="005749A0" w:rsidRPr="00D74A25" w:rsidRDefault="005749A0" w:rsidP="005749A0">
            <w:pPr>
              <w:spacing w:line="240" w:lineRule="auto"/>
              <w:ind w:left="104" w:right="135"/>
              <w:rPr>
                <w:rFonts w:eastAsia="Arial" w:cs="Arial"/>
                <w:sz w:val="24"/>
                <w:szCs w:val="24"/>
              </w:rPr>
            </w:pPr>
            <w:r w:rsidRPr="00D74A25">
              <w:rPr>
                <w:rFonts w:eastAsia="Arial" w:cs="Arial"/>
                <w:sz w:val="24"/>
                <w:szCs w:val="24"/>
              </w:rPr>
              <w:t>Individual patient data processing commences upon the submission of a completed registration form by the Authority to the Supplier. Following completion of registration onto the service by the Supplier, processing shall continue for the duration the patient remains on service.</w:t>
            </w:r>
          </w:p>
          <w:p w14:paraId="0996BC05" w14:textId="088B4C07" w:rsidR="005749A0" w:rsidRPr="00BA66BF" w:rsidRDefault="005749A0" w:rsidP="005749A0">
            <w:pPr>
              <w:spacing w:line="240" w:lineRule="auto"/>
              <w:ind w:left="104"/>
              <w:jc w:val="left"/>
              <w:rPr>
                <w:szCs w:val="24"/>
                <w:highlight w:val="cyan"/>
              </w:rPr>
            </w:pPr>
            <w:r w:rsidRPr="00D74A25">
              <w:rPr>
                <w:rFonts w:eastAsia="Arial" w:cs="Arial"/>
                <w:sz w:val="24"/>
                <w:szCs w:val="24"/>
              </w:rPr>
              <w:t>Following a patients’ removal from service processing for the purpose of archiving shall continue in accordance with the retention of records table set out in Annex A.</w:t>
            </w:r>
          </w:p>
        </w:tc>
      </w:tr>
      <w:tr w:rsidR="0019125B" w:rsidRPr="00E13681" w14:paraId="60A86D02"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C86DB8" w14:textId="77777777" w:rsidR="0019125B" w:rsidRPr="00E13681" w:rsidRDefault="0019125B" w:rsidP="00E54321">
            <w:pPr>
              <w:spacing w:line="240" w:lineRule="auto"/>
              <w:ind w:left="104"/>
              <w:rPr>
                <w:szCs w:val="24"/>
              </w:rPr>
            </w:pPr>
            <w:r w:rsidRPr="00E13681">
              <w:rPr>
                <w:sz w:val="24"/>
                <w:szCs w:val="24"/>
              </w:rPr>
              <w:t>Nature and purposes of</w:t>
            </w:r>
          </w:p>
          <w:p w14:paraId="47262F58" w14:textId="77777777" w:rsidR="0019125B" w:rsidRPr="00E13681" w:rsidRDefault="0019125B" w:rsidP="00E54321">
            <w:pPr>
              <w:spacing w:before="9" w:line="240" w:lineRule="auto"/>
              <w:ind w:left="104"/>
              <w:rPr>
                <w:szCs w:val="24"/>
              </w:rPr>
            </w:pPr>
            <w:r w:rsidRPr="00E13681">
              <w:rPr>
                <w:sz w:val="24"/>
                <w:szCs w:val="24"/>
              </w:rPr>
              <w:t xml:space="preserve">the </w:t>
            </w:r>
            <w:r w:rsidR="001958B8">
              <w:rPr>
                <w:sz w:val="24"/>
                <w:szCs w:val="24"/>
              </w:rPr>
              <w:t>P</w:t>
            </w:r>
            <w:r w:rsidRPr="00E13681">
              <w:rPr>
                <w:sz w:val="24"/>
                <w:szCs w:val="24"/>
              </w:rPr>
              <w:t>rocessing</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3E9462" w14:textId="77777777" w:rsidR="007E7AA6" w:rsidRPr="00D74A25" w:rsidRDefault="007E7AA6" w:rsidP="007E7AA6">
            <w:pPr>
              <w:spacing w:line="240" w:lineRule="auto"/>
              <w:ind w:left="104" w:right="135"/>
              <w:rPr>
                <w:rFonts w:eastAsia="Arial" w:cs="Arial"/>
                <w:sz w:val="24"/>
                <w:szCs w:val="24"/>
              </w:rPr>
            </w:pPr>
            <w:r w:rsidRPr="00D74A25">
              <w:rPr>
                <w:rFonts w:eastAsia="Arial" w:cs="Arial"/>
                <w:sz w:val="24"/>
                <w:szCs w:val="24"/>
              </w:rPr>
              <w:t>The purpose of processing is to provide a safe and effective homecare medicines service as defined the Royal Pharmaceutical Society Professional Standards for Homecare.</w:t>
            </w:r>
          </w:p>
          <w:p w14:paraId="14CF75D4" w14:textId="6AD287F2" w:rsidR="007E7AA6" w:rsidRDefault="007E7AA6" w:rsidP="007E7AA6">
            <w:pPr>
              <w:spacing w:line="240" w:lineRule="auto"/>
              <w:ind w:left="104" w:right="135"/>
              <w:rPr>
                <w:rFonts w:eastAsia="Arial" w:cs="Arial"/>
                <w:sz w:val="24"/>
                <w:szCs w:val="24"/>
              </w:rPr>
            </w:pPr>
            <w:r w:rsidRPr="677426BA">
              <w:rPr>
                <w:rFonts w:eastAsia="Arial" w:cs="Arial"/>
                <w:sz w:val="24"/>
                <w:szCs w:val="24"/>
              </w:rPr>
              <w:t>The nature of the processing is set out in Annex B and is align</w:t>
            </w:r>
            <w:r w:rsidR="009175C3" w:rsidRPr="677426BA">
              <w:rPr>
                <w:rFonts w:eastAsia="Arial" w:cs="Arial"/>
                <w:sz w:val="24"/>
                <w:szCs w:val="24"/>
              </w:rPr>
              <w:t>ed</w:t>
            </w:r>
            <w:r w:rsidRPr="677426BA">
              <w:rPr>
                <w:rFonts w:eastAsia="Arial" w:cs="Arial"/>
                <w:sz w:val="24"/>
                <w:szCs w:val="24"/>
              </w:rPr>
              <w:t xml:space="preserve"> with the guidance set out in “Impact of the General Data Protection Regulation in Clinical and Medicines Homecare Service” </w:t>
            </w:r>
            <w:hyperlink r:id="rId14">
              <w:r w:rsidR="00185FC5" w:rsidRPr="677426BA">
                <w:rPr>
                  <w:rStyle w:val="Hyperlink"/>
                </w:rPr>
                <w:t>https://www.clinicalhomecare.org/wp-content/uploads/2019/01/NCHA-Position-statement_GDPR_v1.1_190115_FinalFinal.pdf</w:t>
              </w:r>
            </w:hyperlink>
            <w:r w:rsidRPr="677426BA">
              <w:rPr>
                <w:rFonts w:eastAsia="Arial" w:cs="Arial"/>
                <w:sz w:val="24"/>
                <w:szCs w:val="24"/>
              </w:rPr>
              <w:t xml:space="preserve"> as reviewed by the Information Commissioners Office and endorsed by the National Homecare Medicines Committee.</w:t>
            </w:r>
          </w:p>
          <w:p w14:paraId="75E8142A" w14:textId="69F69641" w:rsidR="007E7AA6" w:rsidRDefault="007E7AA6" w:rsidP="007E7AA6">
            <w:pPr>
              <w:spacing w:line="240" w:lineRule="auto"/>
              <w:ind w:left="104" w:right="135"/>
              <w:rPr>
                <w:rFonts w:eastAsia="Arial" w:cs="Arial"/>
                <w:sz w:val="24"/>
                <w:szCs w:val="24"/>
              </w:rPr>
            </w:pPr>
            <w:r w:rsidRPr="4FC281C0">
              <w:rPr>
                <w:rFonts w:eastAsia="Arial" w:cs="Arial"/>
                <w:sz w:val="24"/>
                <w:szCs w:val="24"/>
              </w:rPr>
              <w:t xml:space="preserve">On completion of the patient registration process and for data which the Supplier has a legal or regulatory obligation to maintain, the Supplier shall create a replicate data set </w:t>
            </w:r>
            <w:r w:rsidR="00D63A34" w:rsidRPr="4FC281C0">
              <w:rPr>
                <w:rFonts w:eastAsia="Arial" w:cs="Arial"/>
                <w:sz w:val="24"/>
                <w:szCs w:val="24"/>
              </w:rPr>
              <w:t xml:space="preserve">of </w:t>
            </w:r>
            <w:r w:rsidR="001E16EE" w:rsidRPr="4FC281C0">
              <w:rPr>
                <w:rFonts w:eastAsia="Arial" w:cs="Arial"/>
                <w:sz w:val="24"/>
                <w:szCs w:val="24"/>
              </w:rPr>
              <w:t xml:space="preserve">certain </w:t>
            </w:r>
            <w:r w:rsidR="00D63A34" w:rsidRPr="4FC281C0">
              <w:rPr>
                <w:rFonts w:eastAsia="Arial" w:cs="Arial"/>
                <w:sz w:val="24"/>
                <w:szCs w:val="24"/>
              </w:rPr>
              <w:t xml:space="preserve">data on the patient registration form and shall become a </w:t>
            </w:r>
            <w:r w:rsidRPr="4FC281C0">
              <w:rPr>
                <w:rFonts w:eastAsia="Arial" w:cs="Arial"/>
                <w:sz w:val="24"/>
                <w:szCs w:val="24"/>
              </w:rPr>
              <w:t>data controller</w:t>
            </w:r>
            <w:r w:rsidR="001E16EE" w:rsidRPr="4FC281C0">
              <w:rPr>
                <w:rFonts w:eastAsia="Arial" w:cs="Arial"/>
                <w:sz w:val="24"/>
                <w:szCs w:val="24"/>
              </w:rPr>
              <w:t xml:space="preserve"> in respect of such data which they replicate and subsequently collect directly</w:t>
            </w:r>
            <w:r w:rsidRPr="4FC281C0">
              <w:rPr>
                <w:rFonts w:eastAsia="Arial" w:cs="Arial"/>
                <w:sz w:val="24"/>
                <w:szCs w:val="24"/>
              </w:rPr>
              <w:t>. The purpose of the data processing by the Supplier is at all times, including following expiry or termination of the Contract, limited to provision of services detailed within this Contract</w:t>
            </w:r>
            <w:r w:rsidR="001576E3" w:rsidRPr="4FC281C0">
              <w:rPr>
                <w:rFonts w:eastAsia="Arial" w:cs="Arial"/>
                <w:sz w:val="24"/>
                <w:szCs w:val="24"/>
              </w:rPr>
              <w:t xml:space="preserve"> or any other purpose strictly necessary to fulfil a legal obligation</w:t>
            </w:r>
            <w:r w:rsidRPr="4FC281C0">
              <w:rPr>
                <w:rFonts w:eastAsia="Arial" w:cs="Arial"/>
                <w:sz w:val="24"/>
                <w:szCs w:val="24"/>
              </w:rPr>
              <w:t>.</w:t>
            </w:r>
          </w:p>
          <w:p w14:paraId="699DAAA5" w14:textId="3F1EE2FA" w:rsidR="007E7AA6" w:rsidRPr="00BA66BF" w:rsidRDefault="007E7AA6" w:rsidP="00E54321">
            <w:pPr>
              <w:spacing w:line="240" w:lineRule="auto"/>
              <w:ind w:left="104" w:right="1011"/>
              <w:jc w:val="left"/>
              <w:rPr>
                <w:szCs w:val="24"/>
                <w:highlight w:val="cyan"/>
              </w:rPr>
            </w:pPr>
          </w:p>
        </w:tc>
      </w:tr>
      <w:tr w:rsidR="0019125B" w:rsidRPr="00E13681" w14:paraId="4EBC475D"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6AC33D" w14:textId="77777777" w:rsidR="0019125B" w:rsidRPr="00E13681" w:rsidRDefault="0019125B" w:rsidP="00E54321">
            <w:pPr>
              <w:spacing w:line="240" w:lineRule="auto"/>
              <w:ind w:left="104" w:right="73"/>
              <w:jc w:val="left"/>
              <w:rPr>
                <w:szCs w:val="24"/>
              </w:rPr>
            </w:pPr>
            <w:r w:rsidRPr="00E13681">
              <w:rPr>
                <w:sz w:val="24"/>
                <w:szCs w:val="24"/>
              </w:rPr>
              <w:t>Type of Personal Data</w:t>
            </w:r>
            <w:r>
              <w:rPr>
                <w:sz w:val="24"/>
                <w:szCs w:val="24"/>
              </w:rPr>
              <w:t xml:space="preserve"> being </w:t>
            </w:r>
            <w:r w:rsidR="001958B8">
              <w:rPr>
                <w:sz w:val="24"/>
                <w:szCs w:val="24"/>
              </w:rPr>
              <w:t>P</w:t>
            </w:r>
            <w:r>
              <w:rPr>
                <w:sz w:val="24"/>
                <w:szCs w:val="24"/>
              </w:rPr>
              <w:t>rocessed</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D0C902" w14:textId="6E14AA89" w:rsidR="005B4A3C" w:rsidRPr="00E13681" w:rsidRDefault="005B4A3C" w:rsidP="677426BA">
            <w:pPr>
              <w:spacing w:line="240" w:lineRule="auto"/>
              <w:ind w:left="104"/>
              <w:jc w:val="left"/>
              <w:rPr>
                <w:highlight w:val="cyan"/>
              </w:rPr>
            </w:pPr>
            <w:r w:rsidRPr="677426BA">
              <w:rPr>
                <w:rFonts w:eastAsia="Arial" w:cs="Arial"/>
                <w:sz w:val="24"/>
                <w:szCs w:val="24"/>
              </w:rPr>
              <w:t xml:space="preserve">Patient demographic data, contact information, </w:t>
            </w:r>
            <w:r w:rsidR="00D90D0B" w:rsidRPr="677426BA">
              <w:rPr>
                <w:rFonts w:eastAsia="Arial" w:cs="Arial"/>
                <w:sz w:val="24"/>
                <w:szCs w:val="24"/>
              </w:rPr>
              <w:t xml:space="preserve">location data, </w:t>
            </w:r>
            <w:r w:rsidRPr="677426BA">
              <w:rPr>
                <w:rFonts w:eastAsia="Arial" w:cs="Arial"/>
                <w:sz w:val="24"/>
                <w:szCs w:val="24"/>
              </w:rPr>
              <w:t>relevant clinical data.</w:t>
            </w:r>
            <w:r w:rsidR="00185FC5" w:rsidRPr="677426BA">
              <w:rPr>
                <w:rFonts w:eastAsia="Arial" w:cs="Arial"/>
                <w:sz w:val="24"/>
                <w:szCs w:val="24"/>
              </w:rPr>
              <w:t xml:space="preserve"> See Annex B.</w:t>
            </w:r>
          </w:p>
        </w:tc>
      </w:tr>
      <w:tr w:rsidR="0019125B" w:rsidRPr="00E13681" w14:paraId="11CBF562"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0A9B85" w14:textId="77777777" w:rsidR="0019125B" w:rsidRPr="00E13681" w:rsidRDefault="0019125B" w:rsidP="00E54321">
            <w:pPr>
              <w:spacing w:line="240" w:lineRule="auto"/>
              <w:ind w:left="104"/>
              <w:rPr>
                <w:szCs w:val="24"/>
              </w:rPr>
            </w:pPr>
            <w:r w:rsidRPr="00E13681">
              <w:rPr>
                <w:sz w:val="24"/>
                <w:szCs w:val="24"/>
              </w:rPr>
              <w:lastRenderedPageBreak/>
              <w:t>Categories of Data</w:t>
            </w:r>
          </w:p>
          <w:p w14:paraId="39FD03E6" w14:textId="77777777" w:rsidR="0019125B" w:rsidRPr="00E13681" w:rsidRDefault="0019125B" w:rsidP="00E54321">
            <w:pPr>
              <w:spacing w:before="9" w:line="240" w:lineRule="auto"/>
              <w:ind w:left="104"/>
              <w:rPr>
                <w:szCs w:val="24"/>
              </w:rPr>
            </w:pPr>
            <w:r w:rsidRPr="00E13681">
              <w:rPr>
                <w:sz w:val="24"/>
                <w:szCs w:val="24"/>
              </w:rPr>
              <w:t>Subject</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8B6C71" w14:textId="50DFDF3B" w:rsidR="00FC37A0" w:rsidRPr="00E13681" w:rsidRDefault="00FC37A0" w:rsidP="00D347CB">
            <w:pPr>
              <w:spacing w:line="240" w:lineRule="auto"/>
              <w:ind w:left="104"/>
              <w:jc w:val="left"/>
              <w:rPr>
                <w:szCs w:val="24"/>
                <w:highlight w:val="cyan"/>
              </w:rPr>
            </w:pPr>
            <w:r w:rsidRPr="00666317">
              <w:rPr>
                <w:rFonts w:eastAsia="Arial" w:cs="Arial"/>
                <w:sz w:val="24"/>
                <w:szCs w:val="24"/>
              </w:rPr>
              <w:t>Patient, carer, parent / guardian, patient friends &amp; family (in relation to service delivery to the patient).</w:t>
            </w:r>
            <w:r w:rsidR="00D347CB">
              <w:rPr>
                <w:rFonts w:eastAsia="Arial" w:cs="Arial"/>
                <w:sz w:val="24"/>
                <w:szCs w:val="24"/>
              </w:rPr>
              <w:t xml:space="preserve"> See Annex B.</w:t>
            </w:r>
          </w:p>
        </w:tc>
      </w:tr>
      <w:tr w:rsidR="0019125B" w:rsidRPr="00E13681" w14:paraId="504DE375"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916B45" w14:textId="7B4A488D" w:rsidR="0019125B" w:rsidRPr="00EE0550" w:rsidRDefault="0019125B" w:rsidP="677426BA">
            <w:pPr>
              <w:spacing w:line="240" w:lineRule="auto"/>
              <w:ind w:left="104"/>
              <w:jc w:val="left"/>
              <w:rPr>
                <w:rFonts w:eastAsia="Arial" w:cs="Arial"/>
                <w:sz w:val="24"/>
                <w:szCs w:val="24"/>
              </w:rPr>
            </w:pPr>
            <w:r w:rsidRPr="677426BA">
              <w:rPr>
                <w:sz w:val="24"/>
                <w:szCs w:val="24"/>
              </w:rPr>
              <w:t xml:space="preserve">Plan for return and destruction of the data once the </w:t>
            </w:r>
            <w:r w:rsidR="001958B8" w:rsidRPr="677426BA">
              <w:rPr>
                <w:sz w:val="24"/>
                <w:szCs w:val="24"/>
              </w:rPr>
              <w:t>P</w:t>
            </w:r>
            <w:r w:rsidRPr="677426BA">
              <w:rPr>
                <w:sz w:val="24"/>
                <w:szCs w:val="24"/>
              </w:rPr>
              <w:t>rocessing is complete</w:t>
            </w:r>
          </w:p>
          <w:p w14:paraId="5DCD1885" w14:textId="77777777" w:rsidR="0019125B" w:rsidRPr="00E13681" w:rsidRDefault="0019125B" w:rsidP="00E54321">
            <w:pPr>
              <w:spacing w:line="240" w:lineRule="auto"/>
              <w:ind w:left="104"/>
              <w:jc w:val="left"/>
              <w:rPr>
                <w:szCs w:val="24"/>
              </w:rPr>
            </w:pPr>
            <w:r w:rsidRPr="00EE0550">
              <w:rPr>
                <w:sz w:val="24"/>
                <w:szCs w:val="24"/>
              </w:rPr>
              <w:t>UNLESS requirement under union or member state law to preserve that type of data</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329A15" w14:textId="67BA9675" w:rsidR="00670CF0" w:rsidRPr="00E13681" w:rsidRDefault="00670CF0" w:rsidP="677426BA">
            <w:pPr>
              <w:spacing w:line="240" w:lineRule="auto"/>
              <w:ind w:left="104"/>
              <w:jc w:val="left"/>
              <w:rPr>
                <w:highlight w:val="cyan"/>
              </w:rPr>
            </w:pPr>
            <w:r w:rsidRPr="677426BA">
              <w:rPr>
                <w:rFonts w:eastAsia="Arial" w:cs="Arial"/>
                <w:sz w:val="24"/>
                <w:szCs w:val="24"/>
              </w:rPr>
              <w:t xml:space="preserve">Data processed by the </w:t>
            </w:r>
            <w:r w:rsidR="009175C3" w:rsidRPr="677426BA">
              <w:rPr>
                <w:rFonts w:eastAsia="Arial" w:cs="Arial"/>
                <w:sz w:val="24"/>
                <w:szCs w:val="24"/>
              </w:rPr>
              <w:t>S</w:t>
            </w:r>
            <w:r w:rsidRPr="677426BA">
              <w:rPr>
                <w:rFonts w:eastAsia="Arial" w:cs="Arial"/>
                <w:sz w:val="24"/>
                <w:szCs w:val="24"/>
              </w:rPr>
              <w:t>upplier shall be held in accordance with the retention of records table in Annex A</w:t>
            </w:r>
            <w:r w:rsidR="00D90D0B" w:rsidRPr="677426BA">
              <w:rPr>
                <w:rFonts w:eastAsia="Arial" w:cs="Arial"/>
                <w:sz w:val="24"/>
                <w:szCs w:val="24"/>
              </w:rPr>
              <w:t xml:space="preserve"> and shall only be retained beyond such periods if there is a legitimate reason for doing so.</w:t>
            </w:r>
          </w:p>
        </w:tc>
      </w:tr>
    </w:tbl>
    <w:p w14:paraId="09821D08" w14:textId="19B06E51" w:rsidR="0019125B" w:rsidRPr="00C717BD" w:rsidRDefault="0019125B" w:rsidP="677426BA">
      <w:pPr>
        <w:keepNext/>
        <w:keepLines/>
        <w:spacing w:line="240" w:lineRule="auto"/>
        <w:rPr>
          <w:b/>
          <w:bCs/>
          <w:u w:val="single"/>
          <w:lang w:val="en-US"/>
        </w:rPr>
      </w:pPr>
      <w:r w:rsidRPr="677426BA">
        <w:rPr>
          <w:b/>
          <w:bCs/>
          <w:u w:val="single"/>
          <w:lang w:val="en-US"/>
        </w:rPr>
        <w:t>Definitions</w:t>
      </w:r>
    </w:p>
    <w:p w14:paraId="5FA067AA" w14:textId="4798EA6D" w:rsidR="0019125B" w:rsidRDefault="0019125B" w:rsidP="0019125B">
      <w:pPr>
        <w:ind w:left="720"/>
        <w:rPr>
          <w:lang w:val="en-US"/>
        </w:rPr>
      </w:pPr>
      <w:r w:rsidRPr="677426BA">
        <w:rPr>
          <w:lang w:val="en-US"/>
        </w:rPr>
        <w:t>The definitions and interpretative provisions at Schedule 4 (Definitions and Interpretations) of the Contract shall also apply to this Protocol.</w:t>
      </w:r>
      <w:r w:rsidR="003913F5" w:rsidRPr="677426BA">
        <w:rPr>
          <w:lang w:val="en-US"/>
        </w:rPr>
        <w:t xml:space="preserve">  For example, the following terms</w:t>
      </w:r>
      <w:r w:rsidR="00FD6A86" w:rsidRPr="677426BA">
        <w:rPr>
          <w:lang w:val="en-US"/>
        </w:rPr>
        <w:t xml:space="preserve"> are defined in Schedule 4 of the Contract: </w:t>
      </w:r>
      <w:r w:rsidR="003913F5" w:rsidRPr="677426BA">
        <w:rPr>
          <w:lang w:val="en-US"/>
        </w:rPr>
        <w:t xml:space="preserve">“Authority”, </w:t>
      </w:r>
      <w:r w:rsidR="001C432B" w:rsidRPr="677426BA">
        <w:rPr>
          <w:lang w:val="en-US"/>
        </w:rPr>
        <w:t>“</w:t>
      </w:r>
      <w:r w:rsidR="003913F5" w:rsidRPr="677426BA">
        <w:rPr>
          <w:lang w:val="en-US"/>
        </w:rPr>
        <w:t xml:space="preserve">Controller”, </w:t>
      </w:r>
      <w:r w:rsidR="00FD6A86" w:rsidRPr="677426BA">
        <w:rPr>
          <w:lang w:val="en-US"/>
        </w:rPr>
        <w:t xml:space="preserve">“Process” and </w:t>
      </w:r>
      <w:r w:rsidR="003913F5" w:rsidRPr="677426BA">
        <w:rPr>
          <w:lang w:val="en-US"/>
        </w:rPr>
        <w:t>“Processer”</w:t>
      </w:r>
      <w:r w:rsidR="00FD6A86" w:rsidRPr="677426BA">
        <w:rPr>
          <w:lang w:val="en-US"/>
        </w:rPr>
        <w:t xml:space="preserve"> </w:t>
      </w:r>
      <w:r w:rsidR="003913F5" w:rsidRPr="677426BA">
        <w:rPr>
          <w:lang w:val="en-US"/>
        </w:rPr>
        <w:t>and “Supplier” are defined in Schedule 4 of the Contract</w:t>
      </w:r>
      <w:r w:rsidR="00FD6A86" w:rsidRPr="677426BA">
        <w:rPr>
          <w:lang w:val="en-US"/>
        </w:rPr>
        <w:t xml:space="preserve">. </w:t>
      </w:r>
      <w:r w:rsidRPr="677426BA">
        <w:rPr>
          <w:lang w:val="en-US"/>
        </w:rPr>
        <w:t>Additionally, in this Protocol the following words shall have the following meanings unless the context requires otherwise:</w:t>
      </w:r>
    </w:p>
    <w:p w14:paraId="27B5C199" w14:textId="77777777" w:rsidR="008D7BED" w:rsidRPr="00783BA1" w:rsidRDefault="008D7BED" w:rsidP="0019125B">
      <w:pPr>
        <w:ind w:left="720"/>
      </w:pPr>
    </w:p>
    <w:tbl>
      <w:tblPr>
        <w:tblStyle w:val="TableGrid"/>
        <w:tblW w:w="0" w:type="auto"/>
        <w:tblInd w:w="720" w:type="dxa"/>
        <w:tblLook w:val="04A0" w:firstRow="1" w:lastRow="0" w:firstColumn="1" w:lastColumn="0" w:noHBand="0" w:noVBand="1"/>
      </w:tblPr>
      <w:tblGrid>
        <w:gridCol w:w="4701"/>
        <w:gridCol w:w="4731"/>
      </w:tblGrid>
      <w:tr w:rsidR="0019125B" w14:paraId="61A904B3" w14:textId="77777777" w:rsidTr="677426BA">
        <w:tc>
          <w:tcPr>
            <w:tcW w:w="4701" w:type="dxa"/>
          </w:tcPr>
          <w:p w14:paraId="02D0C016" w14:textId="77777777" w:rsidR="0019125B" w:rsidRPr="00783BA1" w:rsidRDefault="0019125B" w:rsidP="0019125B">
            <w:pPr>
              <w:spacing w:after="240" w:line="240" w:lineRule="auto"/>
              <w:rPr>
                <w:color w:val="000000"/>
              </w:rPr>
            </w:pPr>
            <w:r>
              <w:rPr>
                <w:color w:val="000000"/>
              </w:rPr>
              <w:t>“</w:t>
            </w:r>
            <w:r>
              <w:rPr>
                <w:b/>
                <w:color w:val="000000"/>
              </w:rPr>
              <w:t>Data Loss Event</w:t>
            </w:r>
            <w:r>
              <w:rPr>
                <w:color w:val="000000"/>
              </w:rPr>
              <w:t>”</w:t>
            </w:r>
          </w:p>
        </w:tc>
        <w:tc>
          <w:tcPr>
            <w:tcW w:w="4731" w:type="dxa"/>
          </w:tcPr>
          <w:p w14:paraId="1D65B3A2" w14:textId="7ED88E1E" w:rsidR="0019125B" w:rsidRDefault="0019125B" w:rsidP="00E54321">
            <w:pPr>
              <w:spacing w:after="240" w:line="240" w:lineRule="auto"/>
            </w:pPr>
            <w:r>
              <w:t>means any event that results, or may result, in unauthorised access to Personal Data held by the Processor under this Contract, and/or actual or potential loss and/or destruction  of  Personal  Data in breach of this Contract, including any Personal Data Breach;</w:t>
            </w:r>
          </w:p>
        </w:tc>
      </w:tr>
      <w:tr w:rsidR="0019125B" w14:paraId="229AF7CD" w14:textId="77777777" w:rsidTr="677426BA">
        <w:tc>
          <w:tcPr>
            <w:tcW w:w="4701" w:type="dxa"/>
          </w:tcPr>
          <w:p w14:paraId="2C26365F" w14:textId="77777777" w:rsidR="0019125B" w:rsidRDefault="0019125B" w:rsidP="0019125B">
            <w:pPr>
              <w:spacing w:after="240" w:line="240" w:lineRule="auto"/>
            </w:pPr>
            <w:r>
              <w:rPr>
                <w:color w:val="000000"/>
              </w:rPr>
              <w:t>“</w:t>
            </w:r>
            <w:r w:rsidRPr="00783BA1">
              <w:rPr>
                <w:b/>
                <w:color w:val="000000"/>
              </w:rPr>
              <w:t xml:space="preserve">Data </w:t>
            </w:r>
            <w:r>
              <w:rPr>
                <w:b/>
                <w:color w:val="000000"/>
              </w:rPr>
              <w:t>Protection Legislation</w:t>
            </w:r>
            <w:r>
              <w:rPr>
                <w:color w:val="000000"/>
              </w:rPr>
              <w:t>”</w:t>
            </w:r>
          </w:p>
        </w:tc>
        <w:tc>
          <w:tcPr>
            <w:tcW w:w="4731" w:type="dxa"/>
          </w:tcPr>
          <w:p w14:paraId="5100B134" w14:textId="77777777" w:rsidR="0019125B" w:rsidRDefault="0019125B" w:rsidP="00E54321">
            <w:pPr>
              <w:spacing w:after="240" w:line="240" w:lineRule="auto"/>
            </w:pPr>
            <w:r>
              <w:t xml:space="preserve">means </w:t>
            </w:r>
            <w:r w:rsidRPr="00E83E87">
              <w:t xml:space="preserve">(i) the GDPR, the LED and any applicable national implementing Laws as amended from time to time (ii) the DPA 2018 to the extent that it relates to </w:t>
            </w:r>
            <w:r w:rsidR="001958B8">
              <w:t>P</w:t>
            </w:r>
            <w:r w:rsidRPr="00E83E87">
              <w:t xml:space="preserve">rocessing of personal data and privacy; (iii) all applicable Law about the </w:t>
            </w:r>
            <w:r w:rsidR="001958B8">
              <w:t>P</w:t>
            </w:r>
            <w:r w:rsidRPr="00E83E87">
              <w:t xml:space="preserve">rocessing of </w:t>
            </w:r>
            <w:r w:rsidR="001958B8">
              <w:t>P</w:t>
            </w:r>
            <w:r w:rsidRPr="00E83E87">
              <w:t xml:space="preserve">ersonal </w:t>
            </w:r>
            <w:r w:rsidR="001958B8">
              <w:t>D</w:t>
            </w:r>
            <w:r w:rsidRPr="00E83E87">
              <w:t>ata and privacy;</w:t>
            </w:r>
          </w:p>
        </w:tc>
      </w:tr>
      <w:tr w:rsidR="0019125B" w14:paraId="1C546CAE" w14:textId="77777777" w:rsidTr="677426BA">
        <w:tc>
          <w:tcPr>
            <w:tcW w:w="4701" w:type="dxa"/>
          </w:tcPr>
          <w:p w14:paraId="2E213A22" w14:textId="77777777" w:rsidR="0019125B" w:rsidRDefault="0019125B" w:rsidP="0019125B">
            <w:pPr>
              <w:spacing w:after="240" w:line="240" w:lineRule="auto"/>
            </w:pPr>
            <w:r>
              <w:t>“</w:t>
            </w:r>
            <w:r w:rsidRPr="00783BA1">
              <w:rPr>
                <w:b/>
              </w:rPr>
              <w:t>Data Protection Impact Assessment</w:t>
            </w:r>
            <w:r>
              <w:t>”</w:t>
            </w:r>
          </w:p>
        </w:tc>
        <w:tc>
          <w:tcPr>
            <w:tcW w:w="4731" w:type="dxa"/>
          </w:tcPr>
          <w:p w14:paraId="4BBFE8D7" w14:textId="77777777" w:rsidR="0019125B" w:rsidRDefault="0019125B" w:rsidP="00E54321">
            <w:pPr>
              <w:spacing w:after="240" w:line="240" w:lineRule="auto"/>
            </w:pPr>
            <w:r>
              <w:t xml:space="preserve">means </w:t>
            </w:r>
            <w:r w:rsidRPr="00E83E87">
              <w:t xml:space="preserve">an assessment by the Controller of the impact of the envisaged </w:t>
            </w:r>
            <w:r w:rsidR="001958B8">
              <w:t>P</w:t>
            </w:r>
            <w:r w:rsidRPr="00E83E87">
              <w:t>rocessing on the protection of Personal Data</w:t>
            </w:r>
            <w:r>
              <w:t>;</w:t>
            </w:r>
          </w:p>
        </w:tc>
      </w:tr>
      <w:tr w:rsidR="0019125B" w14:paraId="7D146017" w14:textId="77777777" w:rsidTr="677426BA">
        <w:tc>
          <w:tcPr>
            <w:tcW w:w="4701" w:type="dxa"/>
          </w:tcPr>
          <w:p w14:paraId="6DDA0A41" w14:textId="7484E588" w:rsidR="0019125B" w:rsidRDefault="0019125B" w:rsidP="0019125B">
            <w:pPr>
              <w:spacing w:after="240" w:line="240" w:lineRule="auto"/>
            </w:pPr>
            <w:r>
              <w:t>“</w:t>
            </w:r>
            <w:r w:rsidRPr="00783BA1">
              <w:rPr>
                <w:b/>
              </w:rPr>
              <w:t>Data Protection Officer</w:t>
            </w:r>
            <w:r>
              <w:t>”</w:t>
            </w:r>
          </w:p>
        </w:tc>
        <w:tc>
          <w:tcPr>
            <w:tcW w:w="4731" w:type="dxa"/>
          </w:tcPr>
          <w:p w14:paraId="60C83E8C" w14:textId="5EA04197" w:rsidR="0019125B" w:rsidRDefault="0019125B" w:rsidP="0019125B">
            <w:pPr>
              <w:spacing w:after="240" w:line="240" w:lineRule="auto"/>
            </w:pPr>
            <w:r>
              <w:t>shall have the same meaning as set out in the GDPR;</w:t>
            </w:r>
          </w:p>
        </w:tc>
      </w:tr>
      <w:tr w:rsidR="005B3B19" w14:paraId="41742770" w14:textId="77777777" w:rsidTr="677426BA">
        <w:tc>
          <w:tcPr>
            <w:tcW w:w="4701" w:type="dxa"/>
          </w:tcPr>
          <w:p w14:paraId="11B74D64" w14:textId="77777777" w:rsidR="005B3B19" w:rsidRDefault="005B3B19" w:rsidP="00D507E4">
            <w:pPr>
              <w:spacing w:after="240" w:line="240" w:lineRule="auto"/>
            </w:pPr>
            <w:r w:rsidRPr="0005575A">
              <w:rPr>
                <w:rFonts w:cs="Arial"/>
              </w:rPr>
              <w:t>“</w:t>
            </w:r>
            <w:r>
              <w:rPr>
                <w:rFonts w:cs="Arial"/>
                <w:b/>
              </w:rPr>
              <w:t>Data Recipient</w:t>
            </w:r>
            <w:r w:rsidRPr="0005575A">
              <w:rPr>
                <w:rFonts w:cs="Arial"/>
              </w:rPr>
              <w:t>”</w:t>
            </w:r>
          </w:p>
        </w:tc>
        <w:tc>
          <w:tcPr>
            <w:tcW w:w="4731" w:type="dxa"/>
          </w:tcPr>
          <w:p w14:paraId="4020B2B2" w14:textId="77777777" w:rsidR="005B3B19" w:rsidRDefault="005B3B19" w:rsidP="00D507E4">
            <w:pPr>
              <w:spacing w:after="240" w:line="240" w:lineRule="auto"/>
            </w:pPr>
            <w:r w:rsidRPr="0005575A">
              <w:rPr>
                <w:rFonts w:cs="Arial"/>
                <w:iCs/>
              </w:rPr>
              <w:t xml:space="preserve">means that </w:t>
            </w:r>
            <w:r>
              <w:rPr>
                <w:rFonts w:cs="Arial"/>
                <w:iCs/>
              </w:rPr>
              <w:t>C</w:t>
            </w:r>
            <w:r w:rsidRPr="0005575A">
              <w:rPr>
                <w:rFonts w:cs="Arial"/>
                <w:iCs/>
              </w:rPr>
              <w:t xml:space="preserve">ontroller who </w:t>
            </w:r>
            <w:r>
              <w:rPr>
                <w:rFonts w:cs="Arial"/>
                <w:iCs/>
              </w:rPr>
              <w:t xml:space="preserve">receives </w:t>
            </w:r>
            <w:r w:rsidRPr="0005575A">
              <w:rPr>
                <w:rFonts w:cs="Arial"/>
                <w:iCs/>
              </w:rPr>
              <w:t>the relevant P</w:t>
            </w:r>
            <w:r>
              <w:rPr>
                <w:rFonts w:cs="Arial"/>
                <w:iCs/>
              </w:rPr>
              <w:t>ersonal Data;</w:t>
            </w:r>
          </w:p>
        </w:tc>
      </w:tr>
      <w:tr w:rsidR="005B3B19" w14:paraId="5A980D95" w14:textId="77777777" w:rsidTr="677426BA">
        <w:tc>
          <w:tcPr>
            <w:tcW w:w="4701" w:type="dxa"/>
          </w:tcPr>
          <w:p w14:paraId="2019C630" w14:textId="77777777" w:rsidR="005B3B19" w:rsidRDefault="005B3B19" w:rsidP="005B3B19">
            <w:pPr>
              <w:spacing w:after="240" w:line="240" w:lineRule="auto"/>
            </w:pPr>
            <w:r>
              <w:lastRenderedPageBreak/>
              <w:t>“</w:t>
            </w:r>
            <w:r>
              <w:rPr>
                <w:b/>
              </w:rPr>
              <w:t>Data Subject</w:t>
            </w:r>
            <w:r>
              <w:t>”</w:t>
            </w:r>
          </w:p>
        </w:tc>
        <w:tc>
          <w:tcPr>
            <w:tcW w:w="4731" w:type="dxa"/>
          </w:tcPr>
          <w:p w14:paraId="17D4D264" w14:textId="77777777" w:rsidR="005B3B19" w:rsidRDefault="005B3B19" w:rsidP="005B3B19">
            <w:pPr>
              <w:spacing w:after="240" w:line="240" w:lineRule="auto"/>
            </w:pPr>
            <w:r>
              <w:t>shall have the same meaning as set out in the GDPR;</w:t>
            </w:r>
          </w:p>
        </w:tc>
      </w:tr>
      <w:tr w:rsidR="005B3B19" w14:paraId="49CAC227" w14:textId="77777777" w:rsidTr="677426BA">
        <w:tc>
          <w:tcPr>
            <w:tcW w:w="4701" w:type="dxa"/>
          </w:tcPr>
          <w:p w14:paraId="164E035E" w14:textId="4501299A" w:rsidR="005B3B19" w:rsidRDefault="005B3B19" w:rsidP="005B3B19">
            <w:pPr>
              <w:spacing w:after="240" w:line="240" w:lineRule="auto"/>
            </w:pPr>
            <w:r>
              <w:t>“</w:t>
            </w:r>
            <w:r w:rsidRPr="00783BA1">
              <w:rPr>
                <w:b/>
                <w:color w:val="000000"/>
              </w:rPr>
              <w:t>Data Subject Request</w:t>
            </w:r>
            <w:r>
              <w:rPr>
                <w:color w:val="000000"/>
              </w:rPr>
              <w:t>”</w:t>
            </w:r>
          </w:p>
        </w:tc>
        <w:tc>
          <w:tcPr>
            <w:tcW w:w="4731" w:type="dxa"/>
          </w:tcPr>
          <w:p w14:paraId="49E3F8C0" w14:textId="58A5DA6D" w:rsidR="005B3B19" w:rsidRDefault="005B3B19" w:rsidP="005B3B19">
            <w:pPr>
              <w:spacing w:after="240" w:line="240" w:lineRule="auto"/>
              <w:jc w:val="left"/>
            </w:pPr>
            <w:r>
              <w:t xml:space="preserve">means </w:t>
            </w:r>
            <w:r w:rsidRPr="00783BA1">
              <w:t>a request made by, or on behalf of, a Data Subject in accordance with rights granted pursuant to the Data Protection Legislation to access their Personal Data</w:t>
            </w:r>
            <w:r>
              <w:t>;</w:t>
            </w:r>
          </w:p>
        </w:tc>
      </w:tr>
      <w:tr w:rsidR="005B3B19" w14:paraId="5D0DF624" w14:textId="77777777" w:rsidTr="677426BA">
        <w:tc>
          <w:tcPr>
            <w:tcW w:w="4701" w:type="dxa"/>
          </w:tcPr>
          <w:p w14:paraId="02873B4C" w14:textId="77777777" w:rsidR="005B3B19" w:rsidRDefault="005B3B19" w:rsidP="005B3B19">
            <w:pPr>
              <w:spacing w:after="240" w:line="240" w:lineRule="auto"/>
            </w:pPr>
            <w:r w:rsidRPr="0005575A">
              <w:rPr>
                <w:rFonts w:cs="Arial"/>
              </w:rPr>
              <w:t>“</w:t>
            </w:r>
            <w:r w:rsidRPr="0005575A">
              <w:rPr>
                <w:rFonts w:cs="Arial"/>
                <w:b/>
              </w:rPr>
              <w:t>Data Transferor</w:t>
            </w:r>
            <w:r w:rsidRPr="0005575A">
              <w:rPr>
                <w:rFonts w:cs="Arial"/>
              </w:rPr>
              <w:t>”</w:t>
            </w:r>
          </w:p>
        </w:tc>
        <w:tc>
          <w:tcPr>
            <w:tcW w:w="4731" w:type="dxa"/>
          </w:tcPr>
          <w:p w14:paraId="18FA8005" w14:textId="77777777" w:rsidR="005B3B19" w:rsidRDefault="005B3B19" w:rsidP="005B3B19">
            <w:pPr>
              <w:spacing w:after="240" w:line="240" w:lineRule="auto"/>
              <w:jc w:val="left"/>
            </w:pPr>
            <w:r w:rsidRPr="0005575A">
              <w:rPr>
                <w:rFonts w:cs="Arial"/>
                <w:iCs/>
              </w:rPr>
              <w:t xml:space="preserve">means that </w:t>
            </w:r>
            <w:r>
              <w:rPr>
                <w:rFonts w:cs="Arial"/>
                <w:iCs/>
              </w:rPr>
              <w:t>C</w:t>
            </w:r>
            <w:r w:rsidRPr="0005575A">
              <w:rPr>
                <w:rFonts w:cs="Arial"/>
                <w:iCs/>
              </w:rPr>
              <w:t>ontroller who transfers the relevant P</w:t>
            </w:r>
            <w:r>
              <w:rPr>
                <w:rFonts w:cs="Arial"/>
                <w:iCs/>
              </w:rPr>
              <w:t>ersonal Data;</w:t>
            </w:r>
          </w:p>
        </w:tc>
      </w:tr>
      <w:tr w:rsidR="005B3B19" w14:paraId="541B785A" w14:textId="77777777" w:rsidTr="677426BA">
        <w:tc>
          <w:tcPr>
            <w:tcW w:w="4701" w:type="dxa"/>
          </w:tcPr>
          <w:p w14:paraId="7BA8A801" w14:textId="77777777" w:rsidR="005B3B19" w:rsidRDefault="005B3B19" w:rsidP="005B3B19">
            <w:pPr>
              <w:spacing w:after="240" w:line="240" w:lineRule="auto"/>
            </w:pPr>
            <w:r>
              <w:t>“</w:t>
            </w:r>
            <w:r>
              <w:rPr>
                <w:b/>
              </w:rPr>
              <w:t>DPA 2018</w:t>
            </w:r>
            <w:r>
              <w:t>”</w:t>
            </w:r>
          </w:p>
        </w:tc>
        <w:tc>
          <w:tcPr>
            <w:tcW w:w="4731" w:type="dxa"/>
          </w:tcPr>
          <w:p w14:paraId="104221E8" w14:textId="77777777" w:rsidR="005B3B19" w:rsidRDefault="005B3B19" w:rsidP="005B3B19">
            <w:pPr>
              <w:spacing w:after="240" w:line="240" w:lineRule="auto"/>
            </w:pPr>
            <w:r>
              <w:t>means the Data Protection Act 2018;</w:t>
            </w:r>
          </w:p>
        </w:tc>
      </w:tr>
      <w:tr w:rsidR="0047694E" w14:paraId="460DCD1F" w14:textId="77777777" w:rsidTr="677426BA">
        <w:tc>
          <w:tcPr>
            <w:tcW w:w="4701" w:type="dxa"/>
          </w:tcPr>
          <w:p w14:paraId="3A20E9D0" w14:textId="306AB14B" w:rsidR="0047694E" w:rsidRPr="00D347CB" w:rsidRDefault="0047694E" w:rsidP="0047694E">
            <w:pPr>
              <w:spacing w:after="240" w:line="240" w:lineRule="auto"/>
            </w:pPr>
            <w:r w:rsidRPr="00D347CB">
              <w:t>“</w:t>
            </w:r>
            <w:r w:rsidRPr="00D347CB">
              <w:rPr>
                <w:b/>
              </w:rPr>
              <w:t>Homecare Medicines Services</w:t>
            </w:r>
            <w:r w:rsidRPr="00D347CB">
              <w:t>”</w:t>
            </w:r>
          </w:p>
        </w:tc>
        <w:tc>
          <w:tcPr>
            <w:tcW w:w="4731" w:type="dxa"/>
          </w:tcPr>
          <w:p w14:paraId="1BB6920D" w14:textId="08204C1D" w:rsidR="0047694E" w:rsidRPr="00D347CB" w:rsidRDefault="0047694E" w:rsidP="0047694E">
            <w:pPr>
              <w:spacing w:after="240" w:line="240" w:lineRule="auto"/>
            </w:pPr>
            <w:r w:rsidRPr="00D347CB">
              <w:t>means a service that delivers ongoing medicine supplies and, where necessary, associated care, initiated by the hospital prescriber, direct to the patient’s home with their consent. The purpose of the homecare medicines service is to improve patient care and choice of their clinical treatment.</w:t>
            </w:r>
          </w:p>
        </w:tc>
      </w:tr>
      <w:tr w:rsidR="005B3B19" w14:paraId="60231D1F" w14:textId="77777777" w:rsidTr="677426BA">
        <w:tc>
          <w:tcPr>
            <w:tcW w:w="4701" w:type="dxa"/>
          </w:tcPr>
          <w:p w14:paraId="3CE501F1" w14:textId="77777777" w:rsidR="005B3B19" w:rsidRPr="00D347CB" w:rsidRDefault="005B3B19" w:rsidP="005B3B19">
            <w:pPr>
              <w:spacing w:after="240" w:line="240" w:lineRule="auto"/>
            </w:pPr>
            <w:r w:rsidRPr="00D347CB">
              <w:t>“</w:t>
            </w:r>
            <w:r w:rsidRPr="00D347CB">
              <w:rPr>
                <w:b/>
              </w:rPr>
              <w:t>Joint Controllers</w:t>
            </w:r>
            <w:r w:rsidRPr="00D347CB">
              <w:t>”</w:t>
            </w:r>
          </w:p>
        </w:tc>
        <w:tc>
          <w:tcPr>
            <w:tcW w:w="4731" w:type="dxa"/>
          </w:tcPr>
          <w:p w14:paraId="38884DF2" w14:textId="77777777" w:rsidR="005B3B19" w:rsidRPr="00D347CB" w:rsidRDefault="005B3B19" w:rsidP="005B3B19">
            <w:pPr>
              <w:spacing w:after="240" w:line="240" w:lineRule="auto"/>
            </w:pPr>
            <w:r w:rsidRPr="00D347CB">
              <w:t xml:space="preserve">means where two or more Controllers jointly determine the purposes and means of </w:t>
            </w:r>
            <w:r w:rsidR="001958B8" w:rsidRPr="00D347CB">
              <w:t>P</w:t>
            </w:r>
            <w:r w:rsidRPr="00D347CB">
              <w:t>rocessing;</w:t>
            </w:r>
          </w:p>
        </w:tc>
      </w:tr>
      <w:tr w:rsidR="005B3B19" w14:paraId="060D169C" w14:textId="77777777" w:rsidTr="677426BA">
        <w:tc>
          <w:tcPr>
            <w:tcW w:w="4701" w:type="dxa"/>
          </w:tcPr>
          <w:p w14:paraId="3E2110CB" w14:textId="77777777" w:rsidR="005B3B19" w:rsidRPr="00D347CB" w:rsidRDefault="005B3B19" w:rsidP="005B3B19">
            <w:pPr>
              <w:spacing w:after="240" w:line="240" w:lineRule="auto"/>
            </w:pPr>
            <w:r w:rsidRPr="00D347CB">
              <w:t>“</w:t>
            </w:r>
            <w:r w:rsidRPr="00D347CB">
              <w:rPr>
                <w:b/>
              </w:rPr>
              <w:t>LED</w:t>
            </w:r>
            <w:r w:rsidRPr="00D347CB">
              <w:t>”</w:t>
            </w:r>
          </w:p>
        </w:tc>
        <w:tc>
          <w:tcPr>
            <w:tcW w:w="4731" w:type="dxa"/>
          </w:tcPr>
          <w:p w14:paraId="158E101E" w14:textId="77777777" w:rsidR="005B3B19" w:rsidRPr="00D347CB" w:rsidRDefault="005B3B19" w:rsidP="005B3B19">
            <w:pPr>
              <w:spacing w:after="240" w:line="240" w:lineRule="auto"/>
            </w:pPr>
            <w:r w:rsidRPr="00D347CB">
              <w:t xml:space="preserve">means the Law Enforcement Directive </w:t>
            </w:r>
            <w:r w:rsidRPr="00D347CB">
              <w:rPr>
                <w:i/>
              </w:rPr>
              <w:t>(Directive (EU) 2016/680)</w:t>
            </w:r>
            <w:r w:rsidRPr="00D347CB">
              <w:t>;</w:t>
            </w:r>
          </w:p>
        </w:tc>
      </w:tr>
      <w:tr w:rsidR="00530FFB" w14:paraId="5F2B848F" w14:textId="77777777" w:rsidTr="677426BA">
        <w:tc>
          <w:tcPr>
            <w:tcW w:w="4701" w:type="dxa"/>
          </w:tcPr>
          <w:p w14:paraId="0B52719B" w14:textId="3A1598C9" w:rsidR="00530FFB" w:rsidRPr="00D347CB" w:rsidRDefault="00530FFB" w:rsidP="00530FFB">
            <w:pPr>
              <w:spacing w:after="240" w:line="240" w:lineRule="auto"/>
            </w:pPr>
            <w:r w:rsidRPr="00D347CB">
              <w:t>“</w:t>
            </w:r>
            <w:r w:rsidRPr="00D347CB">
              <w:rPr>
                <w:b/>
              </w:rPr>
              <w:t>Patient</w:t>
            </w:r>
            <w:r w:rsidRPr="00D347CB">
              <w:t>”</w:t>
            </w:r>
          </w:p>
        </w:tc>
        <w:tc>
          <w:tcPr>
            <w:tcW w:w="4731" w:type="dxa"/>
          </w:tcPr>
          <w:p w14:paraId="74DD0C3D" w14:textId="7DAAA289" w:rsidR="00530FFB" w:rsidRPr="00D347CB" w:rsidRDefault="00530FFB" w:rsidP="00530FFB">
            <w:pPr>
              <w:spacing w:after="240" w:line="240" w:lineRule="auto"/>
            </w:pPr>
            <w:r w:rsidRPr="00D347CB">
              <w:t>means the individual receiving the homecare medicines service or the patient’s carer, friends and family.</w:t>
            </w:r>
          </w:p>
        </w:tc>
      </w:tr>
      <w:tr w:rsidR="005B3B19" w14:paraId="0DE5DE3A" w14:textId="77777777" w:rsidTr="677426BA">
        <w:tc>
          <w:tcPr>
            <w:tcW w:w="4701" w:type="dxa"/>
          </w:tcPr>
          <w:p w14:paraId="3F290BA1" w14:textId="77777777" w:rsidR="005B3B19" w:rsidRDefault="005B3B19" w:rsidP="005B3B19">
            <w:pPr>
              <w:spacing w:after="240" w:line="240" w:lineRule="auto"/>
            </w:pPr>
            <w:r>
              <w:t>“</w:t>
            </w:r>
            <w:r w:rsidRPr="00783BA1">
              <w:rPr>
                <w:b/>
              </w:rPr>
              <w:t>Personal Data Breach</w:t>
            </w:r>
            <w:r>
              <w:t>”</w:t>
            </w:r>
          </w:p>
        </w:tc>
        <w:tc>
          <w:tcPr>
            <w:tcW w:w="4731" w:type="dxa"/>
          </w:tcPr>
          <w:p w14:paraId="24AFF8BB" w14:textId="77777777" w:rsidR="005B3B19" w:rsidRDefault="005B3B19" w:rsidP="005B3B19">
            <w:pPr>
              <w:spacing w:after="240" w:line="240" w:lineRule="auto"/>
            </w:pPr>
            <w:r>
              <w:t>shall have the same meaning as set out in the GDPR;</w:t>
            </w:r>
          </w:p>
        </w:tc>
      </w:tr>
      <w:tr w:rsidR="005B3B19" w14:paraId="60C8ED53" w14:textId="77777777" w:rsidTr="677426BA">
        <w:tc>
          <w:tcPr>
            <w:tcW w:w="4701" w:type="dxa"/>
          </w:tcPr>
          <w:p w14:paraId="468B04B4" w14:textId="77777777" w:rsidR="005B3B19" w:rsidRDefault="005B3B19" w:rsidP="005B3B19">
            <w:pPr>
              <w:spacing w:after="240" w:line="240" w:lineRule="auto"/>
            </w:pPr>
            <w:r>
              <w:t>“</w:t>
            </w:r>
            <w:r w:rsidRPr="00783BA1">
              <w:rPr>
                <w:b/>
                <w:color w:val="000000"/>
              </w:rPr>
              <w:t>Protective Measures</w:t>
            </w:r>
            <w:r>
              <w:rPr>
                <w:color w:val="000000"/>
              </w:rPr>
              <w:t>”</w:t>
            </w:r>
          </w:p>
        </w:tc>
        <w:tc>
          <w:tcPr>
            <w:tcW w:w="4731" w:type="dxa"/>
          </w:tcPr>
          <w:p w14:paraId="5E40389E" w14:textId="247B6CA3" w:rsidR="005B3B19" w:rsidRDefault="00E26CFE" w:rsidP="001576E3">
            <w:pPr>
              <w:spacing w:after="240" w:line="240" w:lineRule="auto"/>
            </w:pPr>
            <w:r w:rsidRPr="677426BA">
              <w:rPr>
                <w:color w:val="000000" w:themeColor="text1"/>
              </w:rPr>
              <w:t>m</w:t>
            </w:r>
            <w:r w:rsidR="68F0457C" w:rsidRPr="677426BA">
              <w:rPr>
                <w:color w:val="000000" w:themeColor="text1"/>
              </w:rPr>
              <w:t xml:space="preserve">eans </w:t>
            </w:r>
            <w:r w:rsidR="3BCF66B0" w:rsidRPr="677426BA">
              <w:rPr>
                <w:color w:val="000000" w:themeColor="text1"/>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w:t>
            </w:r>
            <w:r w:rsidR="3F2B7A8B" w:rsidRPr="677426BA">
              <w:rPr>
                <w:color w:val="000000" w:themeColor="text1"/>
              </w:rPr>
              <w:t xml:space="preserve">putting in place appropriate training of staff involved in the processing of </w:t>
            </w:r>
            <w:r w:rsidRPr="677426BA">
              <w:rPr>
                <w:color w:val="000000" w:themeColor="text1"/>
              </w:rPr>
              <w:t>P</w:t>
            </w:r>
            <w:r w:rsidR="3F2B7A8B" w:rsidRPr="677426BA">
              <w:rPr>
                <w:color w:val="000000" w:themeColor="text1"/>
              </w:rPr>
              <w:t xml:space="preserve">ersonal </w:t>
            </w:r>
            <w:r w:rsidRPr="677426BA">
              <w:rPr>
                <w:color w:val="000000" w:themeColor="text1"/>
              </w:rPr>
              <w:t>D</w:t>
            </w:r>
            <w:r w:rsidR="3F2B7A8B" w:rsidRPr="677426BA">
              <w:rPr>
                <w:color w:val="000000" w:themeColor="text1"/>
              </w:rPr>
              <w:t xml:space="preserve">ata </w:t>
            </w:r>
            <w:r w:rsidR="3BCF66B0" w:rsidRPr="677426BA">
              <w:rPr>
                <w:color w:val="000000" w:themeColor="text1"/>
              </w:rPr>
              <w:t xml:space="preserve">and regularly assessing and evaluating the effectiveness of </w:t>
            </w:r>
            <w:r w:rsidR="3BCF66B0" w:rsidRPr="677426BA">
              <w:rPr>
                <w:color w:val="000000" w:themeColor="text1"/>
              </w:rPr>
              <w:lastRenderedPageBreak/>
              <w:t>such measures adopted by it</w:t>
            </w:r>
            <w:r w:rsidR="00D347CB" w:rsidRPr="677426BA">
              <w:rPr>
                <w:color w:val="000000" w:themeColor="text1"/>
              </w:rPr>
              <w:t>.</w:t>
            </w:r>
          </w:p>
        </w:tc>
      </w:tr>
      <w:tr w:rsidR="005B3B19" w14:paraId="6FD325E9" w14:textId="77777777" w:rsidTr="677426BA">
        <w:tc>
          <w:tcPr>
            <w:tcW w:w="4701" w:type="dxa"/>
          </w:tcPr>
          <w:p w14:paraId="17456086" w14:textId="77777777" w:rsidR="005B3B19" w:rsidRDefault="005B3B19" w:rsidP="005B3B19">
            <w:pPr>
              <w:spacing w:after="240" w:line="240" w:lineRule="auto"/>
            </w:pPr>
            <w:r>
              <w:rPr>
                <w:color w:val="000000"/>
              </w:rPr>
              <w:lastRenderedPageBreak/>
              <w:t>“</w:t>
            </w:r>
            <w:r w:rsidRPr="00783BA1">
              <w:rPr>
                <w:b/>
                <w:color w:val="000000"/>
              </w:rPr>
              <w:t>Protocol</w:t>
            </w:r>
            <w:r>
              <w:rPr>
                <w:color w:val="000000"/>
              </w:rPr>
              <w:t>” or “</w:t>
            </w:r>
            <w:r>
              <w:rPr>
                <w:b/>
                <w:color w:val="000000"/>
              </w:rPr>
              <w:t>Data Protection</w:t>
            </w:r>
            <w:r w:rsidRPr="00E90E4E">
              <w:rPr>
                <w:b/>
                <w:color w:val="000000"/>
              </w:rPr>
              <w:t xml:space="preserve"> Protocol</w:t>
            </w:r>
            <w:r>
              <w:rPr>
                <w:color w:val="000000"/>
              </w:rPr>
              <w:t>”</w:t>
            </w:r>
          </w:p>
        </w:tc>
        <w:tc>
          <w:tcPr>
            <w:tcW w:w="4731" w:type="dxa"/>
          </w:tcPr>
          <w:p w14:paraId="5B94A036" w14:textId="77777777" w:rsidR="005B3B19" w:rsidRDefault="005B3B19" w:rsidP="005B3B19">
            <w:pPr>
              <w:spacing w:after="240" w:line="240" w:lineRule="auto"/>
            </w:pPr>
            <w:r>
              <w:t>means this Data Protection Protocol;</w:t>
            </w:r>
          </w:p>
        </w:tc>
      </w:tr>
      <w:tr w:rsidR="005B3B19" w14:paraId="4EC3621C" w14:textId="77777777" w:rsidTr="677426BA">
        <w:tc>
          <w:tcPr>
            <w:tcW w:w="4701" w:type="dxa"/>
          </w:tcPr>
          <w:p w14:paraId="126243DF" w14:textId="77777777" w:rsidR="005B3B19" w:rsidRDefault="005B3B19" w:rsidP="005B3B19">
            <w:pPr>
              <w:spacing w:after="240" w:line="240" w:lineRule="auto"/>
            </w:pPr>
            <w:r>
              <w:t>“</w:t>
            </w:r>
            <w:r w:rsidRPr="00783BA1">
              <w:rPr>
                <w:b/>
                <w:color w:val="000000"/>
              </w:rPr>
              <w:t>Sub-processor</w:t>
            </w:r>
            <w:r>
              <w:rPr>
                <w:color w:val="000000"/>
              </w:rPr>
              <w:t>”</w:t>
            </w:r>
          </w:p>
        </w:tc>
        <w:tc>
          <w:tcPr>
            <w:tcW w:w="4731" w:type="dxa"/>
          </w:tcPr>
          <w:p w14:paraId="5ED28EF6" w14:textId="4C4B5AEA" w:rsidR="005B3B19" w:rsidRDefault="3BCF66B0" w:rsidP="001576E3">
            <w:pPr>
              <w:spacing w:after="240" w:line="240" w:lineRule="auto"/>
            </w:pPr>
            <w:r>
              <w:t xml:space="preserve">means any third Party appointed to </w:t>
            </w:r>
            <w:r w:rsidR="001958B8">
              <w:t>P</w:t>
            </w:r>
            <w:r>
              <w:t xml:space="preserve">rocess Personal Data on behalf of </w:t>
            </w:r>
            <w:r w:rsidR="001576E3">
              <w:t xml:space="preserve">a </w:t>
            </w:r>
            <w:r>
              <w:t>Processor related to this Contract.</w:t>
            </w:r>
          </w:p>
        </w:tc>
      </w:tr>
    </w:tbl>
    <w:p w14:paraId="3897B7D8" w14:textId="6E4BED65" w:rsidR="0019125B" w:rsidRDefault="0019125B" w:rsidP="677426BA">
      <w:pPr>
        <w:spacing w:before="0" w:after="200" w:line="276" w:lineRule="auto"/>
        <w:jc w:val="left"/>
        <w:rPr>
          <w:rFonts w:cs="Arial"/>
        </w:rPr>
      </w:pPr>
      <w:r>
        <w:br w:type="page"/>
      </w:r>
    </w:p>
    <w:p w14:paraId="2F74B3FC" w14:textId="3AE84A06" w:rsidR="0019125B" w:rsidRDefault="0022744C" w:rsidP="0019125B">
      <w:pPr>
        <w:pStyle w:val="MRSchedPara1"/>
        <w:tabs>
          <w:tab w:val="left" w:pos="720"/>
        </w:tabs>
        <w:spacing w:line="240" w:lineRule="auto"/>
      </w:pPr>
      <w:bookmarkStart w:id="0" w:name="_Ref11845479"/>
      <w:r>
        <w:lastRenderedPageBreak/>
        <w:t xml:space="preserve">SUPPLIER AS </w:t>
      </w:r>
      <w:bookmarkStart w:id="1" w:name="a548091"/>
      <w:r w:rsidR="0019125B">
        <w:t xml:space="preserve">DATA </w:t>
      </w:r>
      <w:bookmarkEnd w:id="1"/>
      <w:r>
        <w:t>PROCESSOR</w:t>
      </w:r>
      <w:bookmarkEnd w:id="0"/>
      <w:r>
        <w:t xml:space="preserve"> </w:t>
      </w:r>
    </w:p>
    <w:p w14:paraId="2B298E35" w14:textId="54AD9640" w:rsidR="0019125B" w:rsidRDefault="00C53ED6" w:rsidP="0019125B">
      <w:pPr>
        <w:pStyle w:val="MRSchedPara2"/>
        <w:tabs>
          <w:tab w:val="left" w:pos="720"/>
        </w:tabs>
        <w:spacing w:line="240" w:lineRule="auto"/>
      </w:pPr>
      <w:r>
        <w:t xml:space="preserve">Where, in Table A, </w:t>
      </w:r>
      <w:bookmarkStart w:id="2" w:name="a963735"/>
      <w:r>
        <w:t>t</w:t>
      </w:r>
      <w:r w:rsidR="0019125B">
        <w:t>he Parties acknowledge that for the purposes of the Data Protection Legislation, the Authority is the Controller and the Supplier is the Processor for the relevant purposes specified in Table A</w:t>
      </w:r>
      <w:r>
        <w:t xml:space="preserve"> this Clause </w:t>
      </w:r>
      <w:r>
        <w:fldChar w:fldCharType="begin"/>
      </w:r>
      <w:r>
        <w:instrText xml:space="preserve"> REF _Ref11845479 \r \h </w:instrText>
      </w:r>
      <w:r>
        <w:fldChar w:fldCharType="separate"/>
      </w:r>
      <w:r w:rsidR="00C638DE">
        <w:t>1</w:t>
      </w:r>
      <w:r>
        <w:fldChar w:fldCharType="end"/>
      </w:r>
      <w:r>
        <w:t xml:space="preserve"> shall apply</w:t>
      </w:r>
      <w:r w:rsidR="0019125B">
        <w:t xml:space="preserve">. The only </w:t>
      </w:r>
      <w:r w:rsidR="001958B8">
        <w:t>P</w:t>
      </w:r>
      <w:r w:rsidR="0019125B">
        <w:t>rocessing that the Supplier is authorised to do is listed in Table A of this Protocol by the Authority and may not be determined by the Supplier.</w:t>
      </w:r>
      <w:bookmarkEnd w:id="2"/>
    </w:p>
    <w:p w14:paraId="744161EA" w14:textId="561CEA7B" w:rsidR="0019125B" w:rsidRDefault="0019125B" w:rsidP="0019125B">
      <w:pPr>
        <w:pStyle w:val="MRSchedPara2"/>
        <w:tabs>
          <w:tab w:val="left" w:pos="720"/>
        </w:tabs>
        <w:spacing w:line="240" w:lineRule="auto"/>
      </w:pPr>
      <w:r>
        <w:t>The Supplier shall notify the Authority immediately if it considers that any of the Authority’s instructions infringe the Data Protection Legislation.</w:t>
      </w:r>
    </w:p>
    <w:p w14:paraId="0B5645F9" w14:textId="77777777" w:rsidR="0019125B" w:rsidRDefault="0019125B" w:rsidP="0019125B">
      <w:pPr>
        <w:pStyle w:val="MRSchedPara2"/>
        <w:tabs>
          <w:tab w:val="left" w:pos="720"/>
        </w:tabs>
        <w:spacing w:line="240" w:lineRule="auto"/>
      </w:pPr>
      <w:r>
        <w:t xml:space="preserve">The Supplier shall provide all reasonable assistance to the Authority in the preparation of any Data Protection Impact Assessment prior to commencing any </w:t>
      </w:r>
      <w:r w:rsidR="001958B8">
        <w:t>P</w:t>
      </w:r>
      <w:r>
        <w:t>rocessing.  Such assistance may, at the discretion of the Authority, include:</w:t>
      </w:r>
    </w:p>
    <w:p w14:paraId="07C70D98" w14:textId="77777777" w:rsidR="0019125B" w:rsidRDefault="0019125B" w:rsidP="0019125B">
      <w:pPr>
        <w:pStyle w:val="MRSchedPara3"/>
        <w:spacing w:line="240" w:lineRule="auto"/>
      </w:pPr>
      <w:r>
        <w:t xml:space="preserve">a systematic description of the envisaged </w:t>
      </w:r>
      <w:r w:rsidR="001958B8">
        <w:t>P</w:t>
      </w:r>
      <w:r>
        <w:t xml:space="preserve">rocessing operations and the purpose of the </w:t>
      </w:r>
      <w:r w:rsidR="001958B8">
        <w:t>P</w:t>
      </w:r>
      <w:r>
        <w:t>rocessing;</w:t>
      </w:r>
    </w:p>
    <w:p w14:paraId="7A61332B" w14:textId="77777777" w:rsidR="0019125B" w:rsidRDefault="0019125B" w:rsidP="0019125B">
      <w:pPr>
        <w:pStyle w:val="MRSchedPara3"/>
        <w:spacing w:line="240" w:lineRule="auto"/>
      </w:pPr>
      <w:r>
        <w:t xml:space="preserve">an assessment of the necessity and proportionality of the </w:t>
      </w:r>
      <w:r w:rsidR="001958B8">
        <w:t>P</w:t>
      </w:r>
      <w:r>
        <w:t>rocessing operations in relation to the Services;</w:t>
      </w:r>
    </w:p>
    <w:p w14:paraId="7DF4E63D" w14:textId="77777777" w:rsidR="0019125B" w:rsidRDefault="0019125B" w:rsidP="0019125B">
      <w:pPr>
        <w:pStyle w:val="MRSchedPara3"/>
        <w:spacing w:line="240" w:lineRule="auto"/>
      </w:pPr>
      <w:r>
        <w:t>an assessment of the risks to the rights and freedoms of Data Subjects; and</w:t>
      </w:r>
    </w:p>
    <w:p w14:paraId="3731A879" w14:textId="77777777" w:rsidR="0019125B" w:rsidRDefault="0019125B" w:rsidP="0019125B">
      <w:pPr>
        <w:pStyle w:val="MRSchedPara3"/>
        <w:spacing w:line="240" w:lineRule="auto"/>
      </w:pPr>
      <w:r>
        <w:t>the measures envisaged to address the risks, including safeguards, security measures and mechanisms to ensure the protection of Personal Data.</w:t>
      </w:r>
    </w:p>
    <w:p w14:paraId="0718FC9B" w14:textId="77777777" w:rsidR="0019125B" w:rsidRDefault="0019125B" w:rsidP="0019125B">
      <w:pPr>
        <w:pStyle w:val="MRSchedPara2"/>
        <w:tabs>
          <w:tab w:val="left" w:pos="720"/>
        </w:tabs>
        <w:spacing w:line="240" w:lineRule="auto"/>
      </w:pPr>
      <w:bookmarkStart w:id="3" w:name="a820833"/>
      <w:r>
        <w:t xml:space="preserve">The Supplier shall, in relation to any Personal Data </w:t>
      </w:r>
      <w:r w:rsidR="001958B8">
        <w:t>P</w:t>
      </w:r>
      <w:r>
        <w:t>rocessed in connection with its obligations under this Contract:</w:t>
      </w:r>
      <w:bookmarkEnd w:id="3"/>
    </w:p>
    <w:p w14:paraId="649F8732" w14:textId="28E842B8" w:rsidR="0019125B" w:rsidRDefault="001958B8" w:rsidP="0019125B">
      <w:pPr>
        <w:pStyle w:val="MRSchedPara3"/>
        <w:spacing w:line="240" w:lineRule="auto"/>
      </w:pPr>
      <w:bookmarkStart w:id="4" w:name="a684078"/>
      <w:r>
        <w:t>P</w:t>
      </w:r>
      <w:r w:rsidR="0019125B">
        <w:t xml:space="preserve">rocess that Personal Data only in accordance with Table A, unless the Supplier is required to do otherwise by Law. If it is so required the Supplier shall promptly notify the Authority before </w:t>
      </w:r>
      <w:r>
        <w:t>P</w:t>
      </w:r>
      <w:r w:rsidR="0019125B">
        <w:t>rocessing the Personal Data unless prohibited by Law;</w:t>
      </w:r>
      <w:bookmarkEnd w:id="4"/>
    </w:p>
    <w:p w14:paraId="57126E8A" w14:textId="483DE08C" w:rsidR="0019125B" w:rsidRDefault="0019125B" w:rsidP="0019125B">
      <w:pPr>
        <w:pStyle w:val="MRSchedPara3"/>
        <w:spacing w:line="240" w:lineRule="auto"/>
      </w:pPr>
      <w:bookmarkStart w:id="5" w:name="a798515"/>
      <w:r>
        <w:t>ensure that it has in place Protective Measures, which are appropriate to protect against a Data Loss Event, which  the Authority may reasonably reject (but failure to reject shall not amount to approval by the Authority of the adequacy of the Protective Measures), having taken account of the:</w:t>
      </w:r>
    </w:p>
    <w:p w14:paraId="79279B1E" w14:textId="77777777" w:rsidR="0019125B" w:rsidRDefault="0019125B" w:rsidP="0019125B">
      <w:pPr>
        <w:pStyle w:val="MRSchedPara4"/>
        <w:tabs>
          <w:tab w:val="left" w:pos="2517"/>
        </w:tabs>
        <w:spacing w:line="240" w:lineRule="auto"/>
      </w:pPr>
      <w:r w:rsidRPr="00052B27">
        <w:t>nature of the data to be protected;</w:t>
      </w:r>
    </w:p>
    <w:p w14:paraId="7F76B8D1" w14:textId="77777777" w:rsidR="0019125B" w:rsidRDefault="0019125B" w:rsidP="0019125B">
      <w:pPr>
        <w:pStyle w:val="MRSchedPara4"/>
        <w:tabs>
          <w:tab w:val="left" w:pos="2517"/>
        </w:tabs>
        <w:spacing w:line="240" w:lineRule="auto"/>
      </w:pPr>
      <w:r w:rsidRPr="00052B27">
        <w:t>harm that might result from a Data Loss Event;</w:t>
      </w:r>
    </w:p>
    <w:p w14:paraId="089D31ED" w14:textId="77777777" w:rsidR="0019125B" w:rsidRPr="00525990" w:rsidRDefault="0019125B" w:rsidP="0019125B">
      <w:pPr>
        <w:pStyle w:val="MRSchedPara4"/>
        <w:tabs>
          <w:tab w:val="left" w:pos="2517"/>
        </w:tabs>
        <w:spacing w:line="240" w:lineRule="auto"/>
      </w:pPr>
      <w:r w:rsidRPr="00525990">
        <w:rPr>
          <w:szCs w:val="24"/>
        </w:rPr>
        <w:t>state of technological development; and</w:t>
      </w:r>
    </w:p>
    <w:p w14:paraId="1190F84A" w14:textId="08DC48B5" w:rsidR="0019125B" w:rsidRPr="00525990" w:rsidRDefault="0019125B" w:rsidP="0019125B">
      <w:pPr>
        <w:pStyle w:val="MRSchedPara4"/>
        <w:tabs>
          <w:tab w:val="left" w:pos="2517"/>
        </w:tabs>
        <w:spacing w:line="240" w:lineRule="auto"/>
      </w:pPr>
      <w:r w:rsidRPr="00525990">
        <w:rPr>
          <w:szCs w:val="24"/>
        </w:rPr>
        <w:t>cost of implementing any measures;</w:t>
      </w:r>
    </w:p>
    <w:p w14:paraId="0191E24A" w14:textId="77777777" w:rsidR="0019125B" w:rsidRDefault="0019125B" w:rsidP="0019125B">
      <w:pPr>
        <w:pStyle w:val="MRSchedPara3"/>
        <w:spacing w:line="240" w:lineRule="auto"/>
      </w:pPr>
      <w:bookmarkStart w:id="6" w:name="a289003"/>
      <w:bookmarkEnd w:id="5"/>
      <w:r>
        <w:t>ensure that :</w:t>
      </w:r>
    </w:p>
    <w:p w14:paraId="54A2D539" w14:textId="319F853A" w:rsidR="0019125B" w:rsidRDefault="0019125B" w:rsidP="0019125B">
      <w:pPr>
        <w:pStyle w:val="MRSchedPara4"/>
        <w:tabs>
          <w:tab w:val="left" w:pos="2517"/>
        </w:tabs>
        <w:spacing w:line="240" w:lineRule="auto"/>
      </w:pPr>
      <w:r>
        <w:t xml:space="preserve">the Supplier Personnel do not </w:t>
      </w:r>
      <w:r w:rsidR="001958B8">
        <w:t>P</w:t>
      </w:r>
      <w:r>
        <w:t>rocess Personal Data except in accordance with this Contract (and in particular Table A</w:t>
      </w:r>
      <w:r w:rsidRPr="00EE0550">
        <w:t>);</w:t>
      </w:r>
    </w:p>
    <w:p w14:paraId="05DAC939" w14:textId="77777777" w:rsidR="0019125B" w:rsidRPr="00052B27" w:rsidRDefault="0019125B" w:rsidP="0019125B">
      <w:pPr>
        <w:pStyle w:val="MRSchedPara4"/>
        <w:tabs>
          <w:tab w:val="left" w:pos="2517"/>
        </w:tabs>
        <w:spacing w:line="240" w:lineRule="auto"/>
      </w:pPr>
      <w:r w:rsidRPr="00052B27">
        <w:t xml:space="preserve">it takes all reasonable steps to ensure the reliability and integrity of any </w:t>
      </w:r>
      <w:r>
        <w:t>Supplier</w:t>
      </w:r>
      <w:r w:rsidRPr="00052B27">
        <w:t xml:space="preserve"> Personnel who have access to the Personal Data and ensure that they:</w:t>
      </w:r>
    </w:p>
    <w:p w14:paraId="356642A9" w14:textId="77777777" w:rsidR="0019125B" w:rsidRDefault="0019125B" w:rsidP="0019125B">
      <w:pPr>
        <w:pStyle w:val="MRSchedPara5"/>
        <w:tabs>
          <w:tab w:val="left" w:pos="3238"/>
        </w:tabs>
        <w:spacing w:line="240" w:lineRule="auto"/>
      </w:pPr>
      <w:r>
        <w:t>are aware of and comply with the Supplier’s duties under this Protocol;</w:t>
      </w:r>
    </w:p>
    <w:p w14:paraId="2F1814A7" w14:textId="77777777" w:rsidR="0019125B" w:rsidRDefault="0019125B" w:rsidP="0019125B">
      <w:pPr>
        <w:pStyle w:val="MRSchedPara5"/>
        <w:tabs>
          <w:tab w:val="left" w:pos="3238"/>
        </w:tabs>
        <w:spacing w:line="240" w:lineRule="auto"/>
      </w:pPr>
      <w:r>
        <w:lastRenderedPageBreak/>
        <w:t>are subject to appropriate confidentiality undertakings with the Supplier or any Sub-processor;</w:t>
      </w:r>
    </w:p>
    <w:p w14:paraId="49DD1A8B" w14:textId="77777777" w:rsidR="0019125B" w:rsidRDefault="0019125B" w:rsidP="0019125B">
      <w:pPr>
        <w:pStyle w:val="MRSchedPara5"/>
        <w:tabs>
          <w:tab w:val="left" w:pos="3238"/>
        </w:tabs>
        <w:spacing w:line="240" w:lineRule="auto"/>
      </w:pPr>
      <w:r>
        <w:t>are informed of the confidential nature of the Personal Data and do not publish, disclose or divulge any of the Personal Data to any third Party unless directed in writing to do so by the Authority or as otherwise permitted by this Contract; and</w:t>
      </w:r>
    </w:p>
    <w:p w14:paraId="42501219" w14:textId="4FC6C13C" w:rsidR="0019125B" w:rsidRDefault="0019125B" w:rsidP="0019125B">
      <w:pPr>
        <w:pStyle w:val="MRSchedPara5"/>
        <w:tabs>
          <w:tab w:val="left" w:pos="3238"/>
        </w:tabs>
        <w:spacing w:line="240" w:lineRule="auto"/>
      </w:pPr>
      <w:r>
        <w:t>have undergone adequate training in the use, care, protection and handling of Personal Data;</w:t>
      </w:r>
      <w:bookmarkEnd w:id="6"/>
    </w:p>
    <w:p w14:paraId="14D32D7D" w14:textId="4D6CCAF1" w:rsidR="0019125B" w:rsidRDefault="0019125B" w:rsidP="0019125B">
      <w:pPr>
        <w:pStyle w:val="MRSchedPara3"/>
        <w:spacing w:line="240" w:lineRule="auto"/>
      </w:pPr>
      <w:bookmarkStart w:id="7" w:name="a833115"/>
      <w:r>
        <w:t xml:space="preserve">not transfer Personal Data outside of the </w:t>
      </w:r>
      <w:r w:rsidR="00D63A34">
        <w:t xml:space="preserve">UK (or the EU for so long as the UK remains a member of the EU or the member states of the EU are the subject of an UK adequacy decision) </w:t>
      </w:r>
      <w:r>
        <w:t>unless the prior written consent of the Authority has been obtained and the following conditions are fulfilled:</w:t>
      </w:r>
      <w:bookmarkEnd w:id="7"/>
    </w:p>
    <w:p w14:paraId="0484D72D" w14:textId="1B750A68" w:rsidR="0019125B" w:rsidRDefault="0019125B" w:rsidP="0019125B">
      <w:pPr>
        <w:pStyle w:val="MRSchedPara4"/>
        <w:tabs>
          <w:tab w:val="left" w:pos="2517"/>
        </w:tabs>
        <w:spacing w:line="240" w:lineRule="auto"/>
      </w:pPr>
      <w:bookmarkStart w:id="8" w:name="a762341"/>
      <w:r>
        <w:t>the Authority or the Supplier has provided appropriate safeguards in relation to the transfer (whether in accordance with GDPR Article</w:t>
      </w:r>
      <w:r w:rsidR="00D63A34">
        <w:t>s 45 or</w:t>
      </w:r>
      <w:r>
        <w:t xml:space="preserve"> 46 or LED Article 37) as determined by the Authority;</w:t>
      </w:r>
      <w:bookmarkEnd w:id="8"/>
    </w:p>
    <w:p w14:paraId="773F86C0" w14:textId="77777777" w:rsidR="0019125B" w:rsidRDefault="0019125B" w:rsidP="0019125B">
      <w:pPr>
        <w:pStyle w:val="MRSchedPara4"/>
        <w:tabs>
          <w:tab w:val="left" w:pos="2517"/>
        </w:tabs>
        <w:spacing w:line="240" w:lineRule="auto"/>
      </w:pPr>
      <w:bookmarkStart w:id="9" w:name="a966763"/>
      <w:r>
        <w:t>the Data Subject has enforceable rights and effective legal remedies;</w:t>
      </w:r>
      <w:bookmarkEnd w:id="9"/>
    </w:p>
    <w:p w14:paraId="5B2176CC" w14:textId="77777777" w:rsidR="0019125B" w:rsidRDefault="0019125B" w:rsidP="0019125B">
      <w:pPr>
        <w:pStyle w:val="MRSchedPara4"/>
        <w:tabs>
          <w:tab w:val="left" w:pos="2517"/>
        </w:tabs>
        <w:spacing w:line="240" w:lineRule="auto"/>
      </w:pPr>
      <w:bookmarkStart w:id="10" w:name="a864628"/>
      <w: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bookmarkEnd w:id="10"/>
    </w:p>
    <w:p w14:paraId="2DD76479" w14:textId="77777777" w:rsidR="0019125B" w:rsidRDefault="0019125B" w:rsidP="0019125B">
      <w:pPr>
        <w:pStyle w:val="MRSchedPara4"/>
        <w:tabs>
          <w:tab w:val="left" w:pos="2517"/>
        </w:tabs>
        <w:spacing w:line="240" w:lineRule="auto"/>
      </w:pPr>
      <w:bookmarkStart w:id="11" w:name="a865345"/>
      <w:r>
        <w:t xml:space="preserve">the Supplier complies with any reasonable instructions notified to it in advance by the Authority with respect to the </w:t>
      </w:r>
      <w:r w:rsidR="001958B8">
        <w:t>P</w:t>
      </w:r>
      <w:r>
        <w:t>rocessing of the Personal Data;</w:t>
      </w:r>
      <w:bookmarkEnd w:id="11"/>
      <w:r>
        <w:t xml:space="preserve"> and</w:t>
      </w:r>
    </w:p>
    <w:p w14:paraId="3B36532B" w14:textId="26D0A5E5" w:rsidR="0019125B" w:rsidRDefault="0019125B" w:rsidP="0019125B">
      <w:pPr>
        <w:pStyle w:val="MRSchedPara3"/>
        <w:spacing w:line="240" w:lineRule="auto"/>
      </w:pPr>
      <w:bookmarkStart w:id="12" w:name="a567101"/>
      <w:r>
        <w:t>at the written direction of the Authority, delete or return Personal Data (and any copies of it) to the Authority on termination of the Contract unless the Supplier is required by Law to retain the Personal Data</w:t>
      </w:r>
      <w:bookmarkEnd w:id="12"/>
      <w:r>
        <w:t>.</w:t>
      </w:r>
    </w:p>
    <w:p w14:paraId="2E2170F7" w14:textId="2D7919EF" w:rsidR="0019125B" w:rsidRPr="00E54321" w:rsidRDefault="0019125B" w:rsidP="0019125B">
      <w:pPr>
        <w:pStyle w:val="MRSchedPara2"/>
        <w:tabs>
          <w:tab w:val="left" w:pos="720"/>
        </w:tabs>
        <w:spacing w:line="240" w:lineRule="auto"/>
      </w:pPr>
      <w:bookmarkStart w:id="13" w:name="a479167"/>
      <w:r>
        <w:t xml:space="preserve">Subject to Clause 1.6 of this Protocol, the Supplier shall notify the Authority immediately </w:t>
      </w:r>
      <w:r w:rsidRPr="00E54321">
        <w:t xml:space="preserve">if </w:t>
      </w:r>
      <w:r w:rsidRPr="00ED6826">
        <w:t xml:space="preserve">in relation to any Personal Data </w:t>
      </w:r>
      <w:r w:rsidR="001958B8">
        <w:t>P</w:t>
      </w:r>
      <w:r w:rsidRPr="00ED6826">
        <w:t>rocessed in connection with its obligations under this Contract</w:t>
      </w:r>
      <w:r w:rsidRPr="00E54321">
        <w:t xml:space="preserve"> it:</w:t>
      </w:r>
    </w:p>
    <w:p w14:paraId="53F76D20" w14:textId="75B04213" w:rsidR="0019125B" w:rsidRPr="00E54321" w:rsidRDefault="0019125B" w:rsidP="0019125B">
      <w:pPr>
        <w:pStyle w:val="MRSchedPara3"/>
        <w:spacing w:line="240" w:lineRule="auto"/>
      </w:pPr>
      <w:r w:rsidRPr="00E54321">
        <w:t>receives a Data Subject Request (or purported Data Subject Request);</w:t>
      </w:r>
    </w:p>
    <w:p w14:paraId="562243B5" w14:textId="05E3DAE7" w:rsidR="0019125B" w:rsidRDefault="0019125B" w:rsidP="0019125B">
      <w:pPr>
        <w:pStyle w:val="MRSchedPara3"/>
        <w:spacing w:line="240" w:lineRule="auto"/>
      </w:pPr>
      <w:r>
        <w:t>receives a request to rectify, block or erase any Personal Data;</w:t>
      </w:r>
    </w:p>
    <w:p w14:paraId="7B8C63D9" w14:textId="7D532092" w:rsidR="0019125B" w:rsidRDefault="0019125B" w:rsidP="0019125B">
      <w:pPr>
        <w:pStyle w:val="MRSchedPara3"/>
        <w:spacing w:line="240" w:lineRule="auto"/>
      </w:pPr>
      <w:r>
        <w:t>receives any other request, complaint or communication relating to either Party’s obligations under the Data Protection Legislation;</w:t>
      </w:r>
    </w:p>
    <w:p w14:paraId="53DF67A7" w14:textId="7915721A" w:rsidR="0019125B" w:rsidRDefault="0019125B" w:rsidP="0019125B">
      <w:pPr>
        <w:pStyle w:val="MRSchedPara3"/>
        <w:spacing w:line="240" w:lineRule="auto"/>
      </w:pPr>
      <w:r>
        <w:t xml:space="preserve">receives any communication from the Information Commissioner or any other regulatory authority in connection with Personal Data </w:t>
      </w:r>
      <w:r w:rsidR="001958B8">
        <w:t>P</w:t>
      </w:r>
      <w:r>
        <w:t>rocessed under this Contract;</w:t>
      </w:r>
    </w:p>
    <w:p w14:paraId="3C985A32" w14:textId="77777777" w:rsidR="0019125B" w:rsidRDefault="0019125B" w:rsidP="0019125B">
      <w:pPr>
        <w:pStyle w:val="MRSchedPara3"/>
        <w:spacing w:line="240" w:lineRule="auto"/>
      </w:pPr>
      <w:r>
        <w:t>receives a request from any third party for disclosure of Personal Data where compliance with such request is required or purported to be required by Law; or</w:t>
      </w:r>
    </w:p>
    <w:p w14:paraId="3BC8F28D" w14:textId="77777777" w:rsidR="0019125B" w:rsidRDefault="0019125B" w:rsidP="0019125B">
      <w:pPr>
        <w:pStyle w:val="MRSchedPara3"/>
        <w:spacing w:line="240" w:lineRule="auto"/>
      </w:pPr>
      <w:r>
        <w:t>becomes aware of a Data Loss Event.</w:t>
      </w:r>
    </w:p>
    <w:p w14:paraId="270DE284" w14:textId="46C75365" w:rsidR="0019125B" w:rsidRDefault="0019125B" w:rsidP="0019125B">
      <w:pPr>
        <w:pStyle w:val="MRSchedPara2"/>
        <w:tabs>
          <w:tab w:val="left" w:pos="720"/>
        </w:tabs>
        <w:spacing w:line="240" w:lineRule="auto"/>
      </w:pPr>
      <w:r>
        <w:t>The Supplier’s obligation to notify under Clause 1.5 of this Protocol shall include the provision of further information to the Authority in phases, as details become available.</w:t>
      </w:r>
    </w:p>
    <w:p w14:paraId="5AB7ACE1" w14:textId="67D71E95" w:rsidR="0019125B" w:rsidRDefault="0019125B" w:rsidP="0019125B">
      <w:pPr>
        <w:pStyle w:val="MRSchedPara2"/>
        <w:tabs>
          <w:tab w:val="left" w:pos="720"/>
        </w:tabs>
        <w:spacing w:line="240" w:lineRule="auto"/>
      </w:pPr>
      <w:r>
        <w:t>Taking into account the natur</w:t>
      </w:r>
      <w:r w:rsidRPr="00E54321">
        <w:t xml:space="preserve">e of the </w:t>
      </w:r>
      <w:r w:rsidR="001958B8">
        <w:t>P</w:t>
      </w:r>
      <w:r w:rsidRPr="00E54321">
        <w:t>rocessing, the Supplier shall provide the Authority with full assistance in relation to either Party</w:t>
      </w:r>
      <w:r>
        <w:t>’</w:t>
      </w:r>
      <w:r w:rsidRPr="00E54321">
        <w:t xml:space="preserve">s obligations under Data Protection Legislation </w:t>
      </w:r>
      <w:r w:rsidRPr="00ED6826">
        <w:t xml:space="preserve">in relation to any Personal Data </w:t>
      </w:r>
      <w:r w:rsidR="001958B8">
        <w:t>P</w:t>
      </w:r>
      <w:r w:rsidRPr="00ED6826">
        <w:t>rocessed in connection with its obligations under this Contract</w:t>
      </w:r>
      <w:r w:rsidRPr="00E54321">
        <w:t xml:space="preserve"> and any </w:t>
      </w:r>
      <w:r w:rsidRPr="00E54321">
        <w:lastRenderedPageBreak/>
        <w:t>complaint, communication or request made under Clause 1.5</w:t>
      </w:r>
      <w:r>
        <w:t xml:space="preserve"> of this Protocol (and insofar as possible within the timescales reasonably required by the Authority) including by promptly providing:</w:t>
      </w:r>
    </w:p>
    <w:p w14:paraId="53702627" w14:textId="77777777" w:rsidR="0019125B" w:rsidRDefault="0019125B" w:rsidP="0019125B">
      <w:pPr>
        <w:pStyle w:val="MRSchedPara3"/>
        <w:spacing w:line="240" w:lineRule="auto"/>
      </w:pPr>
      <w:r>
        <w:t>the Authority with full details and copies of the complaint, communication or request;</w:t>
      </w:r>
    </w:p>
    <w:p w14:paraId="10748E06" w14:textId="01D5665E" w:rsidR="0019125B" w:rsidRDefault="0019125B" w:rsidP="677426BA">
      <w:pPr>
        <w:pStyle w:val="MRSchedPara3"/>
        <w:spacing w:line="240" w:lineRule="auto"/>
      </w:pPr>
      <w:r>
        <w:t>such assistance as is reasonably requested by the Authority to enable the Authority to comply with a Data Subject Request within the relevant timescales set out in the Data Protection Legislation;</w:t>
      </w:r>
    </w:p>
    <w:p w14:paraId="62792636" w14:textId="6F4B8DDE" w:rsidR="0019125B" w:rsidRDefault="0019125B" w:rsidP="0019125B">
      <w:pPr>
        <w:pStyle w:val="MRSchedPara3"/>
        <w:spacing w:line="240" w:lineRule="auto"/>
      </w:pPr>
      <w:r>
        <w:t>the Authority</w:t>
      </w:r>
      <w:r w:rsidRPr="00E54321">
        <w:t xml:space="preserve">, at its request, with any Personal Data it holds </w:t>
      </w:r>
      <w:r w:rsidRPr="00ED6826">
        <w:t>in connection with its obligations under this Contract</w:t>
      </w:r>
      <w:r w:rsidRPr="00E54321">
        <w:t xml:space="preserve"> in relation</w:t>
      </w:r>
      <w:r>
        <w:t xml:space="preserve"> to a Data Subject;</w:t>
      </w:r>
    </w:p>
    <w:p w14:paraId="5CBBE1FF" w14:textId="36231F00" w:rsidR="0019125B" w:rsidRDefault="0019125B" w:rsidP="677426BA">
      <w:pPr>
        <w:pStyle w:val="MRSchedPara3"/>
        <w:spacing w:line="240" w:lineRule="auto"/>
      </w:pPr>
      <w:r>
        <w:t>assistance as requested by the Authority following any Data Loss Event;</w:t>
      </w:r>
    </w:p>
    <w:p w14:paraId="2ED9E18F" w14:textId="408E7FE0" w:rsidR="0019125B" w:rsidRDefault="0019125B" w:rsidP="0019125B">
      <w:pPr>
        <w:pStyle w:val="MRSchedPara3"/>
        <w:spacing w:line="240" w:lineRule="auto"/>
      </w:pPr>
      <w:r>
        <w:t>assistance as requested by the Authority with respect to any request from the Information Commissioner’s Office, or any consultation by the Authority with the Information Commissioner’s Office.</w:t>
      </w:r>
    </w:p>
    <w:p w14:paraId="77AEF054" w14:textId="35CC8287" w:rsidR="0019125B" w:rsidRDefault="0019125B" w:rsidP="0019125B">
      <w:pPr>
        <w:pStyle w:val="MRSchedPara2"/>
        <w:tabs>
          <w:tab w:val="left" w:pos="720"/>
        </w:tabs>
        <w:spacing w:line="240" w:lineRule="auto"/>
      </w:pPr>
      <w:r>
        <w:t>The Supplier shall maintain complete and accurate records and information to demonstrate its compliance with this Protocol. This requirement does not apply where the Supplier employs fewer than 250 staff, unless:</w:t>
      </w:r>
    </w:p>
    <w:p w14:paraId="0D46CE5D" w14:textId="77777777" w:rsidR="0019125B" w:rsidRDefault="0019125B" w:rsidP="0019125B">
      <w:pPr>
        <w:pStyle w:val="MRSchedPara3"/>
        <w:spacing w:line="240" w:lineRule="auto"/>
      </w:pPr>
      <w:r>
        <w:t xml:space="preserve">the Authority determines that the </w:t>
      </w:r>
      <w:r w:rsidR="001958B8">
        <w:t>P</w:t>
      </w:r>
      <w:r>
        <w:t>rocessing is not occasional;</w:t>
      </w:r>
    </w:p>
    <w:p w14:paraId="70678566" w14:textId="01B839D5" w:rsidR="0019125B" w:rsidRDefault="0019125B" w:rsidP="0019125B">
      <w:pPr>
        <w:pStyle w:val="MRSchedPara3"/>
        <w:spacing w:line="240" w:lineRule="auto"/>
      </w:pPr>
      <w:r>
        <w:t xml:space="preserve">the Authority determines the </w:t>
      </w:r>
      <w:r w:rsidR="001958B8">
        <w:t>P</w:t>
      </w:r>
      <w:r>
        <w:t>rocessing includes special categories of data as referred to in Article 9(1) of the GDPR or Personal Data relating to criminal convictions and offences referred to in Article 10 of the GDPR; or</w:t>
      </w:r>
    </w:p>
    <w:p w14:paraId="4E757C0F" w14:textId="77777777" w:rsidR="0019125B" w:rsidRDefault="0019125B" w:rsidP="0019125B">
      <w:pPr>
        <w:pStyle w:val="MRSchedPara3"/>
        <w:spacing w:line="240" w:lineRule="auto"/>
      </w:pPr>
      <w:r>
        <w:t>the Authority determines that the processing is likely to result in a risk to the rights and freedoms of Data Subjects</w:t>
      </w:r>
      <w:bookmarkEnd w:id="13"/>
      <w:r>
        <w:t>.</w:t>
      </w:r>
    </w:p>
    <w:p w14:paraId="0C253BC5" w14:textId="77777777" w:rsidR="0019125B" w:rsidRPr="00B21182" w:rsidRDefault="0019125B" w:rsidP="0019125B">
      <w:pPr>
        <w:pStyle w:val="MRSchedPara2"/>
        <w:tabs>
          <w:tab w:val="left" w:pos="720"/>
        </w:tabs>
        <w:spacing w:line="240" w:lineRule="auto"/>
      </w:pPr>
      <w:bookmarkStart w:id="14" w:name="a422117"/>
      <w:r>
        <w:t xml:space="preserve">The Supplier </w:t>
      </w:r>
      <w:r w:rsidRPr="00B21182">
        <w:t xml:space="preserve">shall allow for audits of its </w:t>
      </w:r>
      <w:r w:rsidR="001958B8">
        <w:t>d</w:t>
      </w:r>
      <w:r w:rsidRPr="00B21182">
        <w:t>ata Processing activity by the Authority or the Authority</w:t>
      </w:r>
      <w:r>
        <w:t>’</w:t>
      </w:r>
      <w:r w:rsidRPr="00B21182">
        <w:t>s designated auditor</w:t>
      </w:r>
      <w:r w:rsidRPr="00A6003B">
        <w:t xml:space="preserve"> in relation to any Personal Data </w:t>
      </w:r>
      <w:r w:rsidR="001958B8">
        <w:t>P</w:t>
      </w:r>
      <w:r w:rsidRPr="00A6003B">
        <w:t>rocessed in connection with its obligations under this Contract</w:t>
      </w:r>
      <w:r w:rsidRPr="00B21182">
        <w:t>.</w:t>
      </w:r>
    </w:p>
    <w:p w14:paraId="0B72B2C3" w14:textId="69AFB4F6" w:rsidR="0019125B" w:rsidRDefault="0019125B" w:rsidP="0019125B">
      <w:pPr>
        <w:pStyle w:val="MRSchedPara2"/>
        <w:tabs>
          <w:tab w:val="left" w:pos="720"/>
        </w:tabs>
        <w:spacing w:line="240" w:lineRule="auto"/>
      </w:pPr>
      <w:r w:rsidRPr="00B21182">
        <w:t>Each Party shall designate its own</w:t>
      </w:r>
      <w:r>
        <w:t xml:space="preserve"> Data Protection Officer if required by the Data Protection Legislation</w:t>
      </w:r>
      <w:r>
        <w:rPr>
          <w:sz w:val="28"/>
          <w:szCs w:val="28"/>
        </w:rPr>
        <w:t>.</w:t>
      </w:r>
    </w:p>
    <w:p w14:paraId="4A408D2D" w14:textId="77777777" w:rsidR="0019125B" w:rsidRDefault="0019125B" w:rsidP="0019125B">
      <w:pPr>
        <w:pStyle w:val="MRSchedPara2"/>
        <w:tabs>
          <w:tab w:val="left" w:pos="720"/>
        </w:tabs>
        <w:spacing w:line="240" w:lineRule="auto"/>
      </w:pPr>
      <w:r>
        <w:t xml:space="preserve">Before allowing any Sub-processor to </w:t>
      </w:r>
      <w:r w:rsidR="001958B8">
        <w:t>P</w:t>
      </w:r>
      <w:r>
        <w:t>rocess any Personal Data related to this Contract, the Supplier must:</w:t>
      </w:r>
    </w:p>
    <w:p w14:paraId="2974C2E1" w14:textId="77777777" w:rsidR="00641F62" w:rsidRDefault="00641F62" w:rsidP="00641F62">
      <w:pPr>
        <w:pStyle w:val="MRSchedPara3"/>
        <w:spacing w:line="240" w:lineRule="auto"/>
      </w:pPr>
      <w:r>
        <w:t xml:space="preserve">notify the Authority in writing of the intended Sub-processor and </w:t>
      </w:r>
      <w:r w:rsidR="001958B8">
        <w:t>P</w:t>
      </w:r>
      <w:r>
        <w:t>rocessing;</w:t>
      </w:r>
    </w:p>
    <w:p w14:paraId="7F64E8CF" w14:textId="14BE3FB3" w:rsidR="00641F62" w:rsidRDefault="00641F62" w:rsidP="00641F62">
      <w:pPr>
        <w:pStyle w:val="MRSchedPara3"/>
        <w:spacing w:line="240" w:lineRule="auto"/>
      </w:pPr>
      <w:r>
        <w:t>obtain the written consent of the Authority;</w:t>
      </w:r>
    </w:p>
    <w:p w14:paraId="5D443A71" w14:textId="77777777" w:rsidR="00641F62" w:rsidRDefault="00641F62" w:rsidP="00641F62">
      <w:pPr>
        <w:pStyle w:val="MRSchedPara3"/>
        <w:spacing w:line="240" w:lineRule="auto"/>
      </w:pPr>
      <w:r>
        <w:t>enter into a written agreement with the Sub-processor which give effect to the terms set out in this Protocol such that they apply to the Sub-processor; and</w:t>
      </w:r>
    </w:p>
    <w:p w14:paraId="1D82FAF6" w14:textId="77777777" w:rsidR="0019125B" w:rsidRDefault="00641F62" w:rsidP="00641F62">
      <w:pPr>
        <w:pStyle w:val="MRSchedPara3"/>
        <w:spacing w:line="240" w:lineRule="auto"/>
      </w:pPr>
      <w:r>
        <w:t>provide the Authority with such information regarding the Sub-processor as the Authority may reasonably require.</w:t>
      </w:r>
    </w:p>
    <w:p w14:paraId="44E27726" w14:textId="619E72F1" w:rsidR="0019125B" w:rsidRDefault="0019125B" w:rsidP="0019125B">
      <w:pPr>
        <w:pStyle w:val="MRSchedPara2"/>
        <w:tabs>
          <w:tab w:val="left" w:pos="720"/>
        </w:tabs>
        <w:spacing w:line="240" w:lineRule="auto"/>
      </w:pPr>
      <w:r>
        <w:t>The Supplier shall remain fully liable for all acts or omissions of any of its Sub-processors.</w:t>
      </w:r>
      <w:bookmarkEnd w:id="14"/>
    </w:p>
    <w:p w14:paraId="3F01C718" w14:textId="70DCFAB6" w:rsidR="0019125B" w:rsidRDefault="0019125B" w:rsidP="0019125B">
      <w:pPr>
        <w:pStyle w:val="MRSchedPara2"/>
        <w:tabs>
          <w:tab w:val="left" w:pos="720"/>
        </w:tabs>
        <w:spacing w:line="240" w:lineRule="auto"/>
      </w:pPr>
      <w:bookmarkStart w:id="15" w:name="_Ref522524345"/>
      <w:bookmarkStart w:id="16" w:name="a467012"/>
      <w:r>
        <w:t xml:space="preserve">The Authority may, at any time on not less than 30 </w:t>
      </w:r>
      <w:r w:rsidR="6CF4527D">
        <w:t>Business Day</w:t>
      </w:r>
      <w:r>
        <w:t xml:space="preserve">s’ notice, revise this Protocol by replacing it with any applicable controller to </w:t>
      </w:r>
      <w:r w:rsidR="00181DFA">
        <w:t>P</w:t>
      </w:r>
      <w:r>
        <w:t xml:space="preserve">rocessor standard clauses or similar terms forming </w:t>
      </w:r>
      <w:r>
        <w:lastRenderedPageBreak/>
        <w:t>part of an applicable certification scheme (which shall apply when incorporated by attachment to this Contract).</w:t>
      </w:r>
      <w:bookmarkEnd w:id="15"/>
      <w:bookmarkEnd w:id="16"/>
    </w:p>
    <w:p w14:paraId="423FB8D6" w14:textId="05BB5E25" w:rsidR="0019125B" w:rsidRDefault="0019125B" w:rsidP="677426BA">
      <w:pPr>
        <w:pStyle w:val="MRSchedPara2"/>
        <w:tabs>
          <w:tab w:val="left" w:pos="720"/>
        </w:tabs>
        <w:spacing w:line="240" w:lineRule="auto"/>
      </w:pPr>
      <w:bookmarkStart w:id="17" w:name="_Ref19893435"/>
      <w:bookmarkStart w:id="18" w:name="_Ref502913065"/>
      <w:r>
        <w:t xml:space="preserve">The Parties agree to take account of any guidance issued by the Information Commissioner’s Office. The Authority may on not less than 30 </w:t>
      </w:r>
      <w:r w:rsidR="6CF4527D">
        <w:t>Business Day</w:t>
      </w:r>
      <w:r>
        <w:t>s’ notice to the Supplier amend this Protocol to ensure that it complies with any guidance issued by the Information Commissioner’s Office.</w:t>
      </w:r>
      <w:bookmarkEnd w:id="17"/>
      <w:bookmarkEnd w:id="18"/>
    </w:p>
    <w:p w14:paraId="21A2D0C5" w14:textId="274F3760" w:rsidR="003A42BD" w:rsidRPr="00ED6826" w:rsidRDefault="0019125B" w:rsidP="003A42BD">
      <w:pPr>
        <w:pStyle w:val="MRSchedPara2"/>
        <w:tabs>
          <w:tab w:val="left" w:pos="720"/>
        </w:tabs>
        <w:spacing w:line="240" w:lineRule="auto"/>
      </w:pPr>
      <w:bookmarkStart w:id="19" w:name="_Ref522523542"/>
      <w:bookmarkStart w:id="20" w:name="_Ref502913067"/>
      <w:r>
        <w:t xml:space="preserve">The Supplier shall comply with any further instructions with respect to </w:t>
      </w:r>
      <w:r w:rsidR="00181DFA">
        <w:t>P</w:t>
      </w:r>
      <w:r>
        <w:t>rocessing issued by the Authority by written notice. Any such further written instructions shall be deemed to be incorporated into Table A from the date at which such notice is treated as having been received by the Supplier in accordance with Clause 27.2 of Schedule 2 of the Contract.</w:t>
      </w:r>
      <w:r w:rsidR="00181DFA">
        <w:t xml:space="preserve"> </w:t>
      </w:r>
      <w:bookmarkEnd w:id="19"/>
      <w:bookmarkEnd w:id="20"/>
    </w:p>
    <w:p w14:paraId="7E2FE609" w14:textId="77777777" w:rsidR="0019125B" w:rsidRDefault="0022744C" w:rsidP="0019125B">
      <w:pPr>
        <w:pStyle w:val="MRSchedPara1"/>
        <w:tabs>
          <w:tab w:val="left" w:pos="720"/>
        </w:tabs>
        <w:spacing w:line="240" w:lineRule="auto"/>
      </w:pPr>
      <w:bookmarkStart w:id="21" w:name="_Ref11845397"/>
      <w:r>
        <w:t xml:space="preserve">PARTIES AS </w:t>
      </w:r>
      <w:r w:rsidR="00C012FF">
        <w:t>J</w:t>
      </w:r>
      <w:r>
        <w:t>OINT</w:t>
      </w:r>
      <w:r w:rsidR="00C012FF">
        <w:t xml:space="preserve"> CONTR</w:t>
      </w:r>
      <w:r>
        <w:t>OLLERS</w:t>
      </w:r>
      <w:bookmarkEnd w:id="21"/>
    </w:p>
    <w:p w14:paraId="769F8278" w14:textId="77777777" w:rsidR="009175C3" w:rsidRDefault="00C53ED6" w:rsidP="0019125B">
      <w:pPr>
        <w:pStyle w:val="MRSchedPara2"/>
        <w:tabs>
          <w:tab w:val="left" w:pos="720"/>
        </w:tabs>
        <w:spacing w:line="240" w:lineRule="auto"/>
      </w:pPr>
      <w:r>
        <w:t>Where in, Table A, t</w:t>
      </w:r>
      <w:r w:rsidR="0019125B">
        <w:t>he Parties acknowledge that for the purposes of the Data Protection Legislation, the Authority and the Supplier are Joint Controllers</w:t>
      </w:r>
      <w:r>
        <w:t xml:space="preserve"> this Clause </w:t>
      </w:r>
      <w:r>
        <w:fldChar w:fldCharType="begin"/>
      </w:r>
      <w:r>
        <w:instrText xml:space="preserve"> REF _Ref11845397 \r \h </w:instrText>
      </w:r>
      <w:r>
        <w:fldChar w:fldCharType="separate"/>
      </w:r>
      <w:r w:rsidR="00C638DE">
        <w:t>2</w:t>
      </w:r>
      <w:r>
        <w:fldChar w:fldCharType="end"/>
      </w:r>
      <w:r>
        <w:t xml:space="preserve"> shall apply</w:t>
      </w:r>
      <w:r w:rsidR="0019125B">
        <w:t xml:space="preserve">. </w:t>
      </w:r>
    </w:p>
    <w:p w14:paraId="0E98EA9F" w14:textId="605D265C" w:rsidR="0019125B" w:rsidRDefault="0019125B" w:rsidP="0019125B">
      <w:pPr>
        <w:pStyle w:val="MRSchedPara2"/>
        <w:tabs>
          <w:tab w:val="left" w:pos="720"/>
        </w:tabs>
        <w:spacing w:line="240" w:lineRule="auto"/>
      </w:pPr>
      <w:r>
        <w:t xml:space="preserve">The only </w:t>
      </w:r>
      <w:r w:rsidR="00181DFA">
        <w:t>P</w:t>
      </w:r>
      <w:r>
        <w:t>rocessing that a Joint Controller is authorised to do is listed in Table A of this Protocol by the Authority and may not be determined by the Supplier.</w:t>
      </w:r>
    </w:p>
    <w:p w14:paraId="1B6D9946" w14:textId="10D81094" w:rsidR="00641F62" w:rsidRDefault="0019125B" w:rsidP="00641F62">
      <w:pPr>
        <w:pStyle w:val="MRSchedPara2"/>
        <w:tabs>
          <w:tab w:val="left" w:pos="720"/>
        </w:tabs>
        <w:spacing w:line="240" w:lineRule="auto"/>
      </w:pPr>
      <w:r>
        <w:t>The Parties shall in accordance with GDPR Article 26 enter into a Joint Controller Agreement based on the terms outlined in Schedule 1</w:t>
      </w:r>
      <w:r w:rsidR="00C27721">
        <w:t xml:space="preserve"> (removed as not applicable for typical homecare medicines service)</w:t>
      </w:r>
      <w:r>
        <w:t>.</w:t>
      </w:r>
    </w:p>
    <w:p w14:paraId="569DDF28" w14:textId="77777777" w:rsidR="00641F62" w:rsidRPr="00641F62" w:rsidRDefault="00A47C45" w:rsidP="00641F62">
      <w:pPr>
        <w:pStyle w:val="MRSchedPara1"/>
        <w:tabs>
          <w:tab w:val="left" w:pos="720"/>
        </w:tabs>
        <w:spacing w:line="240" w:lineRule="auto"/>
      </w:pPr>
      <w:bookmarkStart w:id="22" w:name="_Ref11844459"/>
      <w:r w:rsidRPr="00641F62">
        <w:t>BOTH DATA CONTROLLERS</w:t>
      </w:r>
      <w:bookmarkEnd w:id="22"/>
      <w:r w:rsidRPr="00641F62">
        <w:t xml:space="preserve"> </w:t>
      </w:r>
    </w:p>
    <w:p w14:paraId="0186DB60" w14:textId="77777777" w:rsidR="00641F62" w:rsidRPr="00641F62" w:rsidRDefault="00A47C45" w:rsidP="00641F62">
      <w:pPr>
        <w:pStyle w:val="MRSchedPara2"/>
        <w:tabs>
          <w:tab w:val="left" w:pos="720"/>
        </w:tabs>
        <w:spacing w:line="240" w:lineRule="auto"/>
      </w:pPr>
      <w:r w:rsidRPr="00641F62">
        <w:t>To the extent that the nature of the Services means that the Parties are acting both as Controllers</w:t>
      </w:r>
      <w:r w:rsidR="004761C1">
        <w:t xml:space="preserve"> (as </w:t>
      </w:r>
      <w:r w:rsidR="008D7BED">
        <w:t xml:space="preserve">may be </w:t>
      </w:r>
      <w:r w:rsidR="004761C1">
        <w:t>referred to in Table A)</w:t>
      </w:r>
      <w:r w:rsidRPr="00641F62">
        <w:t>, each Party undertakes to comply at all times with its obligations under the Data Protection Legislation and shall:</w:t>
      </w:r>
    </w:p>
    <w:p w14:paraId="2D9A9D2F" w14:textId="77777777" w:rsidR="00A47C45" w:rsidRPr="00641F62" w:rsidRDefault="00A47C45" w:rsidP="00641F62">
      <w:pPr>
        <w:pStyle w:val="MRSchedPara3"/>
        <w:spacing w:line="240" w:lineRule="auto"/>
      </w:pPr>
      <w:r w:rsidRPr="00641F62">
        <w:t>implement such measures and perform its obligations (as applicable) in compliance with the Data Protection Legislation;</w:t>
      </w:r>
    </w:p>
    <w:p w14:paraId="1F8CED78" w14:textId="77777777" w:rsidR="00A47C45" w:rsidRPr="00FB58DB" w:rsidRDefault="00A47C45" w:rsidP="00641F62">
      <w:pPr>
        <w:pStyle w:val="MRSchedPara3"/>
        <w:spacing w:line="240" w:lineRule="auto"/>
      </w:pPr>
      <w:r>
        <w:t xml:space="preserve">be responsible for determining its data security obligations taking into account the state of the art, the costs of implementation and the nature, scope, context and purposes of the </w:t>
      </w:r>
      <w:r w:rsidR="00181DFA">
        <w:t>P</w:t>
      </w:r>
      <w:r>
        <w:t xml:space="preserve">rocessing as well as the risk of varying likelihood and severity for the rights and freedoms of the Data Subjects, and implement appropriate technical and organisational measures to protect the Personal Data against unauthorised or unlawful </w:t>
      </w:r>
      <w:r w:rsidR="00181DFA">
        <w:t>P</w:t>
      </w:r>
      <w:r>
        <w:t xml:space="preserve">rocessing and accidental destruction or loss and ensure the protection of the rights of the Data Subject, in such a manner that </w:t>
      </w:r>
      <w:r w:rsidR="00181DFA">
        <w:t>P</w:t>
      </w:r>
      <w:r>
        <w:t>rocessing will meet the requirements of the Data Protection Legislation where Personal Data has been transmitted by it, or while the Personal Data is in its possession or control;</w:t>
      </w:r>
    </w:p>
    <w:p w14:paraId="7C7EC7F4" w14:textId="77777777" w:rsidR="00A47C45" w:rsidRPr="00FB58DB" w:rsidRDefault="00A47C45" w:rsidP="00641F62">
      <w:pPr>
        <w:pStyle w:val="MRSchedPara3"/>
        <w:spacing w:line="240" w:lineRule="auto"/>
      </w:pPr>
      <w:r w:rsidRPr="00FB58DB">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26C9DC68" w14:textId="77777777" w:rsidR="00A47C45" w:rsidRPr="00641F62" w:rsidRDefault="00A47C45" w:rsidP="00641F62">
      <w:pPr>
        <w:pStyle w:val="MRSchedPara2"/>
        <w:tabs>
          <w:tab w:val="left" w:pos="720"/>
        </w:tabs>
        <w:spacing w:line="240" w:lineRule="auto"/>
      </w:pPr>
      <w:r w:rsidRPr="00FB58DB">
        <w:t>Where Personal Data is shared between the Parties, each</w:t>
      </w:r>
      <w:r w:rsidRPr="00641F62">
        <w:t xml:space="preserve"> acting as Controller:</w:t>
      </w:r>
    </w:p>
    <w:p w14:paraId="29194E49" w14:textId="77777777" w:rsidR="00A47C45" w:rsidRPr="00641F62" w:rsidRDefault="00A47C45" w:rsidP="00641F62">
      <w:pPr>
        <w:pStyle w:val="MRSchedPara3"/>
        <w:spacing w:line="240" w:lineRule="auto"/>
      </w:pPr>
      <w:r w:rsidRPr="00641F62">
        <w:t xml:space="preserve">the Data Transferor warrants and undertakes to the Data Recipient that such Personal Data have been collected, </w:t>
      </w:r>
      <w:r w:rsidR="00181DFA">
        <w:t>P</w:t>
      </w:r>
      <w:r w:rsidRPr="00641F62">
        <w:t>rocessed and transferred in accordance with the Data Protecti</w:t>
      </w:r>
      <w:r w:rsidR="00641F62">
        <w:t xml:space="preserve">on Legislation and this Clause </w:t>
      </w:r>
      <w:r w:rsidR="00641F62">
        <w:fldChar w:fldCharType="begin"/>
      </w:r>
      <w:r w:rsidR="00641F62">
        <w:instrText xml:space="preserve"> REF _Ref11844459 \r \h </w:instrText>
      </w:r>
      <w:r w:rsidR="00641F62">
        <w:fldChar w:fldCharType="separate"/>
      </w:r>
      <w:r w:rsidR="00C638DE">
        <w:t>3</w:t>
      </w:r>
      <w:r w:rsidR="00641F62">
        <w:fldChar w:fldCharType="end"/>
      </w:r>
      <w:r w:rsidRPr="00641F62">
        <w:t>;</w:t>
      </w:r>
    </w:p>
    <w:p w14:paraId="4ADD0B74" w14:textId="77777777" w:rsidR="00A47C45" w:rsidRPr="00641F62" w:rsidRDefault="00A47C45" w:rsidP="00641F62">
      <w:pPr>
        <w:pStyle w:val="MRSchedPara3"/>
        <w:spacing w:line="240" w:lineRule="auto"/>
      </w:pPr>
      <w:r w:rsidRPr="00641F62">
        <w:lastRenderedPageBreak/>
        <w:t xml:space="preserve">the Data Recipient will </w:t>
      </w:r>
      <w:r w:rsidR="00181DFA">
        <w:t>P</w:t>
      </w:r>
      <w:r w:rsidRPr="00641F62">
        <w:t>rocess the Personal Data in accordance with the Data Protection Legislation and t</w:t>
      </w:r>
      <w:r w:rsidR="00641F62">
        <w:t xml:space="preserve">his Clause </w:t>
      </w:r>
      <w:r w:rsidR="00641F62">
        <w:fldChar w:fldCharType="begin"/>
      </w:r>
      <w:r w:rsidR="00641F62">
        <w:instrText xml:space="preserve"> REF _Ref11844459 \r \h </w:instrText>
      </w:r>
      <w:r w:rsidR="00641F62">
        <w:fldChar w:fldCharType="separate"/>
      </w:r>
      <w:r w:rsidR="00C638DE">
        <w:t>3</w:t>
      </w:r>
      <w:r w:rsidR="00641F62">
        <w:fldChar w:fldCharType="end"/>
      </w:r>
      <w:r w:rsidRPr="00641F62">
        <w:t>; and</w:t>
      </w:r>
    </w:p>
    <w:p w14:paraId="1D0D3F2E" w14:textId="77777777" w:rsidR="00A47C45" w:rsidRPr="00641F62" w:rsidRDefault="00A47C45" w:rsidP="00641F62">
      <w:pPr>
        <w:pStyle w:val="MRSchedPara3"/>
        <w:spacing w:line="240" w:lineRule="auto"/>
      </w:pPr>
      <w:r w:rsidRPr="00641F62">
        <w:t xml:space="preserve">where the Data Recipient is in breach of its obligations under this Protocol and the Data Protection Legislation, the Data Transferor may temporarily suspend the transfer of the Personal Data to the Data Recipient until the breach is repaired. </w:t>
      </w:r>
    </w:p>
    <w:p w14:paraId="203D799E" w14:textId="77777777" w:rsidR="00A47C45" w:rsidRDefault="00A47C45" w:rsidP="004761C1">
      <w:pPr>
        <w:pStyle w:val="MRSchedPara2"/>
        <w:numPr>
          <w:ilvl w:val="1"/>
          <w:numId w:val="0"/>
        </w:numPr>
        <w:spacing w:line="240" w:lineRule="auto"/>
      </w:pPr>
    </w:p>
    <w:p w14:paraId="716F54D3" w14:textId="77777777" w:rsidR="00641F62" w:rsidRPr="00BB31CF" w:rsidRDefault="00641F62" w:rsidP="00641F62">
      <w:pPr>
        <w:spacing w:before="0" w:after="200" w:line="276" w:lineRule="auto"/>
        <w:jc w:val="left"/>
        <w:rPr>
          <w:b/>
        </w:rPr>
      </w:pPr>
      <w:r w:rsidRPr="00FF59D2">
        <w:rPr>
          <w:i/>
          <w:color w:val="999999"/>
          <w:sz w:val="20"/>
          <w:szCs w:val="19"/>
        </w:rPr>
        <w:t>Guidance: there are limited requirements in the GDPR when parties act as separate Controllers. Clause 3 above provides a sensible starting point.  However, Authorities are advised to review the Information Commissioner’s Guidance</w:t>
      </w:r>
      <w:r w:rsidRPr="00EB4581">
        <w:rPr>
          <w:i/>
        </w:rPr>
        <w:t xml:space="preserve"> (</w:t>
      </w:r>
      <w:hyperlink r:id="rId15" w:history="1">
        <w:r w:rsidRPr="00EB4581">
          <w:rPr>
            <w:rStyle w:val="Hyperlink"/>
            <w:i/>
          </w:rPr>
          <w:t>ICO GDPR Guidance</w:t>
        </w:r>
      </w:hyperlink>
      <w:r w:rsidRPr="00EB4581">
        <w:rPr>
          <w:i/>
        </w:rPr>
        <w:t xml:space="preserve">) </w:t>
      </w:r>
      <w:r w:rsidRPr="00FF59D2">
        <w:rPr>
          <w:i/>
          <w:color w:val="999999"/>
          <w:sz w:val="20"/>
          <w:szCs w:val="19"/>
        </w:rPr>
        <w:t>and consultant their Information Governance team when considering whether further provisions or a separate data sharing agreement should be used.</w:t>
      </w:r>
    </w:p>
    <w:p w14:paraId="571605DB" w14:textId="77777777" w:rsidR="00641F62" w:rsidRPr="00641F62" w:rsidRDefault="00641F62" w:rsidP="00641F62">
      <w:pPr>
        <w:pStyle w:val="MRSchedPara2"/>
        <w:numPr>
          <w:ilvl w:val="1"/>
          <w:numId w:val="0"/>
        </w:numPr>
        <w:tabs>
          <w:tab w:val="left" w:pos="720"/>
        </w:tabs>
        <w:spacing w:line="240" w:lineRule="auto"/>
      </w:pPr>
    </w:p>
    <w:p w14:paraId="02EB8F49" w14:textId="77777777" w:rsidR="0019125B" w:rsidRDefault="0019125B" w:rsidP="00BB280D">
      <w:pPr>
        <w:spacing w:before="0" w:after="200" w:line="276" w:lineRule="auto"/>
        <w:jc w:val="left"/>
        <w:rPr>
          <w:rFonts w:cs="Arial"/>
          <w:b/>
          <w:u w:val="single"/>
        </w:rPr>
      </w:pPr>
    </w:p>
    <w:p w14:paraId="21E48623" w14:textId="77777777" w:rsidR="002A69A1" w:rsidRDefault="002A69A1" w:rsidP="002A69A1">
      <w:pPr>
        <w:pStyle w:val="MRSchedPara1"/>
        <w:tabs>
          <w:tab w:val="left" w:pos="720"/>
        </w:tabs>
        <w:spacing w:line="240" w:lineRule="auto"/>
      </w:pPr>
      <w:r>
        <w:t>CHANGES TO THIS PROTOCOL</w:t>
      </w:r>
    </w:p>
    <w:p w14:paraId="56FAC368" w14:textId="46487C4B" w:rsidR="00641F62" w:rsidRPr="002A69A1" w:rsidRDefault="002A69A1" w:rsidP="002A69A1">
      <w:pPr>
        <w:pStyle w:val="MRSchedPara2"/>
        <w:tabs>
          <w:tab w:val="left" w:pos="720"/>
        </w:tabs>
        <w:spacing w:after="440" w:line="240" w:lineRule="auto"/>
      </w:pPr>
      <w:r w:rsidRPr="00ED6826">
        <w:t>Subject to Clauses</w:t>
      </w:r>
      <w:r>
        <w:t xml:space="preserve"> </w:t>
      </w:r>
      <w:r>
        <w:rPr>
          <w:rFonts w:cs="Arial"/>
        </w:rPr>
        <w:fldChar w:fldCharType="begin"/>
      </w:r>
      <w:r>
        <w:rPr>
          <w:rFonts w:cs="Arial"/>
        </w:rPr>
        <w:instrText xml:space="preserve"> REF _Ref522524345 \r \h </w:instrText>
      </w:r>
      <w:r>
        <w:rPr>
          <w:rFonts w:cs="Arial"/>
        </w:rPr>
      </w:r>
      <w:r>
        <w:rPr>
          <w:rFonts w:cs="Arial"/>
        </w:rPr>
        <w:fldChar w:fldCharType="separate"/>
      </w:r>
      <w:r w:rsidR="00C638DE">
        <w:rPr>
          <w:rFonts w:cs="Arial"/>
        </w:rPr>
        <w:t>1.13</w:t>
      </w:r>
      <w:r>
        <w:rPr>
          <w:rFonts w:cs="Arial"/>
        </w:rPr>
        <w:fldChar w:fldCharType="end"/>
      </w:r>
      <w:r>
        <w:t>,</w:t>
      </w:r>
      <w:r w:rsidRPr="00ED6826">
        <w:t xml:space="preserve"> </w:t>
      </w:r>
      <w:r w:rsidR="001C432B">
        <w:rPr>
          <w:rFonts w:cs="Arial"/>
        </w:rPr>
        <w:fldChar w:fldCharType="begin"/>
      </w:r>
      <w:r w:rsidR="001C432B">
        <w:instrText xml:space="preserve"> REF _Ref19893435 \r \h </w:instrText>
      </w:r>
      <w:r w:rsidR="001C432B">
        <w:rPr>
          <w:rFonts w:cs="Arial"/>
        </w:rPr>
      </w:r>
      <w:r w:rsidR="001C432B">
        <w:rPr>
          <w:rFonts w:cs="Arial"/>
        </w:rPr>
        <w:fldChar w:fldCharType="separate"/>
      </w:r>
      <w:r w:rsidR="001C432B">
        <w:t>1.14</w:t>
      </w:r>
      <w:r w:rsidR="001C432B">
        <w:rPr>
          <w:rFonts w:cs="Arial"/>
        </w:rPr>
        <w:fldChar w:fldCharType="end"/>
      </w:r>
      <w:r w:rsidR="001C432B">
        <w:rPr>
          <w:rFonts w:cs="Arial"/>
        </w:rPr>
        <w:t xml:space="preserve"> </w:t>
      </w:r>
      <w:r>
        <w:t>and</w:t>
      </w:r>
      <w:r w:rsidRPr="00ED6826">
        <w:t xml:space="preserve"> </w:t>
      </w:r>
      <w:r>
        <w:rPr>
          <w:rFonts w:cs="Arial"/>
        </w:rPr>
        <w:fldChar w:fldCharType="begin"/>
      </w:r>
      <w:r>
        <w:rPr>
          <w:rFonts w:cs="Arial"/>
        </w:rPr>
        <w:instrText xml:space="preserve"> REF _Ref522523542 \r \h </w:instrText>
      </w:r>
      <w:r>
        <w:rPr>
          <w:rFonts w:cs="Arial"/>
        </w:rPr>
      </w:r>
      <w:r>
        <w:rPr>
          <w:rFonts w:cs="Arial"/>
        </w:rPr>
        <w:fldChar w:fldCharType="separate"/>
      </w:r>
      <w:r w:rsidR="00C638DE">
        <w:rPr>
          <w:rFonts w:cs="Arial"/>
        </w:rPr>
        <w:t>1.15</w:t>
      </w:r>
      <w:r>
        <w:rPr>
          <w:rFonts w:cs="Arial"/>
        </w:rPr>
        <w:fldChar w:fldCharType="end"/>
      </w:r>
      <w:r w:rsidRPr="00ED6826">
        <w:t xml:space="preserve"> of this Protocol, any </w:t>
      </w:r>
      <w:r w:rsidRPr="00ED6826">
        <w:rPr>
          <w:lang w:val="en-US"/>
        </w:rPr>
        <w:t xml:space="preserve">change or other variation to this </w:t>
      </w:r>
      <w:r w:rsidRPr="00ED6826">
        <w:t xml:space="preserve">Protocol </w:t>
      </w:r>
      <w:r w:rsidRPr="00ED6826">
        <w:rPr>
          <w:lang w:val="en-US"/>
        </w:rPr>
        <w:t>shall only be binding once it has been agreed in writing and signed by an authorised representative of both Parties.</w:t>
      </w:r>
      <w:r w:rsidR="00641F62" w:rsidRPr="002A69A1">
        <w:rPr>
          <w:rFonts w:cs="Arial"/>
          <w:b/>
          <w:u w:val="single"/>
        </w:rPr>
        <w:br w:type="page"/>
      </w:r>
    </w:p>
    <w:p w14:paraId="6E58109C" w14:textId="77777777" w:rsidR="00CB00B3" w:rsidRDefault="00CB00B3" w:rsidP="00BC74B2">
      <w:pPr>
        <w:spacing w:line="240" w:lineRule="auto"/>
        <w:rPr>
          <w:rFonts w:cs="Arial"/>
        </w:rPr>
        <w:sectPr w:rsidR="00CB00B3" w:rsidSect="0027750A">
          <w:headerReference w:type="even" r:id="rId16"/>
          <w:headerReference w:type="default" r:id="rId17"/>
          <w:footerReference w:type="even" r:id="rId18"/>
          <w:footerReference w:type="default" r:id="rId19"/>
          <w:headerReference w:type="first" r:id="rId20"/>
          <w:footerReference w:type="first" r:id="rId21"/>
          <w:pgSz w:w="11920" w:h="16860"/>
          <w:pgMar w:top="1380" w:right="880" w:bottom="280" w:left="880" w:header="720" w:footer="720" w:gutter="0"/>
          <w:cols w:space="720"/>
        </w:sectPr>
      </w:pPr>
    </w:p>
    <w:p w14:paraId="6D2763B1" w14:textId="77777777" w:rsidR="00641F62" w:rsidRDefault="00641F62" w:rsidP="677426BA">
      <w:pPr>
        <w:spacing w:before="0" w:after="200" w:line="276" w:lineRule="auto"/>
        <w:jc w:val="left"/>
        <w:rPr>
          <w:rFonts w:cs="Arial"/>
          <w:b/>
          <w:bCs/>
          <w:u w:val="single"/>
        </w:rPr>
      </w:pPr>
    </w:p>
    <w:p w14:paraId="4F1F70E6" w14:textId="65D51525" w:rsidR="00A24BCE" w:rsidRPr="00CB00B3" w:rsidRDefault="00A24BCE" w:rsidP="00A24BCE">
      <w:pPr>
        <w:spacing w:line="240" w:lineRule="auto"/>
        <w:rPr>
          <w:rFonts w:cs="Arial"/>
          <w:b/>
          <w:u w:val="single"/>
        </w:rPr>
      </w:pPr>
      <w:r w:rsidRPr="00CB00B3">
        <w:rPr>
          <w:rFonts w:cs="Arial"/>
          <w:b/>
          <w:u w:val="single"/>
        </w:rPr>
        <w:t>Annex A – Retention of Records</w:t>
      </w:r>
    </w:p>
    <w:p w14:paraId="043B1926" w14:textId="77777777" w:rsidR="00A24BCE" w:rsidRDefault="00A24BCE" w:rsidP="00A24BCE">
      <w:pPr>
        <w:spacing w:line="240" w:lineRule="auto"/>
        <w:rPr>
          <w:rFonts w:cs="Arial"/>
          <w:u w:val="single"/>
        </w:rPr>
      </w:pPr>
      <w:r>
        <w:rPr>
          <w:noProof/>
        </w:rPr>
        <w:drawing>
          <wp:inline distT="0" distB="0" distL="0" distR="0" wp14:anchorId="24E32C13" wp14:editId="71DCF3F2">
            <wp:extent cx="6451600" cy="3669665"/>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6451600" cy="3669665"/>
                    </a:xfrm>
                    <a:prstGeom prst="rect">
                      <a:avLst/>
                    </a:prstGeom>
                  </pic:spPr>
                </pic:pic>
              </a:graphicData>
            </a:graphic>
          </wp:inline>
        </w:drawing>
      </w:r>
    </w:p>
    <w:p w14:paraId="6A40885D" w14:textId="77777777" w:rsidR="00A24BCE" w:rsidRDefault="00A24BCE" w:rsidP="00A24BCE">
      <w:pPr>
        <w:jc w:val="right"/>
        <w:rPr>
          <w:rFonts w:cs="Arial"/>
        </w:rPr>
      </w:pPr>
    </w:p>
    <w:p w14:paraId="48BC5584" w14:textId="77777777" w:rsidR="00A24BCE" w:rsidRDefault="00A24BCE" w:rsidP="00A24BCE">
      <w:pPr>
        <w:rPr>
          <w:rFonts w:cs="Arial"/>
        </w:rPr>
      </w:pPr>
      <w:r>
        <w:rPr>
          <w:rFonts w:cs="Arial"/>
        </w:rPr>
        <w:br w:type="page"/>
      </w:r>
    </w:p>
    <w:p w14:paraId="7C297AD9" w14:textId="77777777" w:rsidR="00A24BCE" w:rsidRDefault="00A24BCE" w:rsidP="00A24BCE">
      <w:pPr>
        <w:rPr>
          <w:rFonts w:cs="Arial"/>
          <w:b/>
        </w:rPr>
      </w:pPr>
      <w:r w:rsidRPr="00CB00B3">
        <w:rPr>
          <w:rFonts w:cs="Arial"/>
          <w:b/>
        </w:rPr>
        <w:lastRenderedPageBreak/>
        <w:t>Annex B – Data maps</w:t>
      </w:r>
    </w:p>
    <w:p w14:paraId="5E5AC520" w14:textId="77777777" w:rsidR="00A24BCE" w:rsidRDefault="00A24BCE" w:rsidP="00A24BCE">
      <w:pPr>
        <w:rPr>
          <w:rFonts w:cs="Arial"/>
        </w:rPr>
      </w:pPr>
      <w:r>
        <w:rPr>
          <w:noProof/>
        </w:rPr>
        <w:drawing>
          <wp:inline distT="0" distB="0" distL="0" distR="0" wp14:anchorId="42796ADB" wp14:editId="16874C02">
            <wp:extent cx="6451600" cy="354647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3">
                      <a:extLst>
                        <a:ext uri="{28A0092B-C50C-407E-A947-70E740481C1C}">
                          <a14:useLocalDpi xmlns:a14="http://schemas.microsoft.com/office/drawing/2010/main" val="0"/>
                        </a:ext>
                      </a:extLst>
                    </a:blip>
                    <a:stretch>
                      <a:fillRect/>
                    </a:stretch>
                  </pic:blipFill>
                  <pic:spPr>
                    <a:xfrm>
                      <a:off x="0" y="0"/>
                      <a:ext cx="6451600" cy="3546475"/>
                    </a:xfrm>
                    <a:prstGeom prst="rect">
                      <a:avLst/>
                    </a:prstGeom>
                  </pic:spPr>
                </pic:pic>
              </a:graphicData>
            </a:graphic>
          </wp:inline>
        </w:drawing>
      </w:r>
    </w:p>
    <w:p w14:paraId="5B4944D9" w14:textId="77777777" w:rsidR="00A24BCE" w:rsidRDefault="00A24BCE" w:rsidP="00A24BCE">
      <w:pPr>
        <w:rPr>
          <w:rFonts w:cs="Arial"/>
        </w:rPr>
      </w:pPr>
    </w:p>
    <w:p w14:paraId="072C7209" w14:textId="5223B7AB" w:rsidR="00A24BCE" w:rsidRDefault="005E0C02" w:rsidP="00E26CFE">
      <w:pPr>
        <w:jc w:val="left"/>
      </w:pPr>
      <w:r>
        <w:rPr>
          <w:noProof/>
        </w:rPr>
        <w:drawing>
          <wp:inline distT="0" distB="0" distL="0" distR="0" wp14:anchorId="3F49EE4B" wp14:editId="02D39BC1">
            <wp:extent cx="6451600" cy="3534410"/>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a:extLst>
                        <a:ext uri="{28A0092B-C50C-407E-A947-70E740481C1C}">
                          <a14:useLocalDpi xmlns:a14="http://schemas.microsoft.com/office/drawing/2010/main" val="0"/>
                        </a:ext>
                      </a:extLst>
                    </a:blip>
                    <a:stretch>
                      <a:fillRect/>
                    </a:stretch>
                  </pic:blipFill>
                  <pic:spPr>
                    <a:xfrm>
                      <a:off x="0" y="0"/>
                      <a:ext cx="6451600" cy="3534410"/>
                    </a:xfrm>
                    <a:prstGeom prst="rect">
                      <a:avLst/>
                    </a:prstGeom>
                  </pic:spPr>
                </pic:pic>
              </a:graphicData>
            </a:graphic>
          </wp:inline>
        </w:drawing>
      </w:r>
    </w:p>
    <w:sectPr w:rsidR="00A24BCE" w:rsidSect="00E85A19">
      <w:headerReference w:type="default" r:id="rId25"/>
      <w:pgSz w:w="11920" w:h="16860"/>
      <w:pgMar w:top="1378" w:right="879" w:bottom="278" w:left="8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CB5C0" w14:textId="77777777" w:rsidR="001576E3" w:rsidRDefault="001576E3" w:rsidP="005E55F2">
      <w:pPr>
        <w:spacing w:before="0" w:line="240" w:lineRule="auto"/>
      </w:pPr>
      <w:r>
        <w:separator/>
      </w:r>
    </w:p>
  </w:endnote>
  <w:endnote w:type="continuationSeparator" w:id="0">
    <w:p w14:paraId="0B01BC7A" w14:textId="77777777" w:rsidR="001576E3" w:rsidRDefault="001576E3" w:rsidP="005E55F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DAC1" w14:textId="77777777" w:rsidR="0028308A" w:rsidRDefault="00283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BEC93" w14:textId="77777777" w:rsidR="0028308A" w:rsidRDefault="00283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7DAEF" w14:textId="77777777" w:rsidR="0028308A" w:rsidRDefault="00283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CD9F0" w14:textId="77777777" w:rsidR="001576E3" w:rsidRDefault="001576E3" w:rsidP="005E55F2">
      <w:pPr>
        <w:spacing w:before="0" w:line="240" w:lineRule="auto"/>
      </w:pPr>
      <w:r>
        <w:separator/>
      </w:r>
    </w:p>
  </w:footnote>
  <w:footnote w:type="continuationSeparator" w:id="0">
    <w:p w14:paraId="514E7E10" w14:textId="77777777" w:rsidR="001576E3" w:rsidRDefault="001576E3" w:rsidP="005E55F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210E1" w14:textId="77777777" w:rsidR="0028308A" w:rsidRDefault="00283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FAD6F" w14:textId="77777777" w:rsidR="0028308A" w:rsidRDefault="00283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1BB70" w14:textId="77777777" w:rsidR="0028308A" w:rsidRDefault="002830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E7799" w14:textId="77777777" w:rsidR="00B51D9B" w:rsidRDefault="00B5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D04"/>
    <w:multiLevelType w:val="multilevel"/>
    <w:tmpl w:val="E6D621B4"/>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4"/>
        </w:tabs>
        <w:ind w:left="1554" w:hanging="561"/>
      </w:pPr>
      <w:rPr>
        <w:rFonts w:hint="default"/>
        <w:color w:val="000000"/>
      </w:rPr>
    </w:lvl>
    <w:lvl w:ilvl="3">
      <w:start w:val="1"/>
      <w:numFmt w:val="lowerRoman"/>
      <w:lvlText w:val="(%4)"/>
      <w:lvlJc w:val="left"/>
      <w:pPr>
        <w:tabs>
          <w:tab w:val="num" w:pos="2419"/>
        </w:tabs>
        <w:ind w:left="2275" w:hanging="576"/>
      </w:pPr>
      <w:rPr>
        <w:rFonts w:hint="default"/>
        <w:color w:val="000000"/>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C430D88"/>
    <w:multiLevelType w:val="hybridMultilevel"/>
    <w:tmpl w:val="A594C03E"/>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1D376FF1"/>
    <w:multiLevelType w:val="hybridMultilevel"/>
    <w:tmpl w:val="5E90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800"/>
        </w:tabs>
        <w:ind w:left="1800"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07848B2"/>
    <w:multiLevelType w:val="multilevel"/>
    <w:tmpl w:val="9B1CF228"/>
    <w:name w:val="M&amp;R_1"/>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AF661E0"/>
    <w:multiLevelType w:val="multilevel"/>
    <w:tmpl w:val="BD6C9062"/>
    <w:name w:val="M&amp;R_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37270E40"/>
    <w:multiLevelType w:val="hybridMultilevel"/>
    <w:tmpl w:val="E708C5D4"/>
    <w:name w:val="M&amp;R_3"/>
    <w:styleLink w:val="Recital"/>
    <w:lvl w:ilvl="0" w:tplc="E6FAA940">
      <w:start w:val="1"/>
      <w:numFmt w:val="upperLetter"/>
      <w:pStyle w:val="MRRecital1"/>
      <w:lvlText w:val="(%1)"/>
      <w:lvlJc w:val="left"/>
      <w:pPr>
        <w:ind w:left="720" w:hanging="720"/>
      </w:pPr>
      <w:rPr>
        <w:rFonts w:ascii="Arial" w:hAnsi="Arial" w:hint="default"/>
        <w:sz w:val="22"/>
      </w:rPr>
    </w:lvl>
    <w:lvl w:ilvl="1" w:tplc="6DFAB0A6">
      <w:start w:val="1"/>
      <w:numFmt w:val="decimal"/>
      <w:pStyle w:val="MRRecital2"/>
      <w:lvlText w:val="%2)"/>
      <w:lvlJc w:val="left"/>
      <w:pPr>
        <w:ind w:left="1440" w:hanging="720"/>
      </w:pPr>
      <w:rPr>
        <w:rFonts w:hint="default"/>
      </w:rPr>
    </w:lvl>
    <w:lvl w:ilvl="2" w:tplc="4CA818E0">
      <w:start w:val="1"/>
      <w:numFmt w:val="none"/>
      <w:lvlText w:val=""/>
      <w:lvlJc w:val="left"/>
      <w:pPr>
        <w:ind w:left="1440" w:firstLine="0"/>
      </w:pPr>
      <w:rPr>
        <w:rFonts w:hint="default"/>
      </w:rPr>
    </w:lvl>
    <w:lvl w:ilvl="3" w:tplc="89BEC8AE">
      <w:start w:val="1"/>
      <w:numFmt w:val="none"/>
      <w:lvlText w:val=""/>
      <w:lvlJc w:val="left"/>
      <w:pPr>
        <w:ind w:left="1440" w:firstLine="0"/>
      </w:pPr>
      <w:rPr>
        <w:rFonts w:hint="default"/>
      </w:rPr>
    </w:lvl>
    <w:lvl w:ilvl="4" w:tplc="77C8A47C">
      <w:start w:val="1"/>
      <w:numFmt w:val="none"/>
      <w:lvlText w:val=""/>
      <w:lvlJc w:val="left"/>
      <w:pPr>
        <w:ind w:left="1440" w:firstLine="0"/>
      </w:pPr>
      <w:rPr>
        <w:rFonts w:hint="default"/>
      </w:rPr>
    </w:lvl>
    <w:lvl w:ilvl="5" w:tplc="BBFEAF88">
      <w:start w:val="1"/>
      <w:numFmt w:val="none"/>
      <w:lvlText w:val=""/>
      <w:lvlJc w:val="left"/>
      <w:pPr>
        <w:ind w:left="1440" w:firstLine="0"/>
      </w:pPr>
      <w:rPr>
        <w:rFonts w:hint="default"/>
      </w:rPr>
    </w:lvl>
    <w:lvl w:ilvl="6" w:tplc="A80C6A6E">
      <w:start w:val="1"/>
      <w:numFmt w:val="none"/>
      <w:lvlText w:val=""/>
      <w:lvlJc w:val="left"/>
      <w:pPr>
        <w:ind w:left="1440" w:firstLine="0"/>
      </w:pPr>
      <w:rPr>
        <w:rFonts w:hint="default"/>
      </w:rPr>
    </w:lvl>
    <w:lvl w:ilvl="7" w:tplc="68A052AA">
      <w:start w:val="1"/>
      <w:numFmt w:val="none"/>
      <w:lvlText w:val=""/>
      <w:lvlJc w:val="left"/>
      <w:pPr>
        <w:ind w:left="1440" w:firstLine="0"/>
      </w:pPr>
      <w:rPr>
        <w:rFonts w:hint="default"/>
      </w:rPr>
    </w:lvl>
    <w:lvl w:ilvl="8" w:tplc="CCDA5D1E">
      <w:start w:val="1"/>
      <w:numFmt w:val="none"/>
      <w:lvlText w:val=""/>
      <w:lvlJc w:val="left"/>
      <w:pPr>
        <w:ind w:left="1440" w:firstLine="0"/>
      </w:pPr>
      <w:rPr>
        <w:rFonts w:hint="default"/>
      </w:rPr>
    </w:lvl>
  </w:abstractNum>
  <w:abstractNum w:abstractNumId="8" w15:restartNumberingAfterBreak="0">
    <w:nsid w:val="3E9D3BDC"/>
    <w:multiLevelType w:val="multilevel"/>
    <w:tmpl w:val="9488BE6E"/>
    <w:name w:val="M&amp;R Parties"/>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9" w15:restartNumberingAfterBreak="0">
    <w:nsid w:val="462C4601"/>
    <w:multiLevelType w:val="multilevel"/>
    <w:tmpl w:val="D13C9630"/>
    <w:name w:val="M&amp;R_4"/>
    <w:numStyleLink w:val="LMA"/>
  </w:abstractNum>
  <w:abstractNum w:abstractNumId="10" w15:restartNumberingAfterBreak="0">
    <w:nsid w:val="4D840B7B"/>
    <w:multiLevelType w:val="multilevel"/>
    <w:tmpl w:val="9B1CF228"/>
    <w:name w:val="M&amp;R_5"/>
    <w:numStyleLink w:val="Definitions"/>
  </w:abstractNum>
  <w:abstractNum w:abstractNumId="11" w15:restartNumberingAfterBreak="0">
    <w:nsid w:val="59C050FC"/>
    <w:multiLevelType w:val="multilevel"/>
    <w:tmpl w:val="D13C9630"/>
    <w:name w:val="M&amp;R_6"/>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2" w15:restartNumberingAfterBreak="0">
    <w:nsid w:val="5C697A41"/>
    <w:multiLevelType w:val="multilevel"/>
    <w:tmpl w:val="63E0115C"/>
    <w:name w:val="M&amp;R PARTS"/>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3" w15:restartNumberingAfterBreak="0">
    <w:nsid w:val="680D0DD1"/>
    <w:multiLevelType w:val="multilevel"/>
    <w:tmpl w:val="3F32EEBE"/>
    <w:name w:val="M&amp;R_7"/>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4" w15:restartNumberingAfterBreak="0">
    <w:nsid w:val="6ADF4683"/>
    <w:multiLevelType w:val="multilevel"/>
    <w:tmpl w:val="85385F9C"/>
    <w:lvl w:ilvl="0">
      <w:start w:val="1"/>
      <w:numFmt w:val="none"/>
      <w:lvlText w:val="%1."/>
      <w:lvlJc w:val="left"/>
      <w:pPr>
        <w:tabs>
          <w:tab w:val="num" w:pos="720"/>
        </w:tabs>
        <w:ind w:left="720" w:hanging="720"/>
      </w:pPr>
      <w:rPr>
        <w:rFonts w:hint="default"/>
        <w:color w:val="000000"/>
      </w:rPr>
    </w:lvl>
    <w:lvl w:ilvl="1">
      <w:start w:val="1"/>
      <w:numFmt w:val="lowerLett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D61AA7"/>
    <w:multiLevelType w:val="multilevel"/>
    <w:tmpl w:val="64102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D0C2F44"/>
    <w:multiLevelType w:val="multilevel"/>
    <w:tmpl w:val="7D42F14A"/>
    <w:name w:val="M&amp;R_8"/>
    <w:numStyleLink w:val="Headings"/>
  </w:abstractNum>
  <w:abstractNum w:abstractNumId="17" w15:restartNumberingAfterBreak="0">
    <w:nsid w:val="72462838"/>
    <w:multiLevelType w:val="hybridMultilevel"/>
    <w:tmpl w:val="D11829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085318"/>
    <w:multiLevelType w:val="multilevel"/>
    <w:tmpl w:val="EA3239C8"/>
    <w:name w:val="M&amp;R_9"/>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5"/>
  </w:num>
  <w:num w:numId="2">
    <w:abstractNumId w:val="1"/>
  </w:num>
  <w:num w:numId="3">
    <w:abstractNumId w:val="11"/>
  </w:num>
  <w:num w:numId="4">
    <w:abstractNumId w:val="9"/>
  </w:num>
  <w:num w:numId="5">
    <w:abstractNumId w:val="18"/>
  </w:num>
  <w:num w:numId="6">
    <w:abstractNumId w:val="8"/>
  </w:num>
  <w:num w:numId="7">
    <w:abstractNumId w:val="12"/>
  </w:num>
  <w:num w:numId="8">
    <w:abstractNumId w:val="7"/>
  </w:num>
  <w:num w:numId="9">
    <w:abstractNumId w:val="6"/>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16"/>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6"/>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2">
    <w:abstractNumId w:val="1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 w:vendorID="64" w:dllVersion="6" w:nlCheck="1" w:checkStyle="1"/>
  <w:activeWritingStyle w:appName="MSWord" w:lang="en-US" w:vendorID="64" w:dllVersion="0" w:nlCheck="1" w:checkStyle="0"/>
  <w:activeWritingStyle w:appName="MSWord" w:lang="en-GB" w:vendorID="64" w:dllVersion="0" w:nlCheck="1" w:checkStyle="0"/>
  <w:defaultTabStop w:val="720"/>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08A"/>
    <w:rsid w:val="0000075B"/>
    <w:rsid w:val="00000B15"/>
    <w:rsid w:val="00004479"/>
    <w:rsid w:val="00024886"/>
    <w:rsid w:val="00024CCC"/>
    <w:rsid w:val="00031CB6"/>
    <w:rsid w:val="00052B27"/>
    <w:rsid w:val="0005575A"/>
    <w:rsid w:val="000650DE"/>
    <w:rsid w:val="0007502E"/>
    <w:rsid w:val="00094351"/>
    <w:rsid w:val="000B16E7"/>
    <w:rsid w:val="000C0A43"/>
    <w:rsid w:val="000C3DF3"/>
    <w:rsid w:val="000C6ECB"/>
    <w:rsid w:val="000D0845"/>
    <w:rsid w:val="000E5792"/>
    <w:rsid w:val="00103DEF"/>
    <w:rsid w:val="001047B2"/>
    <w:rsid w:val="0011097C"/>
    <w:rsid w:val="00117528"/>
    <w:rsid w:val="001176B2"/>
    <w:rsid w:val="00137A3D"/>
    <w:rsid w:val="001576E3"/>
    <w:rsid w:val="001618BA"/>
    <w:rsid w:val="00174C5A"/>
    <w:rsid w:val="00181DFA"/>
    <w:rsid w:val="00185FC5"/>
    <w:rsid w:val="0019125B"/>
    <w:rsid w:val="00192B44"/>
    <w:rsid w:val="001958B8"/>
    <w:rsid w:val="001A39D5"/>
    <w:rsid w:val="001A5A62"/>
    <w:rsid w:val="001B28BC"/>
    <w:rsid w:val="001C432B"/>
    <w:rsid w:val="001E16EE"/>
    <w:rsid w:val="001E2DA3"/>
    <w:rsid w:val="00202829"/>
    <w:rsid w:val="00205FC4"/>
    <w:rsid w:val="00221729"/>
    <w:rsid w:val="0022744C"/>
    <w:rsid w:val="002334C7"/>
    <w:rsid w:val="0023439B"/>
    <w:rsid w:val="00245975"/>
    <w:rsid w:val="002570D5"/>
    <w:rsid w:val="002768CE"/>
    <w:rsid w:val="0027750A"/>
    <w:rsid w:val="0028308A"/>
    <w:rsid w:val="0028463D"/>
    <w:rsid w:val="00286446"/>
    <w:rsid w:val="00287013"/>
    <w:rsid w:val="002A69A1"/>
    <w:rsid w:val="002B76E6"/>
    <w:rsid w:val="002C4F8E"/>
    <w:rsid w:val="002F1E00"/>
    <w:rsid w:val="002F7AE9"/>
    <w:rsid w:val="00305A00"/>
    <w:rsid w:val="00310DE8"/>
    <w:rsid w:val="00311FFC"/>
    <w:rsid w:val="0031551C"/>
    <w:rsid w:val="00317D8B"/>
    <w:rsid w:val="003215AE"/>
    <w:rsid w:val="003223A5"/>
    <w:rsid w:val="003278D4"/>
    <w:rsid w:val="00334E8E"/>
    <w:rsid w:val="003352B0"/>
    <w:rsid w:val="00352928"/>
    <w:rsid w:val="00356329"/>
    <w:rsid w:val="00367B47"/>
    <w:rsid w:val="003718E6"/>
    <w:rsid w:val="003913F5"/>
    <w:rsid w:val="00392221"/>
    <w:rsid w:val="003A42BD"/>
    <w:rsid w:val="003A7E70"/>
    <w:rsid w:val="003B5D89"/>
    <w:rsid w:val="003B6E12"/>
    <w:rsid w:val="003C329D"/>
    <w:rsid w:val="003C5D41"/>
    <w:rsid w:val="003C7EC7"/>
    <w:rsid w:val="003D4A51"/>
    <w:rsid w:val="003E2335"/>
    <w:rsid w:val="003E5F48"/>
    <w:rsid w:val="003F10AD"/>
    <w:rsid w:val="00403FC3"/>
    <w:rsid w:val="0040514A"/>
    <w:rsid w:val="00410790"/>
    <w:rsid w:val="00421AD0"/>
    <w:rsid w:val="00433315"/>
    <w:rsid w:val="0043583E"/>
    <w:rsid w:val="00436D59"/>
    <w:rsid w:val="00440706"/>
    <w:rsid w:val="00441707"/>
    <w:rsid w:val="00447BE1"/>
    <w:rsid w:val="00452E26"/>
    <w:rsid w:val="00461D14"/>
    <w:rsid w:val="00461FFA"/>
    <w:rsid w:val="00462C1F"/>
    <w:rsid w:val="004738E4"/>
    <w:rsid w:val="004761C1"/>
    <w:rsid w:val="0047694E"/>
    <w:rsid w:val="004842CF"/>
    <w:rsid w:val="004851D2"/>
    <w:rsid w:val="00496AC4"/>
    <w:rsid w:val="004B106F"/>
    <w:rsid w:val="004D0136"/>
    <w:rsid w:val="004F628A"/>
    <w:rsid w:val="004F66E8"/>
    <w:rsid w:val="004F6F97"/>
    <w:rsid w:val="005019AB"/>
    <w:rsid w:val="00507181"/>
    <w:rsid w:val="00511D3E"/>
    <w:rsid w:val="0051260B"/>
    <w:rsid w:val="0051370F"/>
    <w:rsid w:val="00515278"/>
    <w:rsid w:val="00516204"/>
    <w:rsid w:val="00525990"/>
    <w:rsid w:val="00526F21"/>
    <w:rsid w:val="00530FFB"/>
    <w:rsid w:val="00532575"/>
    <w:rsid w:val="005343FB"/>
    <w:rsid w:val="0053474A"/>
    <w:rsid w:val="00534990"/>
    <w:rsid w:val="005366CF"/>
    <w:rsid w:val="0053678E"/>
    <w:rsid w:val="00544193"/>
    <w:rsid w:val="00544BF4"/>
    <w:rsid w:val="00544CCF"/>
    <w:rsid w:val="005501DB"/>
    <w:rsid w:val="005524A6"/>
    <w:rsid w:val="005749A0"/>
    <w:rsid w:val="00581525"/>
    <w:rsid w:val="00590C90"/>
    <w:rsid w:val="00596742"/>
    <w:rsid w:val="005A14D1"/>
    <w:rsid w:val="005B0432"/>
    <w:rsid w:val="005B300B"/>
    <w:rsid w:val="005B3B19"/>
    <w:rsid w:val="005B4A3C"/>
    <w:rsid w:val="005B5F21"/>
    <w:rsid w:val="005B60B8"/>
    <w:rsid w:val="005C4C70"/>
    <w:rsid w:val="005C4DC7"/>
    <w:rsid w:val="005D5BA6"/>
    <w:rsid w:val="005E0C02"/>
    <w:rsid w:val="005E55F2"/>
    <w:rsid w:val="005F20B6"/>
    <w:rsid w:val="005F4266"/>
    <w:rsid w:val="005F7B96"/>
    <w:rsid w:val="0060761A"/>
    <w:rsid w:val="006276E4"/>
    <w:rsid w:val="00641F62"/>
    <w:rsid w:val="00666317"/>
    <w:rsid w:val="00670CF0"/>
    <w:rsid w:val="006758ED"/>
    <w:rsid w:val="00685056"/>
    <w:rsid w:val="00687E9A"/>
    <w:rsid w:val="0069233F"/>
    <w:rsid w:val="006A5D3C"/>
    <w:rsid w:val="006D28A5"/>
    <w:rsid w:val="006E2294"/>
    <w:rsid w:val="006E57DB"/>
    <w:rsid w:val="006E7997"/>
    <w:rsid w:val="0072646B"/>
    <w:rsid w:val="0075152F"/>
    <w:rsid w:val="007533B8"/>
    <w:rsid w:val="00765C54"/>
    <w:rsid w:val="00770394"/>
    <w:rsid w:val="00783BA1"/>
    <w:rsid w:val="007B7D0A"/>
    <w:rsid w:val="007C2C49"/>
    <w:rsid w:val="007C3A7C"/>
    <w:rsid w:val="007D7831"/>
    <w:rsid w:val="007E2500"/>
    <w:rsid w:val="007E71A2"/>
    <w:rsid w:val="007E7AA6"/>
    <w:rsid w:val="007F6EC1"/>
    <w:rsid w:val="00852B7F"/>
    <w:rsid w:val="00860233"/>
    <w:rsid w:val="00863675"/>
    <w:rsid w:val="00864BD1"/>
    <w:rsid w:val="00880BDC"/>
    <w:rsid w:val="008B6DA8"/>
    <w:rsid w:val="008C400E"/>
    <w:rsid w:val="008C6D39"/>
    <w:rsid w:val="008D5821"/>
    <w:rsid w:val="008D7BED"/>
    <w:rsid w:val="008F0E2D"/>
    <w:rsid w:val="008F488E"/>
    <w:rsid w:val="008F50AA"/>
    <w:rsid w:val="008F686D"/>
    <w:rsid w:val="00902FAD"/>
    <w:rsid w:val="009175C3"/>
    <w:rsid w:val="00931BAD"/>
    <w:rsid w:val="009370A0"/>
    <w:rsid w:val="00937817"/>
    <w:rsid w:val="00937BF8"/>
    <w:rsid w:val="0094022E"/>
    <w:rsid w:val="00943CE0"/>
    <w:rsid w:val="009608DC"/>
    <w:rsid w:val="009664BF"/>
    <w:rsid w:val="00967A7F"/>
    <w:rsid w:val="009935A5"/>
    <w:rsid w:val="0099470A"/>
    <w:rsid w:val="009C4C42"/>
    <w:rsid w:val="009C79CA"/>
    <w:rsid w:val="009E74CF"/>
    <w:rsid w:val="00A00C73"/>
    <w:rsid w:val="00A0381C"/>
    <w:rsid w:val="00A235A1"/>
    <w:rsid w:val="00A24BCE"/>
    <w:rsid w:val="00A3535B"/>
    <w:rsid w:val="00A35C9B"/>
    <w:rsid w:val="00A47C45"/>
    <w:rsid w:val="00A6003B"/>
    <w:rsid w:val="00A6584A"/>
    <w:rsid w:val="00A85D0E"/>
    <w:rsid w:val="00AB1381"/>
    <w:rsid w:val="00AB533B"/>
    <w:rsid w:val="00AC7DA1"/>
    <w:rsid w:val="00AD0A73"/>
    <w:rsid w:val="00AD4575"/>
    <w:rsid w:val="00AE47AF"/>
    <w:rsid w:val="00AE5DC7"/>
    <w:rsid w:val="00AF025D"/>
    <w:rsid w:val="00B00344"/>
    <w:rsid w:val="00B122FC"/>
    <w:rsid w:val="00B21182"/>
    <w:rsid w:val="00B25A2A"/>
    <w:rsid w:val="00B263C6"/>
    <w:rsid w:val="00B41EED"/>
    <w:rsid w:val="00B4207D"/>
    <w:rsid w:val="00B45F38"/>
    <w:rsid w:val="00B51D9B"/>
    <w:rsid w:val="00B65BD4"/>
    <w:rsid w:val="00B865DC"/>
    <w:rsid w:val="00B91B58"/>
    <w:rsid w:val="00BA092F"/>
    <w:rsid w:val="00BA16A2"/>
    <w:rsid w:val="00BA5C8F"/>
    <w:rsid w:val="00BA66BF"/>
    <w:rsid w:val="00BB280D"/>
    <w:rsid w:val="00BB31CF"/>
    <w:rsid w:val="00BC74B2"/>
    <w:rsid w:val="00BC7FB7"/>
    <w:rsid w:val="00BE2A24"/>
    <w:rsid w:val="00C012FF"/>
    <w:rsid w:val="00C11283"/>
    <w:rsid w:val="00C12F84"/>
    <w:rsid w:val="00C27721"/>
    <w:rsid w:val="00C31518"/>
    <w:rsid w:val="00C43511"/>
    <w:rsid w:val="00C46C78"/>
    <w:rsid w:val="00C46D49"/>
    <w:rsid w:val="00C52343"/>
    <w:rsid w:val="00C52BE6"/>
    <w:rsid w:val="00C53ED6"/>
    <w:rsid w:val="00C543D8"/>
    <w:rsid w:val="00C638DE"/>
    <w:rsid w:val="00C70B3C"/>
    <w:rsid w:val="00C717BD"/>
    <w:rsid w:val="00CA5C5B"/>
    <w:rsid w:val="00CA5E31"/>
    <w:rsid w:val="00CB00B3"/>
    <w:rsid w:val="00CB49F0"/>
    <w:rsid w:val="00CD1AF7"/>
    <w:rsid w:val="00CF7637"/>
    <w:rsid w:val="00D2123F"/>
    <w:rsid w:val="00D31BA8"/>
    <w:rsid w:val="00D32764"/>
    <w:rsid w:val="00D347CB"/>
    <w:rsid w:val="00D376D3"/>
    <w:rsid w:val="00D4213E"/>
    <w:rsid w:val="00D444DA"/>
    <w:rsid w:val="00D552D0"/>
    <w:rsid w:val="00D63A34"/>
    <w:rsid w:val="00D64B97"/>
    <w:rsid w:val="00D74A25"/>
    <w:rsid w:val="00D768B3"/>
    <w:rsid w:val="00D9038A"/>
    <w:rsid w:val="00D90D0B"/>
    <w:rsid w:val="00D94E15"/>
    <w:rsid w:val="00DA052A"/>
    <w:rsid w:val="00DA7326"/>
    <w:rsid w:val="00DB667E"/>
    <w:rsid w:val="00DC18AB"/>
    <w:rsid w:val="00DC4B20"/>
    <w:rsid w:val="00DD0AF1"/>
    <w:rsid w:val="00DD6743"/>
    <w:rsid w:val="00DE7749"/>
    <w:rsid w:val="00DF3938"/>
    <w:rsid w:val="00DF55A7"/>
    <w:rsid w:val="00E101D8"/>
    <w:rsid w:val="00E13681"/>
    <w:rsid w:val="00E14AC1"/>
    <w:rsid w:val="00E22206"/>
    <w:rsid w:val="00E26CFE"/>
    <w:rsid w:val="00E43145"/>
    <w:rsid w:val="00E54321"/>
    <w:rsid w:val="00E54584"/>
    <w:rsid w:val="00E56ADD"/>
    <w:rsid w:val="00E6072E"/>
    <w:rsid w:val="00E61DD0"/>
    <w:rsid w:val="00E6320D"/>
    <w:rsid w:val="00E76202"/>
    <w:rsid w:val="00E82EB9"/>
    <w:rsid w:val="00E83E87"/>
    <w:rsid w:val="00E85A19"/>
    <w:rsid w:val="00E90E4E"/>
    <w:rsid w:val="00E91CB1"/>
    <w:rsid w:val="00EA1161"/>
    <w:rsid w:val="00EB4581"/>
    <w:rsid w:val="00EB4C31"/>
    <w:rsid w:val="00EC4BEE"/>
    <w:rsid w:val="00EC5F4A"/>
    <w:rsid w:val="00ED612A"/>
    <w:rsid w:val="00EE0550"/>
    <w:rsid w:val="00F01D18"/>
    <w:rsid w:val="00F151E1"/>
    <w:rsid w:val="00F31C23"/>
    <w:rsid w:val="00F34512"/>
    <w:rsid w:val="00F42992"/>
    <w:rsid w:val="00F42F0D"/>
    <w:rsid w:val="00F47B27"/>
    <w:rsid w:val="00F7209C"/>
    <w:rsid w:val="00F72EE4"/>
    <w:rsid w:val="00F8155B"/>
    <w:rsid w:val="00F831B3"/>
    <w:rsid w:val="00F849C3"/>
    <w:rsid w:val="00F966C7"/>
    <w:rsid w:val="00FB1BC6"/>
    <w:rsid w:val="00FB58DB"/>
    <w:rsid w:val="00FC09D9"/>
    <w:rsid w:val="00FC37A0"/>
    <w:rsid w:val="00FC6B74"/>
    <w:rsid w:val="00FD5AA5"/>
    <w:rsid w:val="00FD6A86"/>
    <w:rsid w:val="00FE3315"/>
    <w:rsid w:val="00FE33A1"/>
    <w:rsid w:val="00FE3C10"/>
    <w:rsid w:val="00FE5CF0"/>
    <w:rsid w:val="00FF59D2"/>
    <w:rsid w:val="019FF900"/>
    <w:rsid w:val="01AF3252"/>
    <w:rsid w:val="088E03D3"/>
    <w:rsid w:val="0E41BD84"/>
    <w:rsid w:val="0F2760FA"/>
    <w:rsid w:val="144ED0DF"/>
    <w:rsid w:val="16268737"/>
    <w:rsid w:val="1B033047"/>
    <w:rsid w:val="1B47CD2B"/>
    <w:rsid w:val="1FCA46AB"/>
    <w:rsid w:val="205A877E"/>
    <w:rsid w:val="2D4AFDA8"/>
    <w:rsid w:val="34975E24"/>
    <w:rsid w:val="3BCF66B0"/>
    <w:rsid w:val="3F2B7A8B"/>
    <w:rsid w:val="48762DAD"/>
    <w:rsid w:val="4FC281C0"/>
    <w:rsid w:val="5714C22A"/>
    <w:rsid w:val="58BC7502"/>
    <w:rsid w:val="58F412FA"/>
    <w:rsid w:val="677426BA"/>
    <w:rsid w:val="68F0457C"/>
    <w:rsid w:val="6CF4527D"/>
    <w:rsid w:val="6D900E48"/>
    <w:rsid w:val="6E66B383"/>
    <w:rsid w:val="6ED3B9E7"/>
    <w:rsid w:val="6F2F3CC5"/>
    <w:rsid w:val="736D0713"/>
    <w:rsid w:val="767EA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82943F"/>
  <w15:docId w15:val="{2943CC68-525F-4613-882F-CD419FB9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C45"/>
    <w:pPr>
      <w:spacing w:before="240" w:after="0" w:line="360" w:lineRule="auto"/>
      <w:jc w:val="both"/>
    </w:pPr>
    <w:rPr>
      <w:rFonts w:ascii="Arial" w:eastAsia="Calibri" w:hAnsi="Arial" w:cs="Times New Roman"/>
      <w:lang w:eastAsia="en-GB"/>
    </w:rPr>
  </w:style>
  <w:style w:type="paragraph" w:styleId="Heading1">
    <w:name w:val="heading 1"/>
    <w:basedOn w:val="Normal"/>
    <w:next w:val="Normal"/>
    <w:link w:val="Heading1Char"/>
    <w:uiPriority w:val="99"/>
    <w:rsid w:val="001912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1912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1912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19125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1912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rsid w:val="001912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1912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19125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19125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125B"/>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61A"/>
    <w:rPr>
      <w:color w:val="0000FF"/>
      <w:u w:val="single"/>
    </w:rPr>
  </w:style>
  <w:style w:type="numbering" w:customStyle="1" w:styleId="Headings">
    <w:name w:val="Headings"/>
    <w:rsid w:val="0019125B"/>
    <w:pPr>
      <w:numPr>
        <w:numId w:val="2"/>
      </w:numPr>
    </w:pPr>
  </w:style>
  <w:style w:type="numbering" w:customStyle="1" w:styleId="Definitions">
    <w:name w:val="Definitions"/>
    <w:rsid w:val="0019125B"/>
    <w:pPr>
      <w:numPr>
        <w:numId w:val="1"/>
      </w:numPr>
    </w:pPr>
  </w:style>
  <w:style w:type="numbering" w:customStyle="1" w:styleId="SchedParas0">
    <w:name w:val="SchedParas"/>
  </w:style>
  <w:style w:type="numbering" w:customStyle="1" w:styleId="Recital">
    <w:name w:val="Recital"/>
    <w:uiPriority w:val="99"/>
    <w:rsid w:val="0019125B"/>
    <w:pPr>
      <w:numPr>
        <w:numId w:val="8"/>
      </w:numPr>
    </w:pPr>
  </w:style>
  <w:style w:type="numbering" w:customStyle="1" w:styleId="Parties">
    <w:name w:val="Parties"/>
    <w:rsid w:val="0019125B"/>
    <w:pPr>
      <w:numPr>
        <w:numId w:val="6"/>
      </w:numPr>
    </w:pPr>
  </w:style>
  <w:style w:type="numbering" w:customStyle="1" w:styleId="LMA">
    <w:name w:val="LMA"/>
    <w:rsid w:val="0019125B"/>
    <w:pPr>
      <w:numPr>
        <w:numId w:val="3"/>
      </w:numPr>
    </w:pPr>
  </w:style>
  <w:style w:type="numbering" w:customStyle="1" w:styleId="PARTS">
    <w:name w:val="PARTS"/>
    <w:rsid w:val="0019125B"/>
    <w:pPr>
      <w:numPr>
        <w:numId w:val="7"/>
      </w:numPr>
    </w:pPr>
  </w:style>
  <w:style w:type="numbering" w:customStyle="1" w:styleId="Schedule">
    <w:name w:val="Schedule"/>
    <w:rsid w:val="0019125B"/>
    <w:pPr>
      <w:numPr>
        <w:numId w:val="10"/>
      </w:numPr>
    </w:pPr>
  </w:style>
  <w:style w:type="numbering" w:customStyle="1" w:styleId="NoHead0">
    <w:name w:val="NoHead"/>
  </w:style>
  <w:style w:type="character" w:customStyle="1" w:styleId="Heading1Char">
    <w:name w:val="Heading 1 Char"/>
    <w:basedOn w:val="DefaultParagraphFont"/>
    <w:link w:val="Heading1"/>
    <w:uiPriority w:val="99"/>
    <w:rsid w:val="0019125B"/>
    <w:rPr>
      <w:rFonts w:asciiTheme="majorHAnsi" w:eastAsiaTheme="majorEastAsia" w:hAnsiTheme="majorHAnsi" w:cstheme="majorBidi"/>
      <w:b/>
      <w:bCs/>
      <w:color w:val="365F91" w:themeColor="accent1" w:themeShade="BF"/>
      <w:sz w:val="28"/>
      <w:szCs w:val="28"/>
      <w:lang w:eastAsia="en-GB"/>
    </w:rPr>
  </w:style>
  <w:style w:type="paragraph" w:customStyle="1" w:styleId="MRDefinitions1">
    <w:name w:val="M&amp;R Definitions 1"/>
    <w:basedOn w:val="Normal"/>
    <w:uiPriority w:val="24"/>
    <w:qFormat/>
    <w:rsid w:val="0019125B"/>
    <w:pPr>
      <w:numPr>
        <w:numId w:val="15"/>
      </w:numPr>
    </w:pPr>
    <w:rPr>
      <w:rFonts w:cs="Arial"/>
    </w:rPr>
  </w:style>
  <w:style w:type="paragraph" w:customStyle="1" w:styleId="MRDefinitions2">
    <w:name w:val="M&amp;R Definitions 2"/>
    <w:basedOn w:val="Normal"/>
    <w:uiPriority w:val="24"/>
    <w:qFormat/>
    <w:rsid w:val="0019125B"/>
    <w:pPr>
      <w:numPr>
        <w:ilvl w:val="1"/>
        <w:numId w:val="15"/>
      </w:numPr>
      <w:tabs>
        <w:tab w:val="left" w:pos="1440"/>
      </w:tabs>
    </w:pPr>
  </w:style>
  <w:style w:type="paragraph" w:customStyle="1" w:styleId="MRDefinitions3">
    <w:name w:val="M&amp;R Definitions 3"/>
    <w:basedOn w:val="Normal"/>
    <w:uiPriority w:val="24"/>
    <w:qFormat/>
    <w:rsid w:val="0019125B"/>
    <w:pPr>
      <w:numPr>
        <w:ilvl w:val="2"/>
        <w:numId w:val="15"/>
      </w:numPr>
      <w:tabs>
        <w:tab w:val="left" w:pos="2160"/>
      </w:tabs>
    </w:pPr>
  </w:style>
  <w:style w:type="paragraph" w:customStyle="1" w:styleId="MRDefinitions4">
    <w:name w:val="M&amp;R Definitions 4"/>
    <w:basedOn w:val="Normal"/>
    <w:uiPriority w:val="24"/>
    <w:rsid w:val="0019125B"/>
    <w:pPr>
      <w:numPr>
        <w:ilvl w:val="3"/>
        <w:numId w:val="15"/>
      </w:numPr>
      <w:tabs>
        <w:tab w:val="left" w:pos="2880"/>
      </w:tabs>
    </w:pPr>
  </w:style>
  <w:style w:type="paragraph" w:customStyle="1" w:styleId="MRDefinitions5">
    <w:name w:val="M&amp;R Definitions 5"/>
    <w:basedOn w:val="Normal"/>
    <w:uiPriority w:val="24"/>
    <w:rsid w:val="0019125B"/>
    <w:pPr>
      <w:numPr>
        <w:ilvl w:val="4"/>
        <w:numId w:val="15"/>
      </w:numPr>
      <w:tabs>
        <w:tab w:val="left" w:pos="3600"/>
      </w:tabs>
    </w:pPr>
  </w:style>
  <w:style w:type="paragraph" w:customStyle="1" w:styleId="MRHeading1">
    <w:name w:val="M&amp;R Heading 1"/>
    <w:aliases w:val="M&amp;R H1"/>
    <w:basedOn w:val="Normal"/>
    <w:uiPriority w:val="9"/>
    <w:qFormat/>
    <w:rsid w:val="0019125B"/>
    <w:pPr>
      <w:keepNext/>
      <w:keepLines/>
      <w:numPr>
        <w:numId w:val="16"/>
      </w:numPr>
      <w:tabs>
        <w:tab w:val="left" w:pos="720"/>
      </w:tabs>
      <w:outlineLvl w:val="0"/>
    </w:pPr>
    <w:rPr>
      <w:b/>
      <w:u w:val="single"/>
    </w:rPr>
  </w:style>
  <w:style w:type="paragraph" w:customStyle="1" w:styleId="MRHeading2">
    <w:name w:val="M&amp;R Heading 2"/>
    <w:aliases w:val="M&amp;R H2"/>
    <w:basedOn w:val="Normal"/>
    <w:uiPriority w:val="9"/>
    <w:qFormat/>
    <w:rsid w:val="0019125B"/>
    <w:pPr>
      <w:numPr>
        <w:ilvl w:val="1"/>
        <w:numId w:val="16"/>
      </w:numPr>
      <w:tabs>
        <w:tab w:val="left" w:pos="720"/>
      </w:tabs>
      <w:outlineLvl w:val="1"/>
    </w:pPr>
  </w:style>
  <w:style w:type="paragraph" w:customStyle="1" w:styleId="MRHeading3">
    <w:name w:val="M&amp;R Heading 3"/>
    <w:aliases w:val="M&amp;R H3"/>
    <w:basedOn w:val="Normal"/>
    <w:uiPriority w:val="9"/>
    <w:qFormat/>
    <w:rsid w:val="0019125B"/>
    <w:pPr>
      <w:numPr>
        <w:ilvl w:val="2"/>
        <w:numId w:val="16"/>
      </w:numPr>
      <w:tabs>
        <w:tab w:val="left" w:pos="1797"/>
      </w:tabs>
      <w:outlineLvl w:val="2"/>
    </w:pPr>
  </w:style>
  <w:style w:type="paragraph" w:customStyle="1" w:styleId="MRHeading4">
    <w:name w:val="M&amp;R Heading 4"/>
    <w:aliases w:val="M&amp;R H4"/>
    <w:basedOn w:val="Normal"/>
    <w:uiPriority w:val="9"/>
    <w:rsid w:val="0019125B"/>
    <w:pPr>
      <w:numPr>
        <w:ilvl w:val="3"/>
        <w:numId w:val="16"/>
      </w:numPr>
      <w:tabs>
        <w:tab w:val="left" w:pos="2517"/>
      </w:tabs>
      <w:outlineLvl w:val="3"/>
    </w:pPr>
  </w:style>
  <w:style w:type="paragraph" w:customStyle="1" w:styleId="MRHeading5">
    <w:name w:val="M&amp;R Heading 5"/>
    <w:aliases w:val="M&amp;R H5"/>
    <w:basedOn w:val="Normal"/>
    <w:uiPriority w:val="9"/>
    <w:rsid w:val="0019125B"/>
    <w:pPr>
      <w:numPr>
        <w:ilvl w:val="4"/>
        <w:numId w:val="16"/>
      </w:numPr>
      <w:tabs>
        <w:tab w:val="left" w:pos="3238"/>
      </w:tabs>
      <w:outlineLvl w:val="4"/>
    </w:pPr>
  </w:style>
  <w:style w:type="paragraph" w:customStyle="1" w:styleId="MRHeading6">
    <w:name w:val="M&amp;R Heading 6"/>
    <w:aliases w:val="M&amp;R H6"/>
    <w:basedOn w:val="Normal"/>
    <w:uiPriority w:val="9"/>
    <w:rsid w:val="0019125B"/>
    <w:pPr>
      <w:numPr>
        <w:ilvl w:val="5"/>
        <w:numId w:val="16"/>
      </w:numPr>
      <w:tabs>
        <w:tab w:val="left" w:pos="3958"/>
      </w:tabs>
      <w:outlineLvl w:val="5"/>
    </w:pPr>
  </w:style>
  <w:style w:type="paragraph" w:customStyle="1" w:styleId="MRHeading7">
    <w:name w:val="M&amp;R Heading 7"/>
    <w:aliases w:val="M&amp;R H7"/>
    <w:basedOn w:val="Normal"/>
    <w:uiPriority w:val="9"/>
    <w:rsid w:val="0019125B"/>
    <w:pPr>
      <w:numPr>
        <w:ilvl w:val="6"/>
        <w:numId w:val="16"/>
      </w:numPr>
      <w:tabs>
        <w:tab w:val="left" w:pos="4678"/>
      </w:tabs>
      <w:outlineLvl w:val="6"/>
    </w:pPr>
  </w:style>
  <w:style w:type="paragraph" w:customStyle="1" w:styleId="MRHeading8">
    <w:name w:val="M&amp;R Heading 8"/>
    <w:aliases w:val="M&amp;R H8"/>
    <w:basedOn w:val="Normal"/>
    <w:uiPriority w:val="9"/>
    <w:rsid w:val="0019125B"/>
    <w:pPr>
      <w:numPr>
        <w:ilvl w:val="7"/>
        <w:numId w:val="16"/>
      </w:numPr>
      <w:tabs>
        <w:tab w:val="left" w:pos="5398"/>
      </w:tabs>
      <w:outlineLvl w:val="7"/>
    </w:pPr>
  </w:style>
  <w:style w:type="paragraph" w:customStyle="1" w:styleId="MRHeading9">
    <w:name w:val="M&amp;R Heading 9"/>
    <w:aliases w:val="M&amp;R H9"/>
    <w:basedOn w:val="Normal"/>
    <w:uiPriority w:val="9"/>
    <w:rsid w:val="0019125B"/>
    <w:pPr>
      <w:numPr>
        <w:ilvl w:val="8"/>
        <w:numId w:val="16"/>
      </w:numPr>
      <w:tabs>
        <w:tab w:val="left" w:pos="6118"/>
      </w:tabs>
      <w:outlineLvl w:val="8"/>
    </w:pPr>
  </w:style>
  <w:style w:type="paragraph" w:customStyle="1" w:styleId="MRLMA1">
    <w:name w:val="M&amp;R LMA 1"/>
    <w:aliases w:val="M&amp;Rlma1"/>
    <w:basedOn w:val="Normal"/>
    <w:uiPriority w:val="49"/>
    <w:qFormat/>
    <w:rsid w:val="0019125B"/>
    <w:pPr>
      <w:numPr>
        <w:numId w:val="4"/>
      </w:numPr>
      <w:tabs>
        <w:tab w:val="left" w:pos="720"/>
      </w:tabs>
    </w:pPr>
  </w:style>
  <w:style w:type="paragraph" w:customStyle="1" w:styleId="MRLMA2">
    <w:name w:val="M&amp;R LMA 2"/>
    <w:aliases w:val="M&amp;Rlma2"/>
    <w:basedOn w:val="Normal"/>
    <w:uiPriority w:val="49"/>
    <w:qFormat/>
    <w:rsid w:val="0019125B"/>
    <w:pPr>
      <w:numPr>
        <w:ilvl w:val="1"/>
        <w:numId w:val="4"/>
      </w:numPr>
      <w:tabs>
        <w:tab w:val="left" w:pos="1440"/>
      </w:tabs>
    </w:pPr>
  </w:style>
  <w:style w:type="paragraph" w:customStyle="1" w:styleId="MRLMA3">
    <w:name w:val="M&amp;R LMA 3"/>
    <w:aliases w:val="M&amp;Rlma3"/>
    <w:basedOn w:val="Normal"/>
    <w:uiPriority w:val="49"/>
    <w:qFormat/>
    <w:rsid w:val="0019125B"/>
    <w:pPr>
      <w:numPr>
        <w:ilvl w:val="2"/>
        <w:numId w:val="4"/>
      </w:numPr>
    </w:pPr>
  </w:style>
  <w:style w:type="paragraph" w:customStyle="1" w:styleId="MRLMA4">
    <w:name w:val="M&amp;R LMA 4"/>
    <w:aliases w:val="M&amp;Rlma4"/>
    <w:basedOn w:val="Normal"/>
    <w:uiPriority w:val="49"/>
    <w:rsid w:val="0019125B"/>
    <w:pPr>
      <w:numPr>
        <w:ilvl w:val="3"/>
        <w:numId w:val="4"/>
      </w:numPr>
    </w:pPr>
  </w:style>
  <w:style w:type="paragraph" w:customStyle="1" w:styleId="MRLMA5">
    <w:name w:val="M&amp;R LMA 5"/>
    <w:aliases w:val="M&amp;Rlma5"/>
    <w:basedOn w:val="Normal"/>
    <w:uiPriority w:val="49"/>
    <w:rsid w:val="0019125B"/>
    <w:pPr>
      <w:numPr>
        <w:ilvl w:val="4"/>
        <w:numId w:val="4"/>
      </w:numPr>
    </w:pPr>
  </w:style>
  <w:style w:type="paragraph" w:customStyle="1" w:styleId="MRLMA6">
    <w:name w:val="M&amp;R LMA 6"/>
    <w:aliases w:val="M&amp;Rlma6"/>
    <w:basedOn w:val="Normal"/>
    <w:uiPriority w:val="49"/>
    <w:rsid w:val="0019125B"/>
    <w:pPr>
      <w:numPr>
        <w:ilvl w:val="5"/>
        <w:numId w:val="4"/>
      </w:numPr>
    </w:pPr>
  </w:style>
  <w:style w:type="paragraph" w:customStyle="1" w:styleId="MRLMA7">
    <w:name w:val="M&amp;R LMA 7"/>
    <w:aliases w:val="M&amp;Rlma7"/>
    <w:basedOn w:val="Normal"/>
    <w:uiPriority w:val="49"/>
    <w:rsid w:val="0019125B"/>
    <w:pPr>
      <w:numPr>
        <w:ilvl w:val="6"/>
        <w:numId w:val="4"/>
      </w:numPr>
    </w:pPr>
  </w:style>
  <w:style w:type="paragraph" w:customStyle="1" w:styleId="MRLMA8">
    <w:name w:val="M&amp;R LMA 8"/>
    <w:aliases w:val="M&amp;Rlma8"/>
    <w:basedOn w:val="Normal"/>
    <w:uiPriority w:val="49"/>
    <w:rsid w:val="0019125B"/>
    <w:pPr>
      <w:numPr>
        <w:ilvl w:val="7"/>
        <w:numId w:val="4"/>
      </w:numPr>
    </w:pPr>
  </w:style>
  <w:style w:type="paragraph" w:customStyle="1" w:styleId="MRLMA9">
    <w:name w:val="M&amp;R LMA 9"/>
    <w:aliases w:val="M&amp;Rlma9"/>
    <w:basedOn w:val="Normal"/>
    <w:uiPriority w:val="49"/>
    <w:rsid w:val="0019125B"/>
    <w:pPr>
      <w:numPr>
        <w:ilvl w:val="8"/>
        <w:numId w:val="4"/>
      </w:numPr>
      <w:tabs>
        <w:tab w:val="left" w:pos="6481"/>
      </w:tabs>
    </w:pPr>
  </w:style>
  <w:style w:type="paragraph" w:customStyle="1" w:styleId="MRNoHead1">
    <w:name w:val="M&amp;R No Head 1"/>
    <w:basedOn w:val="Normal"/>
    <w:uiPriority w:val="14"/>
    <w:qFormat/>
    <w:rsid w:val="0019125B"/>
    <w:pPr>
      <w:numPr>
        <w:numId w:val="5"/>
      </w:numPr>
      <w:tabs>
        <w:tab w:val="left" w:pos="720"/>
      </w:tabs>
      <w:outlineLvl w:val="0"/>
    </w:pPr>
  </w:style>
  <w:style w:type="paragraph" w:customStyle="1" w:styleId="MRNoHead2">
    <w:name w:val="M&amp;R No Head 2"/>
    <w:basedOn w:val="Normal"/>
    <w:uiPriority w:val="14"/>
    <w:qFormat/>
    <w:rsid w:val="0019125B"/>
    <w:pPr>
      <w:numPr>
        <w:ilvl w:val="1"/>
        <w:numId w:val="5"/>
      </w:numPr>
      <w:tabs>
        <w:tab w:val="left" w:pos="1440"/>
      </w:tabs>
      <w:outlineLvl w:val="1"/>
    </w:pPr>
  </w:style>
  <w:style w:type="paragraph" w:customStyle="1" w:styleId="MRNoHead3">
    <w:name w:val="M&amp;R No Head 3"/>
    <w:basedOn w:val="Normal"/>
    <w:uiPriority w:val="14"/>
    <w:qFormat/>
    <w:rsid w:val="0019125B"/>
    <w:pPr>
      <w:numPr>
        <w:ilvl w:val="2"/>
        <w:numId w:val="5"/>
      </w:numPr>
      <w:tabs>
        <w:tab w:val="left" w:pos="2517"/>
      </w:tabs>
      <w:outlineLvl w:val="2"/>
    </w:pPr>
  </w:style>
  <w:style w:type="paragraph" w:customStyle="1" w:styleId="MRNoHead4">
    <w:name w:val="M&amp;R No Head 4"/>
    <w:basedOn w:val="Normal"/>
    <w:uiPriority w:val="14"/>
    <w:rsid w:val="0019125B"/>
    <w:pPr>
      <w:numPr>
        <w:ilvl w:val="3"/>
        <w:numId w:val="5"/>
      </w:numPr>
      <w:outlineLvl w:val="3"/>
    </w:pPr>
  </w:style>
  <w:style w:type="paragraph" w:customStyle="1" w:styleId="MRNoHead5">
    <w:name w:val="M&amp;R No Head 5"/>
    <w:basedOn w:val="Normal"/>
    <w:uiPriority w:val="14"/>
    <w:rsid w:val="0019125B"/>
    <w:pPr>
      <w:numPr>
        <w:ilvl w:val="4"/>
        <w:numId w:val="5"/>
      </w:numPr>
      <w:outlineLvl w:val="4"/>
    </w:pPr>
  </w:style>
  <w:style w:type="paragraph" w:customStyle="1" w:styleId="MRNoHead6">
    <w:name w:val="M&amp;R No Head 6"/>
    <w:basedOn w:val="Normal"/>
    <w:uiPriority w:val="14"/>
    <w:rsid w:val="0019125B"/>
    <w:pPr>
      <w:numPr>
        <w:ilvl w:val="5"/>
        <w:numId w:val="5"/>
      </w:numPr>
      <w:outlineLvl w:val="5"/>
    </w:pPr>
  </w:style>
  <w:style w:type="paragraph" w:customStyle="1" w:styleId="MRNoHead7">
    <w:name w:val="M&amp;R No Head 7"/>
    <w:basedOn w:val="Normal"/>
    <w:uiPriority w:val="14"/>
    <w:rsid w:val="0019125B"/>
    <w:pPr>
      <w:numPr>
        <w:ilvl w:val="6"/>
        <w:numId w:val="5"/>
      </w:numPr>
      <w:outlineLvl w:val="6"/>
    </w:pPr>
  </w:style>
  <w:style w:type="paragraph" w:customStyle="1" w:styleId="MRNoHead8">
    <w:name w:val="M&amp;R No Head 8"/>
    <w:basedOn w:val="Normal"/>
    <w:uiPriority w:val="14"/>
    <w:rsid w:val="0019125B"/>
    <w:pPr>
      <w:numPr>
        <w:ilvl w:val="7"/>
        <w:numId w:val="5"/>
      </w:numPr>
      <w:outlineLvl w:val="7"/>
    </w:pPr>
  </w:style>
  <w:style w:type="paragraph" w:customStyle="1" w:styleId="MRNoHead9">
    <w:name w:val="M&amp;R No Head 9"/>
    <w:basedOn w:val="Normal"/>
    <w:uiPriority w:val="14"/>
    <w:rsid w:val="0019125B"/>
    <w:pPr>
      <w:numPr>
        <w:ilvl w:val="8"/>
        <w:numId w:val="5"/>
      </w:numPr>
      <w:outlineLvl w:val="8"/>
    </w:pPr>
  </w:style>
  <w:style w:type="paragraph" w:customStyle="1" w:styleId="MRPARTS">
    <w:name w:val="M&amp;R PARTS"/>
    <w:basedOn w:val="Normal"/>
    <w:next w:val="Normal"/>
    <w:uiPriority w:val="41"/>
    <w:qFormat/>
    <w:rsid w:val="0019125B"/>
    <w:pPr>
      <w:numPr>
        <w:numId w:val="7"/>
      </w:numPr>
    </w:pPr>
    <w:rPr>
      <w:b/>
      <w:caps/>
    </w:rPr>
  </w:style>
  <w:style w:type="paragraph" w:customStyle="1" w:styleId="MRParties">
    <w:name w:val="M&amp;R Parties"/>
    <w:basedOn w:val="Normal"/>
    <w:uiPriority w:val="43"/>
    <w:qFormat/>
    <w:rsid w:val="0019125B"/>
    <w:pPr>
      <w:numPr>
        <w:numId w:val="6"/>
      </w:numPr>
      <w:tabs>
        <w:tab w:val="left" w:pos="720"/>
      </w:tabs>
    </w:pPr>
  </w:style>
  <w:style w:type="paragraph" w:customStyle="1" w:styleId="MRRecital1">
    <w:name w:val="M&amp;R Recital 1"/>
    <w:basedOn w:val="Normal"/>
    <w:uiPriority w:val="39"/>
    <w:qFormat/>
    <w:rsid w:val="0019125B"/>
    <w:pPr>
      <w:numPr>
        <w:numId w:val="8"/>
      </w:numPr>
      <w:tabs>
        <w:tab w:val="left" w:pos="720"/>
      </w:tabs>
    </w:pPr>
  </w:style>
  <w:style w:type="paragraph" w:customStyle="1" w:styleId="MRRecital2">
    <w:name w:val="M&amp;R Recital 2"/>
    <w:basedOn w:val="Normal"/>
    <w:uiPriority w:val="39"/>
    <w:qFormat/>
    <w:rsid w:val="0019125B"/>
    <w:pPr>
      <w:numPr>
        <w:ilvl w:val="1"/>
        <w:numId w:val="8"/>
      </w:numPr>
      <w:tabs>
        <w:tab w:val="left" w:pos="1440"/>
      </w:tabs>
    </w:pPr>
  </w:style>
  <w:style w:type="paragraph" w:customStyle="1" w:styleId="MRSchedule1">
    <w:name w:val="M&amp;R Schedule 1"/>
    <w:aliases w:val="M&amp;Rsch1"/>
    <w:basedOn w:val="Normal"/>
    <w:next w:val="Normal"/>
    <w:uiPriority w:val="29"/>
    <w:qFormat/>
    <w:rsid w:val="0019125B"/>
    <w:pPr>
      <w:keepNext/>
      <w:keepLines/>
      <w:pageBreakBefore/>
      <w:numPr>
        <w:numId w:val="10"/>
      </w:numPr>
      <w:jc w:val="center"/>
      <w:outlineLvl w:val="0"/>
    </w:pPr>
    <w:rPr>
      <w:b/>
      <w:u w:val="single"/>
    </w:rPr>
  </w:style>
  <w:style w:type="paragraph" w:customStyle="1" w:styleId="MRSchedule2">
    <w:name w:val="M&amp;R Schedule 2"/>
    <w:aliases w:val="M&amp;Rsch2"/>
    <w:basedOn w:val="Normal"/>
    <w:uiPriority w:val="29"/>
    <w:qFormat/>
    <w:rsid w:val="0019125B"/>
    <w:pPr>
      <w:keepNext/>
      <w:keepLines/>
      <w:numPr>
        <w:ilvl w:val="1"/>
        <w:numId w:val="10"/>
      </w:numPr>
      <w:jc w:val="center"/>
      <w:outlineLvl w:val="1"/>
    </w:pPr>
    <w:rPr>
      <w:u w:val="single"/>
    </w:rPr>
  </w:style>
  <w:style w:type="paragraph" w:customStyle="1" w:styleId="MRSchedule3">
    <w:name w:val="M&amp;R Schedule 3"/>
    <w:aliases w:val="M&amp;Rsch3"/>
    <w:basedOn w:val="Normal"/>
    <w:next w:val="Normal"/>
    <w:uiPriority w:val="29"/>
    <w:qFormat/>
    <w:rsid w:val="0019125B"/>
    <w:pPr>
      <w:keepNext/>
      <w:keepLines/>
      <w:numPr>
        <w:ilvl w:val="2"/>
        <w:numId w:val="10"/>
      </w:numPr>
      <w:jc w:val="center"/>
      <w:outlineLvl w:val="2"/>
    </w:pPr>
    <w:rPr>
      <w:u w:val="single"/>
    </w:rPr>
  </w:style>
  <w:style w:type="paragraph" w:customStyle="1" w:styleId="MRSchedPara1">
    <w:name w:val="M&amp;R Sched Para 1"/>
    <w:basedOn w:val="Normal"/>
    <w:uiPriority w:val="34"/>
    <w:qFormat/>
    <w:rsid w:val="0019125B"/>
    <w:pPr>
      <w:keepNext/>
      <w:keepLines/>
      <w:numPr>
        <w:numId w:val="9"/>
      </w:numPr>
      <w:outlineLvl w:val="0"/>
    </w:pPr>
    <w:rPr>
      <w:b/>
      <w:u w:val="single"/>
    </w:rPr>
  </w:style>
  <w:style w:type="paragraph" w:customStyle="1" w:styleId="MRSchedPara2">
    <w:name w:val="M&amp;R Sched Para 2"/>
    <w:basedOn w:val="Normal"/>
    <w:uiPriority w:val="34"/>
    <w:qFormat/>
    <w:rsid w:val="0019125B"/>
    <w:pPr>
      <w:numPr>
        <w:ilvl w:val="1"/>
        <w:numId w:val="9"/>
      </w:numPr>
      <w:outlineLvl w:val="1"/>
    </w:pPr>
  </w:style>
  <w:style w:type="paragraph" w:customStyle="1" w:styleId="MRSchedPara3">
    <w:name w:val="M&amp;R Sched Para 3"/>
    <w:basedOn w:val="Normal"/>
    <w:uiPriority w:val="34"/>
    <w:qFormat/>
    <w:rsid w:val="0019125B"/>
    <w:pPr>
      <w:numPr>
        <w:ilvl w:val="2"/>
        <w:numId w:val="9"/>
      </w:numPr>
      <w:tabs>
        <w:tab w:val="left" w:pos="1797"/>
      </w:tabs>
      <w:outlineLvl w:val="2"/>
    </w:pPr>
  </w:style>
  <w:style w:type="paragraph" w:customStyle="1" w:styleId="MRSchedPara4">
    <w:name w:val="M&amp;R Sched Para 4"/>
    <w:basedOn w:val="Normal"/>
    <w:uiPriority w:val="34"/>
    <w:rsid w:val="0019125B"/>
    <w:pPr>
      <w:numPr>
        <w:ilvl w:val="3"/>
        <w:numId w:val="9"/>
      </w:numPr>
      <w:outlineLvl w:val="3"/>
    </w:pPr>
  </w:style>
  <w:style w:type="paragraph" w:customStyle="1" w:styleId="MRSchedPara5">
    <w:name w:val="M&amp;R Sched Para 5"/>
    <w:basedOn w:val="Normal"/>
    <w:uiPriority w:val="34"/>
    <w:rsid w:val="0019125B"/>
    <w:pPr>
      <w:numPr>
        <w:ilvl w:val="4"/>
        <w:numId w:val="9"/>
      </w:numPr>
      <w:outlineLvl w:val="4"/>
    </w:pPr>
  </w:style>
  <w:style w:type="paragraph" w:customStyle="1" w:styleId="MRSchedPara6">
    <w:name w:val="M&amp;R Sched Para 6"/>
    <w:basedOn w:val="Normal"/>
    <w:uiPriority w:val="34"/>
    <w:rsid w:val="0019125B"/>
    <w:pPr>
      <w:numPr>
        <w:ilvl w:val="5"/>
        <w:numId w:val="9"/>
      </w:numPr>
      <w:outlineLvl w:val="5"/>
    </w:pPr>
  </w:style>
  <w:style w:type="paragraph" w:customStyle="1" w:styleId="MRSchedPara7">
    <w:name w:val="M&amp;R Sched Para 7"/>
    <w:basedOn w:val="Normal"/>
    <w:uiPriority w:val="34"/>
    <w:rsid w:val="0019125B"/>
    <w:pPr>
      <w:numPr>
        <w:ilvl w:val="6"/>
        <w:numId w:val="9"/>
      </w:numPr>
      <w:outlineLvl w:val="6"/>
    </w:pPr>
  </w:style>
  <w:style w:type="paragraph" w:customStyle="1" w:styleId="MRSchedPara8">
    <w:name w:val="M&amp;R Sched Para 8"/>
    <w:basedOn w:val="Normal"/>
    <w:uiPriority w:val="34"/>
    <w:rsid w:val="0019125B"/>
    <w:pPr>
      <w:numPr>
        <w:ilvl w:val="7"/>
        <w:numId w:val="9"/>
      </w:numPr>
      <w:outlineLvl w:val="7"/>
    </w:pPr>
  </w:style>
  <w:style w:type="paragraph" w:customStyle="1" w:styleId="MRSchedPara9">
    <w:name w:val="M&amp;R Sched Para 9"/>
    <w:basedOn w:val="Normal"/>
    <w:uiPriority w:val="34"/>
    <w:rsid w:val="0019125B"/>
    <w:pPr>
      <w:numPr>
        <w:ilvl w:val="8"/>
        <w:numId w:val="9"/>
      </w:numPr>
      <w:tabs>
        <w:tab w:val="left" w:pos="6118"/>
      </w:tabs>
      <w:outlineLvl w:val="8"/>
    </w:pPr>
  </w:style>
  <w:style w:type="paragraph" w:customStyle="1" w:styleId="MRLegal">
    <w:name w:val="M&amp;R Legal"/>
    <w:basedOn w:val="Normal"/>
    <w:uiPriority w:val="59"/>
    <w:semiHidden/>
    <w:rsid w:val="0019125B"/>
    <w:pPr>
      <w:spacing w:before="0" w:line="240" w:lineRule="auto"/>
    </w:pPr>
  </w:style>
  <w:style w:type="numbering" w:customStyle="1" w:styleId="SchedParas">
    <w:name w:val="Sched Paras"/>
    <w:rsid w:val="0019125B"/>
    <w:pPr>
      <w:numPr>
        <w:numId w:val="9"/>
      </w:numPr>
    </w:pPr>
  </w:style>
  <w:style w:type="numbering" w:customStyle="1" w:styleId="Recitals">
    <w:name w:val="Recitals"/>
    <w:rsid w:val="0019125B"/>
  </w:style>
  <w:style w:type="numbering" w:customStyle="1" w:styleId="NoHead">
    <w:name w:val="No Head"/>
    <w:rsid w:val="0019125B"/>
    <w:pPr>
      <w:numPr>
        <w:numId w:val="5"/>
      </w:numPr>
    </w:pPr>
  </w:style>
  <w:style w:type="paragraph" w:styleId="ListParagraph">
    <w:name w:val="List Paragraph"/>
    <w:basedOn w:val="Normal"/>
    <w:uiPriority w:val="99"/>
    <w:rsid w:val="0019125B"/>
    <w:pPr>
      <w:ind w:left="720"/>
      <w:contextualSpacing/>
    </w:pPr>
  </w:style>
  <w:style w:type="paragraph" w:styleId="Header">
    <w:name w:val="header"/>
    <w:basedOn w:val="Normal"/>
    <w:link w:val="HeaderChar"/>
    <w:uiPriority w:val="99"/>
    <w:unhideWhenUsed/>
    <w:rsid w:val="0019125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9125B"/>
    <w:rPr>
      <w:rFonts w:ascii="Arial" w:eastAsia="Calibri" w:hAnsi="Arial" w:cs="Times New Roman"/>
      <w:lang w:eastAsia="en-GB"/>
    </w:rPr>
  </w:style>
  <w:style w:type="paragraph" w:styleId="Footer">
    <w:name w:val="footer"/>
    <w:basedOn w:val="Normal"/>
    <w:link w:val="FooterChar"/>
    <w:uiPriority w:val="99"/>
    <w:unhideWhenUsed/>
    <w:rsid w:val="0019125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9125B"/>
    <w:rPr>
      <w:rFonts w:ascii="Arial" w:eastAsia="Calibri" w:hAnsi="Arial" w:cs="Times New Roman"/>
      <w:lang w:eastAsia="en-GB"/>
    </w:rPr>
  </w:style>
  <w:style w:type="paragraph" w:styleId="BalloonText">
    <w:name w:val="Balloon Text"/>
    <w:basedOn w:val="Normal"/>
    <w:link w:val="BalloonTextChar"/>
    <w:uiPriority w:val="99"/>
    <w:semiHidden/>
    <w:rsid w:val="0019125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5B"/>
    <w:rPr>
      <w:rFonts w:ascii="Tahoma" w:eastAsia="Calibri" w:hAnsi="Tahoma" w:cs="Tahoma"/>
      <w:sz w:val="16"/>
      <w:szCs w:val="16"/>
      <w:lang w:eastAsia="en-GB"/>
    </w:rPr>
  </w:style>
  <w:style w:type="character" w:styleId="FootnoteReference">
    <w:name w:val="footnote reference"/>
    <w:basedOn w:val="DefaultParagraphFont"/>
    <w:uiPriority w:val="99"/>
    <w:semiHidden/>
    <w:unhideWhenUsed/>
    <w:rsid w:val="0019125B"/>
    <w:rPr>
      <w:vertAlign w:val="superscript"/>
    </w:rPr>
  </w:style>
  <w:style w:type="paragraph" w:styleId="FootnoteText">
    <w:name w:val="footnote text"/>
    <w:basedOn w:val="Normal"/>
    <w:link w:val="FootnoteTextChar"/>
    <w:uiPriority w:val="99"/>
    <w:semiHidden/>
    <w:unhideWhenUsed/>
    <w:rsid w:val="0019125B"/>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19125B"/>
    <w:rPr>
      <w:rFonts w:ascii="Arial" w:eastAsia="Calibri" w:hAnsi="Arial" w:cs="Times New Roman"/>
      <w:sz w:val="16"/>
      <w:szCs w:val="20"/>
      <w:lang w:eastAsia="en-GB"/>
    </w:rPr>
  </w:style>
  <w:style w:type="paragraph" w:styleId="TOC1">
    <w:name w:val="toc 1"/>
    <w:basedOn w:val="Normal"/>
    <w:next w:val="Normal"/>
    <w:autoRedefine/>
    <w:uiPriority w:val="39"/>
    <w:rsid w:val="0019125B"/>
    <w:pPr>
      <w:tabs>
        <w:tab w:val="right" w:leader="dot" w:pos="9015"/>
      </w:tabs>
      <w:spacing w:line="240" w:lineRule="auto"/>
      <w:ind w:left="720" w:hanging="720"/>
      <w:jc w:val="left"/>
    </w:pPr>
  </w:style>
  <w:style w:type="paragraph" w:styleId="TOC2">
    <w:name w:val="toc 2"/>
    <w:basedOn w:val="Normal"/>
    <w:next w:val="Normal"/>
    <w:autoRedefine/>
    <w:uiPriority w:val="99"/>
    <w:semiHidden/>
    <w:rsid w:val="0019125B"/>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rsid w:val="0019125B"/>
    <w:pPr>
      <w:tabs>
        <w:tab w:val="right" w:leader="dot" w:pos="9015"/>
      </w:tabs>
      <w:spacing w:before="0" w:line="240" w:lineRule="auto"/>
      <w:ind w:left="1440"/>
      <w:jc w:val="left"/>
    </w:pPr>
  </w:style>
  <w:style w:type="paragraph" w:styleId="TOC4">
    <w:name w:val="toc 4"/>
    <w:basedOn w:val="Normal"/>
    <w:next w:val="Normal"/>
    <w:autoRedefine/>
    <w:uiPriority w:val="99"/>
    <w:semiHidden/>
    <w:rsid w:val="0019125B"/>
    <w:pPr>
      <w:ind w:left="658"/>
    </w:pPr>
  </w:style>
  <w:style w:type="paragraph" w:styleId="TOC5">
    <w:name w:val="toc 5"/>
    <w:basedOn w:val="Normal"/>
    <w:next w:val="Normal"/>
    <w:autoRedefine/>
    <w:uiPriority w:val="99"/>
    <w:semiHidden/>
    <w:rsid w:val="0019125B"/>
    <w:pPr>
      <w:ind w:left="879"/>
    </w:pPr>
  </w:style>
  <w:style w:type="paragraph" w:styleId="TOC6">
    <w:name w:val="toc 6"/>
    <w:basedOn w:val="Normal"/>
    <w:next w:val="Normal"/>
    <w:autoRedefine/>
    <w:uiPriority w:val="99"/>
    <w:semiHidden/>
    <w:rsid w:val="0019125B"/>
    <w:pPr>
      <w:ind w:left="1100"/>
    </w:pPr>
  </w:style>
  <w:style w:type="paragraph" w:styleId="TOC7">
    <w:name w:val="toc 7"/>
    <w:basedOn w:val="Normal"/>
    <w:next w:val="Normal"/>
    <w:autoRedefine/>
    <w:uiPriority w:val="99"/>
    <w:semiHidden/>
    <w:rsid w:val="0019125B"/>
    <w:pPr>
      <w:ind w:left="1321"/>
    </w:pPr>
  </w:style>
  <w:style w:type="paragraph" w:styleId="TOC8">
    <w:name w:val="toc 8"/>
    <w:basedOn w:val="Normal"/>
    <w:next w:val="Normal"/>
    <w:autoRedefine/>
    <w:uiPriority w:val="99"/>
    <w:semiHidden/>
    <w:rsid w:val="0019125B"/>
    <w:pPr>
      <w:ind w:left="1542"/>
    </w:pPr>
  </w:style>
  <w:style w:type="paragraph" w:styleId="TOC9">
    <w:name w:val="toc 9"/>
    <w:basedOn w:val="Normal"/>
    <w:next w:val="Normal"/>
    <w:autoRedefine/>
    <w:uiPriority w:val="99"/>
    <w:semiHidden/>
    <w:rsid w:val="0019125B"/>
    <w:pPr>
      <w:ind w:left="1758"/>
    </w:pPr>
  </w:style>
  <w:style w:type="paragraph" w:styleId="TOCHeading">
    <w:name w:val="TOC Heading"/>
    <w:basedOn w:val="Heading1"/>
    <w:next w:val="Normal"/>
    <w:uiPriority w:val="99"/>
    <w:semiHidden/>
    <w:qFormat/>
    <w:rsid w:val="0019125B"/>
    <w:pPr>
      <w:outlineLvl w:val="9"/>
    </w:pPr>
  </w:style>
  <w:style w:type="paragraph" w:styleId="Caption">
    <w:name w:val="caption"/>
    <w:basedOn w:val="Normal"/>
    <w:next w:val="Normal"/>
    <w:uiPriority w:val="35"/>
    <w:semiHidden/>
    <w:unhideWhenUsed/>
    <w:rsid w:val="0019125B"/>
    <w:pPr>
      <w:spacing w:before="0" w:after="200" w:line="240" w:lineRule="auto"/>
    </w:pPr>
    <w:rPr>
      <w:b/>
      <w:bCs/>
      <w:color w:val="4F81BD" w:themeColor="accent1"/>
      <w:sz w:val="18"/>
      <w:szCs w:val="18"/>
    </w:rPr>
  </w:style>
  <w:style w:type="paragraph" w:styleId="NoSpacing">
    <w:name w:val="No Spacing"/>
    <w:uiPriority w:val="1"/>
    <w:rsid w:val="0019125B"/>
    <w:pPr>
      <w:spacing w:after="0" w:line="240" w:lineRule="auto"/>
      <w:jc w:val="both"/>
    </w:pPr>
    <w:rPr>
      <w:rFonts w:ascii="Arial" w:eastAsia="Calibri" w:hAnsi="Arial" w:cs="Times New Roman"/>
      <w:lang w:eastAsia="en-GB"/>
    </w:rPr>
  </w:style>
  <w:style w:type="character" w:customStyle="1" w:styleId="Heading2Char">
    <w:name w:val="Heading 2 Char"/>
    <w:basedOn w:val="DefaultParagraphFont"/>
    <w:link w:val="Heading2"/>
    <w:uiPriority w:val="9"/>
    <w:semiHidden/>
    <w:rsid w:val="0019125B"/>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19125B"/>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19125B"/>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sid w:val="0019125B"/>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semiHidden/>
    <w:rsid w:val="0019125B"/>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sid w:val="0019125B"/>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19125B"/>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19125B"/>
    <w:rPr>
      <w:rFonts w:asciiTheme="majorHAnsi" w:eastAsiaTheme="majorEastAsia" w:hAnsiTheme="majorHAnsi" w:cstheme="majorBidi"/>
      <w:i/>
      <w:iCs/>
      <w:color w:val="404040" w:themeColor="text1" w:themeTint="BF"/>
      <w:sz w:val="20"/>
      <w:szCs w:val="20"/>
      <w:lang w:eastAsia="en-GB"/>
    </w:rPr>
  </w:style>
  <w:style w:type="paragraph" w:styleId="Title">
    <w:name w:val="Title"/>
    <w:basedOn w:val="Normal"/>
    <w:next w:val="Normal"/>
    <w:link w:val="TitleChar"/>
    <w:uiPriority w:val="10"/>
    <w:rsid w:val="0019125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125B"/>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uiPriority w:val="11"/>
    <w:rsid w:val="001912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125B"/>
    <w:rPr>
      <w:rFonts w:asciiTheme="majorHAnsi" w:eastAsiaTheme="majorEastAsia" w:hAnsiTheme="majorHAnsi" w:cstheme="majorBidi"/>
      <w:i/>
      <w:iCs/>
      <w:color w:val="4F81BD" w:themeColor="accent1"/>
      <w:spacing w:val="15"/>
      <w:sz w:val="24"/>
      <w:szCs w:val="24"/>
      <w:lang w:eastAsia="en-GB"/>
    </w:rPr>
  </w:style>
  <w:style w:type="character" w:styleId="IntenseEmphasis">
    <w:name w:val="Intense Emphasis"/>
    <w:basedOn w:val="DefaultParagraphFont"/>
    <w:uiPriority w:val="21"/>
    <w:rsid w:val="0019125B"/>
    <w:rPr>
      <w:b/>
      <w:bCs/>
      <w:i/>
      <w:iCs/>
      <w:color w:val="4F81BD" w:themeColor="accent1"/>
    </w:rPr>
  </w:style>
  <w:style w:type="character" w:styleId="SubtleEmphasis">
    <w:name w:val="Subtle Emphasis"/>
    <w:basedOn w:val="DefaultParagraphFont"/>
    <w:uiPriority w:val="19"/>
    <w:rsid w:val="0019125B"/>
    <w:rPr>
      <w:i/>
      <w:iCs/>
      <w:color w:val="808080" w:themeColor="text1" w:themeTint="7F"/>
    </w:rPr>
  </w:style>
  <w:style w:type="paragraph" w:styleId="IntenseQuote">
    <w:name w:val="Intense Quote"/>
    <w:basedOn w:val="Normal"/>
    <w:next w:val="Normal"/>
    <w:link w:val="IntenseQuoteChar"/>
    <w:uiPriority w:val="30"/>
    <w:rsid w:val="0019125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9125B"/>
    <w:rPr>
      <w:rFonts w:ascii="Arial" w:eastAsia="Calibri" w:hAnsi="Arial" w:cs="Times New Roman"/>
      <w:b/>
      <w:bCs/>
      <w:i/>
      <w:iCs/>
      <w:color w:val="4F81BD" w:themeColor="accent1"/>
      <w:lang w:eastAsia="en-GB"/>
    </w:rPr>
  </w:style>
  <w:style w:type="paragraph" w:styleId="Quote">
    <w:name w:val="Quote"/>
    <w:basedOn w:val="Normal"/>
    <w:next w:val="Normal"/>
    <w:link w:val="QuoteChar"/>
    <w:uiPriority w:val="29"/>
    <w:rsid w:val="0019125B"/>
    <w:rPr>
      <w:i/>
      <w:iCs/>
      <w:color w:val="000000" w:themeColor="text1"/>
    </w:rPr>
  </w:style>
  <w:style w:type="character" w:customStyle="1" w:styleId="QuoteChar">
    <w:name w:val="Quote Char"/>
    <w:basedOn w:val="DefaultParagraphFont"/>
    <w:link w:val="Quote"/>
    <w:uiPriority w:val="29"/>
    <w:rsid w:val="0019125B"/>
    <w:rPr>
      <w:rFonts w:ascii="Arial" w:eastAsia="Calibri" w:hAnsi="Arial" w:cs="Times New Roman"/>
      <w:i/>
      <w:iCs/>
      <w:color w:val="000000" w:themeColor="text1"/>
      <w:lang w:eastAsia="en-GB"/>
    </w:rPr>
  </w:style>
  <w:style w:type="character" w:styleId="Emphasis">
    <w:name w:val="Emphasis"/>
    <w:basedOn w:val="DefaultParagraphFont"/>
    <w:uiPriority w:val="20"/>
    <w:rsid w:val="0019125B"/>
    <w:rPr>
      <w:i/>
      <w:iCs/>
    </w:rPr>
  </w:style>
  <w:style w:type="character" w:styleId="Strong">
    <w:name w:val="Strong"/>
    <w:basedOn w:val="DefaultParagraphFont"/>
    <w:uiPriority w:val="22"/>
    <w:rsid w:val="0019125B"/>
    <w:rPr>
      <w:b/>
      <w:bCs/>
    </w:rPr>
  </w:style>
  <w:style w:type="character" w:styleId="SubtleReference">
    <w:name w:val="Subtle Reference"/>
    <w:basedOn w:val="DefaultParagraphFont"/>
    <w:uiPriority w:val="31"/>
    <w:rsid w:val="0019125B"/>
    <w:rPr>
      <w:smallCaps/>
      <w:color w:val="C0504D" w:themeColor="accent2"/>
      <w:u w:val="single"/>
    </w:rPr>
  </w:style>
  <w:style w:type="character" w:styleId="IntenseReference">
    <w:name w:val="Intense Reference"/>
    <w:basedOn w:val="DefaultParagraphFont"/>
    <w:uiPriority w:val="32"/>
    <w:rsid w:val="0019125B"/>
    <w:rPr>
      <w:b/>
      <w:bCs/>
      <w:smallCaps/>
      <w:color w:val="C0504D" w:themeColor="accent2"/>
      <w:spacing w:val="5"/>
      <w:u w:val="single"/>
    </w:rPr>
  </w:style>
  <w:style w:type="character" w:styleId="BookTitle">
    <w:name w:val="Book Title"/>
    <w:basedOn w:val="DefaultParagraphFont"/>
    <w:uiPriority w:val="33"/>
    <w:rsid w:val="0019125B"/>
    <w:rPr>
      <w:b/>
      <w:bCs/>
      <w:smallCaps/>
      <w:spacing w:val="5"/>
    </w:rPr>
  </w:style>
  <w:style w:type="character" w:styleId="CommentReference">
    <w:name w:val="annotation reference"/>
    <w:basedOn w:val="DefaultParagraphFont"/>
    <w:uiPriority w:val="99"/>
    <w:semiHidden/>
    <w:unhideWhenUsed/>
    <w:rsid w:val="000C3DF3"/>
    <w:rPr>
      <w:sz w:val="16"/>
      <w:szCs w:val="16"/>
    </w:rPr>
  </w:style>
  <w:style w:type="paragraph" w:styleId="CommentText">
    <w:name w:val="annotation text"/>
    <w:basedOn w:val="Normal"/>
    <w:link w:val="CommentTextChar"/>
    <w:uiPriority w:val="99"/>
    <w:semiHidden/>
    <w:unhideWhenUsed/>
    <w:rsid w:val="000C3DF3"/>
    <w:pPr>
      <w:spacing w:line="240" w:lineRule="auto"/>
    </w:pPr>
    <w:rPr>
      <w:sz w:val="20"/>
      <w:szCs w:val="20"/>
    </w:rPr>
  </w:style>
  <w:style w:type="character" w:customStyle="1" w:styleId="CommentTextChar">
    <w:name w:val="Comment Text Char"/>
    <w:basedOn w:val="DefaultParagraphFont"/>
    <w:link w:val="CommentText"/>
    <w:uiPriority w:val="99"/>
    <w:semiHidden/>
    <w:rsid w:val="000C3DF3"/>
    <w:rPr>
      <w:rFonts w:ascii="Arial" w:eastAsia="Calibri" w:hAnsi="Arial" w:cs="Times New Roman"/>
      <w:sz w:val="20"/>
      <w:szCs w:val="20"/>
      <w:lang w:eastAsia="en-GB"/>
    </w:rPr>
  </w:style>
  <w:style w:type="numbering" w:customStyle="1" w:styleId="Headings1">
    <w:name w:val="Headings1"/>
    <w:rsid w:val="0005575A"/>
  </w:style>
  <w:style w:type="numbering" w:customStyle="1" w:styleId="LMA1">
    <w:name w:val="LMA1"/>
    <w:rsid w:val="0005575A"/>
  </w:style>
  <w:style w:type="paragraph" w:styleId="CommentSubject">
    <w:name w:val="annotation subject"/>
    <w:basedOn w:val="CommentText"/>
    <w:next w:val="CommentText"/>
    <w:link w:val="CommentSubjectChar"/>
    <w:uiPriority w:val="99"/>
    <w:semiHidden/>
    <w:unhideWhenUsed/>
    <w:rsid w:val="00852B7F"/>
    <w:rPr>
      <w:b/>
      <w:bCs/>
    </w:rPr>
  </w:style>
  <w:style w:type="character" w:customStyle="1" w:styleId="CommentSubjectChar">
    <w:name w:val="Comment Subject Char"/>
    <w:basedOn w:val="CommentTextChar"/>
    <w:link w:val="CommentSubject"/>
    <w:uiPriority w:val="99"/>
    <w:semiHidden/>
    <w:rsid w:val="00852B7F"/>
    <w:rPr>
      <w:rFonts w:ascii="Arial" w:eastAsia="Calibri" w:hAnsi="Arial" w:cs="Times New Roman"/>
      <w:b/>
      <w:bCs/>
      <w:sz w:val="20"/>
      <w:szCs w:val="20"/>
      <w:lang w:eastAsia="en-GB"/>
    </w:rPr>
  </w:style>
  <w:style w:type="character" w:customStyle="1" w:styleId="DefTerm">
    <w:name w:val="DefTerm"/>
    <w:uiPriority w:val="1"/>
    <w:qFormat/>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file:///C:/Users/NJAW/AppData/Local/Microsoft/Windows/INetCache/Content.Outlook/4NUXDV4E/ICO%20GDPR%20Guidance" TargetMode="External"/><Relationship Id="rId23"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linicalhomecare.org/wp-content/uploads/2019/01/NCHA-Position-statement_GDPR_v1.1_190115_FinalFinal.pdf"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222F470EC8D44CB90B217AE75C8439" ma:contentTypeVersion="11" ma:contentTypeDescription="Create a new document." ma:contentTypeScope="" ma:versionID="2c37930bc9d1aef0556f924a4888e5a4">
  <xsd:schema xmlns:xsd="http://www.w3.org/2001/XMLSchema" xmlns:xs="http://www.w3.org/2001/XMLSchema" xmlns:p="http://schemas.microsoft.com/office/2006/metadata/properties" xmlns:ns2="383f0758-f32a-4e3c-8775-b2914e7dc19f" xmlns:ns3="3cc795e3-58c8-4110-ab34-e3c83d5c5685" targetNamespace="http://schemas.microsoft.com/office/2006/metadata/properties" ma:root="true" ma:fieldsID="fe4bafcb894dc2d94abcbc664fc41ac0" ns2:_="" ns3:_="">
    <xsd:import namespace="383f0758-f32a-4e3c-8775-b2914e7dc19f"/>
    <xsd:import namespace="3cc795e3-58c8-4110-ab34-e3c83d5c56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f0758-f32a-4e3c-8775-b2914e7dc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795e3-58c8-4110-ab34-e3c83d5c56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222F470EC8D44CB90B217AE75C8439" ma:contentTypeVersion="11" ma:contentTypeDescription="Create a new document." ma:contentTypeScope="" ma:versionID="2c37930bc9d1aef0556f924a4888e5a4">
  <xsd:schema xmlns:xsd="http://www.w3.org/2001/XMLSchema" xmlns:xs="http://www.w3.org/2001/XMLSchema" xmlns:p="http://schemas.microsoft.com/office/2006/metadata/properties" xmlns:ns2="383f0758-f32a-4e3c-8775-b2914e7dc19f" xmlns:ns3="3cc795e3-58c8-4110-ab34-e3c83d5c5685" targetNamespace="http://schemas.microsoft.com/office/2006/metadata/properties" ma:root="true" ma:fieldsID="fe4bafcb894dc2d94abcbc664fc41ac0" ns2:_="" ns3:_="">
    <xsd:import namespace="383f0758-f32a-4e3c-8775-b2914e7dc19f"/>
    <xsd:import namespace="3cc795e3-58c8-4110-ab34-e3c83d5c56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f0758-f32a-4e3c-8775-b2914e7dc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795e3-58c8-4110-ab34-e3c83d5c56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774EB-4EB6-4973-B8EA-FD3E8BEAC48F}">
  <ds:schemaRefs>
    <ds:schemaRef ds:uri="http://schemas.microsoft.com/sharepoint/v3/contenttype/forms"/>
  </ds:schemaRefs>
</ds:datastoreItem>
</file>

<file path=customXml/itemProps2.xml><?xml version="1.0" encoding="utf-8"?>
<ds:datastoreItem xmlns:ds="http://schemas.openxmlformats.org/officeDocument/2006/customXml" ds:itemID="{97096BA2-377E-4D8B-B5C3-E970A1D3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f0758-f32a-4e3c-8775-b2914e7dc19f"/>
    <ds:schemaRef ds:uri="3cc795e3-58c8-4110-ab34-e3c83d5c5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F1291-4CA0-4897-862A-556E1E5A8C3D}">
  <ds:schemaRefs>
    <ds:schemaRef ds:uri="http://www.w3.org/XML/1998/namespace"/>
    <ds:schemaRef ds:uri="http://purl.org/dc/terms/"/>
    <ds:schemaRef ds:uri="http://schemas.microsoft.com/office/infopath/2007/PartnerControls"/>
    <ds:schemaRef ds:uri="http://schemas.openxmlformats.org/package/2006/metadata/core-properties"/>
    <ds:schemaRef ds:uri="3cc795e3-58c8-4110-ab34-e3c83d5c5685"/>
    <ds:schemaRef ds:uri="http://schemas.microsoft.com/office/2006/documentManagement/types"/>
    <ds:schemaRef ds:uri="http://purl.org/dc/dcmitype/"/>
    <ds:schemaRef ds:uri="383f0758-f32a-4e3c-8775-b2914e7dc19f"/>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7EFBC32-1CCC-4DE8-AAF5-ABA0295C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f0758-f32a-4e3c-8775-b2914e7dc19f"/>
    <ds:schemaRef ds:uri="3cc795e3-58c8-4110-ab34-e3c83d5c5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5F2BDB-05E8-4AD3-B12E-A275C600E8EB}">
  <ds:schemaRefs>
    <ds:schemaRef ds:uri="http://schemas.microsoft.com/sharepoint/v3/contenttype/forms"/>
  </ds:schemaRefs>
</ds:datastoreItem>
</file>

<file path=customXml/itemProps6.xml><?xml version="1.0" encoding="utf-8"?>
<ds:datastoreItem xmlns:ds="http://schemas.openxmlformats.org/officeDocument/2006/customXml" ds:itemID="{A700C080-5F48-4C18-BAC1-4E0DF664B5FF}">
  <ds:schemaRefs>
    <ds:schemaRef ds:uri="http://purl.org/dc/terms/"/>
    <ds:schemaRef ds:uri="383f0758-f32a-4e3c-8775-b2914e7dc19f"/>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documentManagement/types"/>
    <ds:schemaRef ds:uri="3cc795e3-58c8-4110-ab34-e3c83d5c5685"/>
    <ds:schemaRef ds:uri="http://purl.org/dc/dcmitype/"/>
  </ds:schemaRefs>
</ds:datastoreItem>
</file>

<file path=customXml/itemProps7.xml><?xml version="1.0" encoding="utf-8"?>
<ds:datastoreItem xmlns:ds="http://schemas.openxmlformats.org/officeDocument/2006/customXml" ds:itemID="{314A4565-917C-4C20-A483-B43C2768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DPP - Homecare Medicines Services</dc:title>
  <dc:creator>Kazmi, Amjad;National Homecare Medicines Committee;National Clinical Homecare Association</dc:creator>
  <cp:lastModifiedBy>Joe Bassett</cp:lastModifiedBy>
  <cp:revision>8</cp:revision>
  <dcterms:created xsi:type="dcterms:W3CDTF">2020-07-29T10:03:00Z</dcterms:created>
  <dcterms:modified xsi:type="dcterms:W3CDTF">2020-10-23T12:51:00Z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0x0101000A222F470EC8D44CB90B217AE75C8439</vt:lpwstr>
  </property>
</Properties>
</file>