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49413" w14:textId="77777777" w:rsidR="007F55BB" w:rsidRDefault="007F55BB" w:rsidP="00427F92">
      <w:pPr>
        <w:pStyle w:val="Heading1"/>
      </w:pPr>
    </w:p>
    <w:p w14:paraId="03A15E65" w14:textId="77777777" w:rsidR="00427F92" w:rsidRPr="004F24C2" w:rsidRDefault="001D0142" w:rsidP="00427F92">
      <w:pPr>
        <w:pStyle w:val="Heading1"/>
      </w:pPr>
      <w:r>
        <w:t>N</w:t>
      </w:r>
      <w:r w:rsidRPr="0026000A">
        <w:t>on-vitamin K antagonist oral anticoagulants (NOACs</w:t>
      </w:r>
      <w:r>
        <w:t>):</w:t>
      </w:r>
      <w:r w:rsidRPr="0026000A">
        <w:t xml:space="preserve"> </w:t>
      </w:r>
      <w:r w:rsidR="0026000A" w:rsidRPr="0026000A">
        <w:t xml:space="preserve">Is it safe to take </w:t>
      </w:r>
      <w:r>
        <w:t xml:space="preserve">them with </w:t>
      </w:r>
      <w:r w:rsidR="0026000A" w:rsidRPr="0026000A">
        <w:t xml:space="preserve">herbal </w:t>
      </w:r>
      <w:r w:rsidR="00EB4023" w:rsidRPr="0026000A">
        <w:t>medicines?</w:t>
      </w:r>
    </w:p>
    <w:p w14:paraId="60AEF2B9" w14:textId="77777777" w:rsidR="00427F92" w:rsidRPr="00B107C7" w:rsidRDefault="00427F92" w:rsidP="00427F92">
      <w:pPr>
        <w:pStyle w:val="NoSpacing"/>
        <w:jc w:val="center"/>
        <w:rPr>
          <w:szCs w:val="20"/>
          <w:lang w:val="en-US"/>
        </w:rPr>
      </w:pPr>
      <w:r w:rsidRPr="00B00B12">
        <w:rPr>
          <w:lang w:val="en-US"/>
        </w:rPr>
        <w:br/>
      </w:r>
      <w:r w:rsidRPr="00B107C7">
        <w:rPr>
          <w:szCs w:val="20"/>
          <w:lang w:val="en-US"/>
        </w:rPr>
        <w:t>Prepared by UK Medicines Information (</w:t>
      </w:r>
      <w:proofErr w:type="spellStart"/>
      <w:r w:rsidR="00CB571D">
        <w:fldChar w:fldCharType="begin"/>
      </w:r>
      <w:r w:rsidR="00CB571D">
        <w:instrText xml:space="preserve"> HYPERLINK "http://www.ukmi.nhs.uk/ukmi/about/default.asp?pageRef=1" </w:instrText>
      </w:r>
      <w:r w:rsidR="00CB571D">
        <w:fldChar w:fldCharType="separate"/>
      </w:r>
      <w:r w:rsidRPr="00B107C7">
        <w:rPr>
          <w:color w:val="0000FF"/>
          <w:szCs w:val="20"/>
          <w:u w:val="single"/>
          <w:lang w:val="en-US"/>
        </w:rPr>
        <w:t>UKMi</w:t>
      </w:r>
      <w:proofErr w:type="spellEnd"/>
      <w:r w:rsidR="00CB571D">
        <w:rPr>
          <w:color w:val="0000FF"/>
          <w:szCs w:val="20"/>
          <w:u w:val="single"/>
          <w:lang w:val="en-US"/>
        </w:rPr>
        <w:fldChar w:fldCharType="end"/>
      </w:r>
      <w:r w:rsidRPr="00B107C7">
        <w:rPr>
          <w:szCs w:val="20"/>
          <w:lang w:val="en-US"/>
        </w:rPr>
        <w:t>) pharmacists for NHS healthcare professionals</w:t>
      </w:r>
    </w:p>
    <w:p w14:paraId="32A29F97" w14:textId="77777777" w:rsidR="00427F92" w:rsidRPr="00B107C7" w:rsidRDefault="00427F92" w:rsidP="00427F92">
      <w:pPr>
        <w:pStyle w:val="NoSpacing"/>
        <w:jc w:val="center"/>
        <w:rPr>
          <w:rFonts w:eastAsia="Times New Roman"/>
          <w:szCs w:val="20"/>
          <w:lang w:val="en-US"/>
        </w:rPr>
      </w:pPr>
      <w:r w:rsidRPr="00B107C7">
        <w:rPr>
          <w:szCs w:val="20"/>
        </w:rPr>
        <w:t xml:space="preserve">Before using this Q&amp;A, read the disclaimer at </w:t>
      </w:r>
      <w:hyperlink r:id="rId9" w:history="1">
        <w:r w:rsidRPr="00B107C7">
          <w:rPr>
            <w:rStyle w:val="Hyperlink"/>
            <w:rFonts w:cs="Arial"/>
            <w:i/>
            <w:iCs/>
            <w:sz w:val="18"/>
            <w:szCs w:val="18"/>
          </w:rPr>
          <w:t>https://www.sps.nhs.uk/articles/about-ukmi-medicines-qas/</w:t>
        </w:r>
      </w:hyperlink>
    </w:p>
    <w:p w14:paraId="23D12B6A" w14:textId="77777777" w:rsidR="00427F92" w:rsidRPr="00B107C7" w:rsidRDefault="00427F92" w:rsidP="00427F92">
      <w:pPr>
        <w:pStyle w:val="NoSpacing"/>
        <w:jc w:val="center"/>
        <w:rPr>
          <w:szCs w:val="20"/>
          <w:lang w:val="en-US"/>
        </w:rPr>
      </w:pPr>
      <w:r w:rsidRPr="00B107C7">
        <w:rPr>
          <w:szCs w:val="20"/>
          <w:lang w:val="en-US"/>
        </w:rPr>
        <w:t>Date prepared:</w:t>
      </w:r>
      <w:r w:rsidR="003C00BD">
        <w:rPr>
          <w:szCs w:val="20"/>
          <w:lang w:val="en-US"/>
        </w:rPr>
        <w:t xml:space="preserve"> </w:t>
      </w:r>
      <w:r w:rsidR="009A077D">
        <w:rPr>
          <w:szCs w:val="20"/>
          <w:lang w:val="en-US"/>
        </w:rPr>
        <w:t>26</w:t>
      </w:r>
      <w:r w:rsidR="009A077D" w:rsidRPr="00131115">
        <w:rPr>
          <w:szCs w:val="20"/>
          <w:vertAlign w:val="superscript"/>
          <w:lang w:val="en-US"/>
        </w:rPr>
        <w:t>th</w:t>
      </w:r>
      <w:r w:rsidR="009A077D">
        <w:rPr>
          <w:szCs w:val="20"/>
          <w:lang w:val="en-US"/>
        </w:rPr>
        <w:t xml:space="preserve"> March 2020</w:t>
      </w:r>
    </w:p>
    <w:p w14:paraId="2A7B46E5" w14:textId="77777777" w:rsidR="00427F92" w:rsidRDefault="00427F92" w:rsidP="00427F92">
      <w:pPr>
        <w:spacing w:after="0" w:line="240" w:lineRule="auto"/>
        <w:rPr>
          <w:rFonts w:eastAsia="Times New Roman" w:cs="Arial"/>
          <w:szCs w:val="20"/>
          <w:lang w:val="en-US"/>
        </w:rPr>
      </w:pPr>
      <w:r w:rsidRPr="00B00B12">
        <w:rPr>
          <w:rFonts w:eastAsia="Times New Roman" w:cs="Arial"/>
          <w:szCs w:val="20"/>
          <w:lang w:val="en-US"/>
        </w:rPr>
        <w:t xml:space="preserve"> </w:t>
      </w:r>
    </w:p>
    <w:p w14:paraId="565B7A4F" w14:textId="77777777" w:rsidR="00DB45CD" w:rsidRDefault="00DB45CD" w:rsidP="00427F92">
      <w:pPr>
        <w:spacing w:after="0" w:line="240" w:lineRule="auto"/>
        <w:rPr>
          <w:rFonts w:eastAsia="Times New Roman" w:cs="Arial"/>
          <w:szCs w:val="20"/>
          <w:lang w:val="en-US"/>
        </w:rPr>
      </w:pPr>
    </w:p>
    <w:p w14:paraId="0E700E9B" w14:textId="77777777" w:rsidR="00DB45CD" w:rsidRPr="00B00B12" w:rsidRDefault="00DB45CD" w:rsidP="00427F92">
      <w:pPr>
        <w:spacing w:after="0" w:line="240" w:lineRule="auto"/>
        <w:rPr>
          <w:rFonts w:eastAsia="Times New Roman" w:cs="Arial"/>
          <w:szCs w:val="20"/>
          <w:lang w:val="en-US"/>
        </w:rPr>
      </w:pPr>
    </w:p>
    <w:p w14:paraId="7BED04FB" w14:textId="77777777" w:rsidR="00427F92" w:rsidRDefault="00427F92" w:rsidP="00427F92">
      <w:pPr>
        <w:pStyle w:val="Heading2"/>
      </w:pPr>
      <w:r w:rsidRPr="00B00B12">
        <w:t>Background</w:t>
      </w:r>
      <w:r>
        <w:t xml:space="preserve"> </w:t>
      </w:r>
      <w:r w:rsidR="00E835C9">
        <w:br/>
      </w:r>
    </w:p>
    <w:p w14:paraId="4EE5059F" w14:textId="77777777" w:rsidR="0026000A" w:rsidRPr="0026000A" w:rsidRDefault="0026000A" w:rsidP="0026000A">
      <w:pPr>
        <w:rPr>
          <w:lang w:val="en-US"/>
        </w:rPr>
      </w:pPr>
      <w:r w:rsidRPr="0026000A">
        <w:rPr>
          <w:lang w:val="en-US"/>
        </w:rPr>
        <w:t>Herbal medicines have been widely used for thousands of years and have gained increasing popularity [1]. Many UK patients use herbal medicines, frequently without consulting their conventional healthcare professionals [2].</w:t>
      </w:r>
      <w:r w:rsidR="00585BF6">
        <w:rPr>
          <w:lang w:val="en-US"/>
        </w:rPr>
        <w:t xml:space="preserve"> </w:t>
      </w:r>
      <w:r w:rsidR="00DB4CFC">
        <w:rPr>
          <w:lang w:val="en-US"/>
        </w:rPr>
        <w:t>The use of herbal medicines is complicated by</w:t>
      </w:r>
      <w:r w:rsidR="00DB4CFC" w:rsidRPr="0026000A">
        <w:rPr>
          <w:lang w:val="en-US"/>
        </w:rPr>
        <w:t xml:space="preserve"> a lack of scientific evidence of the</w:t>
      </w:r>
      <w:r w:rsidR="00585BF6">
        <w:rPr>
          <w:lang w:val="en-US"/>
        </w:rPr>
        <w:t>ir</w:t>
      </w:r>
      <w:r w:rsidR="00DB4CFC" w:rsidRPr="0026000A">
        <w:rPr>
          <w:lang w:val="en-US"/>
        </w:rPr>
        <w:t xml:space="preserve"> safety and efficacy</w:t>
      </w:r>
      <w:r w:rsidR="00585BF6">
        <w:rPr>
          <w:lang w:val="en-US"/>
        </w:rPr>
        <w:t>,</w:t>
      </w:r>
      <w:r w:rsidR="00DB4CFC" w:rsidRPr="0026000A">
        <w:rPr>
          <w:lang w:val="en-US"/>
        </w:rPr>
        <w:t xml:space="preserve"> together with an under-reporting and underestimation of adverse effects</w:t>
      </w:r>
      <w:r w:rsidR="00DB4CFC">
        <w:rPr>
          <w:lang w:val="en-US"/>
        </w:rPr>
        <w:t xml:space="preserve">. </w:t>
      </w:r>
      <w:r w:rsidRPr="0026000A">
        <w:rPr>
          <w:lang w:val="en-US"/>
        </w:rPr>
        <w:t>As herbal medicines are often taken in combination with conventional medicines this increases the potential for pharmacokinetic and/or pharmacodynamic interactions. The clinical implications of any interaction depend on a variety of factors, such as co-administered</w:t>
      </w:r>
      <w:r w:rsidR="007C1025">
        <w:rPr>
          <w:lang w:val="en-US"/>
        </w:rPr>
        <w:t xml:space="preserve"> medicines</w:t>
      </w:r>
      <w:r w:rsidRPr="0026000A">
        <w:rPr>
          <w:lang w:val="en-US"/>
        </w:rPr>
        <w:t>, the health status of the patient, the composition of the herbal medicine and the dosage regimens used. Herbal medicine</w:t>
      </w:r>
      <w:r w:rsidR="00D34577">
        <w:rPr>
          <w:lang w:val="en-US"/>
        </w:rPr>
        <w:t>–</w:t>
      </w:r>
      <w:r w:rsidRPr="0026000A">
        <w:rPr>
          <w:lang w:val="en-US"/>
        </w:rPr>
        <w:t>drug interactions have been reported in several studies, but</w:t>
      </w:r>
      <w:r w:rsidR="0061797B">
        <w:rPr>
          <w:lang w:val="en-US"/>
        </w:rPr>
        <w:t xml:space="preserve"> it is sometimes difficult to </w:t>
      </w:r>
      <w:r w:rsidR="004260AB">
        <w:rPr>
          <w:lang w:val="en-US"/>
        </w:rPr>
        <w:t>generalise</w:t>
      </w:r>
      <w:r w:rsidR="0061797B">
        <w:rPr>
          <w:lang w:val="en-US"/>
        </w:rPr>
        <w:t>, as the effects may be ingredient specific. T</w:t>
      </w:r>
      <w:r w:rsidRPr="0026000A">
        <w:rPr>
          <w:lang w:val="en-US"/>
        </w:rPr>
        <w:t>here is, in general, a lack of knowledge among patients and healthcare providers about drug-herb interactions</w:t>
      </w:r>
      <w:r w:rsidR="00205C9C">
        <w:rPr>
          <w:lang w:val="en-US"/>
        </w:rPr>
        <w:t xml:space="preserve"> </w:t>
      </w:r>
      <w:r w:rsidRPr="0026000A">
        <w:rPr>
          <w:lang w:val="en-US"/>
        </w:rPr>
        <w:t xml:space="preserve">[1]. </w:t>
      </w:r>
    </w:p>
    <w:p w14:paraId="43158917" w14:textId="77777777" w:rsidR="00427F92" w:rsidRPr="00B00B12" w:rsidRDefault="0026000A" w:rsidP="0026000A">
      <w:pPr>
        <w:rPr>
          <w:lang w:val="en-US"/>
        </w:rPr>
      </w:pPr>
      <w:r w:rsidRPr="0026000A">
        <w:rPr>
          <w:lang w:val="en-US"/>
        </w:rPr>
        <w:t>Currently, four non-vitamin K antagonist oral anticoagulant (NOAC) drugs are available on the UK market as alternatives to warfarin: dabigatran, rivaroxaban, apixaban and edoxaban. Dabigatran is a direct thrombin inhibitor. Rivaroxaban, apixaban and edoxaban are direct factor Xa inhibitors [3].</w:t>
      </w:r>
    </w:p>
    <w:p w14:paraId="2C391983" w14:textId="77777777" w:rsidR="00427F92" w:rsidRDefault="00427F92" w:rsidP="00427F92">
      <w:pPr>
        <w:spacing w:after="0" w:line="240" w:lineRule="auto"/>
        <w:rPr>
          <w:rFonts w:eastAsia="Times New Roman" w:cs="Arial"/>
          <w:szCs w:val="20"/>
          <w:lang w:val="en-US"/>
        </w:rPr>
      </w:pPr>
    </w:p>
    <w:p w14:paraId="25948E7C" w14:textId="77777777" w:rsidR="00DB45CD" w:rsidRPr="00B00B12" w:rsidRDefault="00DB45CD" w:rsidP="00427F92">
      <w:pPr>
        <w:spacing w:after="0" w:line="240" w:lineRule="auto"/>
        <w:rPr>
          <w:rFonts w:eastAsia="Times New Roman" w:cs="Arial"/>
          <w:szCs w:val="20"/>
          <w:lang w:val="en-US"/>
        </w:rPr>
      </w:pPr>
    </w:p>
    <w:p w14:paraId="4F2AE0FF" w14:textId="77777777" w:rsidR="00427F92" w:rsidRDefault="00427F92" w:rsidP="00427F92">
      <w:pPr>
        <w:pStyle w:val="Heading2"/>
      </w:pPr>
      <w:r>
        <w:t>Answer</w:t>
      </w:r>
      <w:r w:rsidR="007F55BB">
        <w:br/>
      </w:r>
    </w:p>
    <w:p w14:paraId="3B066816" w14:textId="77777777" w:rsidR="0026000A" w:rsidRDefault="00295489" w:rsidP="0026000A">
      <w:pPr>
        <w:rPr>
          <w:rFonts w:cs="Arial"/>
        </w:rPr>
      </w:pPr>
      <w:r>
        <w:rPr>
          <w:rFonts w:cs="Arial"/>
        </w:rPr>
        <w:t>No direct evidence is available regarding the inherent risk of co-administration of</w:t>
      </w:r>
      <w:r w:rsidR="002146F1">
        <w:rPr>
          <w:rFonts w:cs="Arial"/>
        </w:rPr>
        <w:t xml:space="preserve"> </w:t>
      </w:r>
      <w:r w:rsidR="0026000A" w:rsidRPr="0026000A">
        <w:rPr>
          <w:rFonts w:cs="Arial"/>
        </w:rPr>
        <w:t>herbal medicines with dabigatran, rivaroxaban, apixaban or edoxaban [4]. However the metabolic pathway</w:t>
      </w:r>
      <w:r w:rsidR="00B773C7">
        <w:rPr>
          <w:rFonts w:cs="Arial"/>
        </w:rPr>
        <w:t>s</w:t>
      </w:r>
      <w:r w:rsidR="0026000A" w:rsidRPr="0026000A">
        <w:rPr>
          <w:rFonts w:cs="Arial"/>
        </w:rPr>
        <w:t xml:space="preserve"> of these drugs raises concerns for potential interactions with other substances that are inducers or inhibitors of the cytochrome P 450 (CYP450) enzyme system or P-gly</w:t>
      </w:r>
      <w:r w:rsidR="00614B06">
        <w:rPr>
          <w:rFonts w:cs="Arial"/>
        </w:rPr>
        <w:t xml:space="preserve">coprotein transporters </w:t>
      </w:r>
      <w:r w:rsidR="0024102A">
        <w:rPr>
          <w:rFonts w:cs="Arial"/>
        </w:rPr>
        <w:t xml:space="preserve">(P-gp) </w:t>
      </w:r>
      <w:r w:rsidR="00614B06">
        <w:rPr>
          <w:rFonts w:cs="Arial"/>
        </w:rPr>
        <w:t>[</w:t>
      </w:r>
      <w:r w:rsidR="0026000A" w:rsidRPr="0026000A">
        <w:rPr>
          <w:rFonts w:cs="Arial"/>
        </w:rPr>
        <w:t>4,5]. In addition, a number of herbal medicines, or their constituents, might affect antiplatelet activity, or have anticoagulant activity</w:t>
      </w:r>
      <w:r w:rsidR="00854821">
        <w:rPr>
          <w:rFonts w:cs="Arial"/>
        </w:rPr>
        <w:t>. S</w:t>
      </w:r>
      <w:r w:rsidR="0026000A" w:rsidRPr="0026000A">
        <w:rPr>
          <w:rFonts w:cs="Arial"/>
        </w:rPr>
        <w:t>ome herbal medicines are documented as having caused</w:t>
      </w:r>
      <w:r w:rsidR="00614B06">
        <w:rPr>
          <w:rFonts w:cs="Arial"/>
        </w:rPr>
        <w:t xml:space="preserve"> haemorrhage as a side effect [</w:t>
      </w:r>
      <w:r w:rsidR="0026000A" w:rsidRPr="0026000A">
        <w:rPr>
          <w:rFonts w:cs="Arial"/>
        </w:rPr>
        <w:t xml:space="preserve">6]. Concomitant use of </w:t>
      </w:r>
      <w:r w:rsidR="00F75367">
        <w:rPr>
          <w:rFonts w:cs="Arial"/>
        </w:rPr>
        <w:t xml:space="preserve">substances that affect haemostasis </w:t>
      </w:r>
      <w:r w:rsidR="0026000A" w:rsidRPr="0026000A">
        <w:rPr>
          <w:rFonts w:cs="Arial"/>
        </w:rPr>
        <w:t>with dabigatran, rivaroxaban, apixaban or edoxaban may in</w:t>
      </w:r>
      <w:r w:rsidR="00614B06">
        <w:rPr>
          <w:rFonts w:cs="Arial"/>
        </w:rPr>
        <w:t>crease the risk of bleeding [</w:t>
      </w:r>
      <w:r w:rsidR="0026000A" w:rsidRPr="0026000A">
        <w:rPr>
          <w:rFonts w:cs="Arial"/>
        </w:rPr>
        <w:t>7]. The clinical significance of any interaction will vary because of interindividual differences in patient factors e.g. age, sex, nutritional status, metabolising capacity [1], liver and kidney function.</w:t>
      </w:r>
    </w:p>
    <w:p w14:paraId="7FD3D879" w14:textId="77777777" w:rsidR="007F55BB" w:rsidRDefault="007F55BB" w:rsidP="00EA268F">
      <w:pPr>
        <w:spacing w:after="0" w:line="240" w:lineRule="auto"/>
        <w:rPr>
          <w:rFonts w:cs="Arial"/>
          <w:b/>
          <w:color w:val="0070C0"/>
        </w:rPr>
      </w:pPr>
    </w:p>
    <w:p w14:paraId="7D249AE8" w14:textId="77777777" w:rsidR="00614B06" w:rsidRPr="00614B06" w:rsidRDefault="00614B06" w:rsidP="00614B06">
      <w:pPr>
        <w:rPr>
          <w:rFonts w:cs="Arial"/>
          <w:color w:val="0070C0"/>
        </w:rPr>
      </w:pPr>
      <w:r w:rsidRPr="00614B06">
        <w:rPr>
          <w:rFonts w:cs="Arial"/>
          <w:b/>
          <w:color w:val="0070C0"/>
        </w:rPr>
        <w:t>Dabigatran</w:t>
      </w:r>
    </w:p>
    <w:p w14:paraId="0057A75A" w14:textId="77777777" w:rsidR="00614B06" w:rsidRDefault="00614B06" w:rsidP="00614B06">
      <w:pPr>
        <w:spacing w:after="120"/>
        <w:rPr>
          <w:rFonts w:cs="Arial"/>
        </w:rPr>
      </w:pPr>
      <w:r>
        <w:rPr>
          <w:rFonts w:cs="Arial"/>
        </w:rPr>
        <w:t>Dabigatran is a direct thrombin inhibitor given orally as the mesilate of the prodrug dabigatran etexilate. After oral administration</w:t>
      </w:r>
      <w:r w:rsidR="000F46E9">
        <w:rPr>
          <w:rFonts w:cs="Arial"/>
        </w:rPr>
        <w:t>,</w:t>
      </w:r>
      <w:r>
        <w:rPr>
          <w:rFonts w:cs="Arial"/>
        </w:rPr>
        <w:t xml:space="preserve"> dabigatran etexilate is rapidly and completely hydrolysed to its active metabolite, dabigatran, by an esterase-catalysed reaction [8]. </w:t>
      </w:r>
      <w:r w:rsidR="008F4653">
        <w:rPr>
          <w:rFonts w:cs="Arial"/>
        </w:rPr>
        <w:t xml:space="preserve">Dabigatran is not metabolised by </w:t>
      </w:r>
      <w:r w:rsidR="001E5FC4">
        <w:rPr>
          <w:rFonts w:cs="Arial"/>
        </w:rPr>
        <w:t>CY</w:t>
      </w:r>
      <w:r w:rsidR="008F4653">
        <w:rPr>
          <w:rFonts w:cs="Arial"/>
        </w:rPr>
        <w:t xml:space="preserve">P450, so has low potential for clinically relevant interactions with </w:t>
      </w:r>
      <w:r w:rsidR="007C1025">
        <w:rPr>
          <w:rFonts w:cs="Arial"/>
        </w:rPr>
        <w:t xml:space="preserve">medicines </w:t>
      </w:r>
      <w:r w:rsidR="008F4653">
        <w:rPr>
          <w:rFonts w:cs="Arial"/>
        </w:rPr>
        <w:t xml:space="preserve">metabolised by </w:t>
      </w:r>
      <w:r w:rsidR="001E5FC4">
        <w:rPr>
          <w:rFonts w:cs="Arial"/>
        </w:rPr>
        <w:t>CY</w:t>
      </w:r>
      <w:r w:rsidR="008F4653">
        <w:rPr>
          <w:rFonts w:cs="Arial"/>
        </w:rPr>
        <w:t>P450</w:t>
      </w:r>
      <w:r w:rsidR="009E6BAE">
        <w:rPr>
          <w:rFonts w:cs="Arial"/>
        </w:rPr>
        <w:t xml:space="preserve"> </w:t>
      </w:r>
      <w:r>
        <w:rPr>
          <w:rFonts w:cs="Arial"/>
        </w:rPr>
        <w:t>[</w:t>
      </w:r>
      <w:r w:rsidR="008F4653">
        <w:rPr>
          <w:rFonts w:cs="Arial"/>
        </w:rPr>
        <w:t>4</w:t>
      </w:r>
      <w:r>
        <w:rPr>
          <w:rFonts w:cs="Arial"/>
        </w:rPr>
        <w:t>].</w:t>
      </w:r>
      <w:r w:rsidR="00DB45CD">
        <w:rPr>
          <w:rFonts w:cs="Arial"/>
        </w:rPr>
        <w:br/>
      </w:r>
    </w:p>
    <w:p w14:paraId="3DBBDEEB" w14:textId="77777777" w:rsidR="00614B06" w:rsidRDefault="00055CB0" w:rsidP="00614B06">
      <w:pPr>
        <w:spacing w:after="120"/>
        <w:rPr>
          <w:rFonts w:cs="Arial"/>
        </w:rPr>
      </w:pPr>
      <w:r>
        <w:rPr>
          <w:rFonts w:cs="Arial"/>
        </w:rPr>
        <w:lastRenderedPageBreak/>
        <w:t>D</w:t>
      </w:r>
      <w:r w:rsidR="00614B06" w:rsidRPr="00E675D1">
        <w:rPr>
          <w:rFonts w:cs="Arial"/>
        </w:rPr>
        <w:t>abigatran</w:t>
      </w:r>
      <w:r w:rsidR="00027021">
        <w:rPr>
          <w:rFonts w:cs="Arial"/>
        </w:rPr>
        <w:t xml:space="preserve"> etexilate</w:t>
      </w:r>
      <w:r w:rsidR="00614B06" w:rsidRPr="00E675D1">
        <w:rPr>
          <w:rFonts w:cs="Arial"/>
        </w:rPr>
        <w:t xml:space="preserve"> is a substrate for </w:t>
      </w:r>
      <w:r w:rsidR="00614B06">
        <w:rPr>
          <w:rFonts w:cs="Arial"/>
        </w:rPr>
        <w:t>P-gp. Concomitant administration of P-gp inhibitors is expected to result in increased dabigatran concentrations. C</w:t>
      </w:r>
      <w:r w:rsidR="00614B06" w:rsidRPr="008F492E">
        <w:rPr>
          <w:rFonts w:cs="Arial"/>
        </w:rPr>
        <w:t>lose clinical surveillance (looking for signs of bleeding or anaemia) is required when dabigatran is co-administered with strong P-gp inhibitors.</w:t>
      </w:r>
      <w:r w:rsidR="00CB5422">
        <w:rPr>
          <w:rFonts w:cs="Arial"/>
        </w:rPr>
        <w:t xml:space="preserve"> T</w:t>
      </w:r>
      <w:r w:rsidR="00614B06">
        <w:rPr>
          <w:rFonts w:cs="Arial"/>
        </w:rPr>
        <w:t>he manufacturer contraindicate</w:t>
      </w:r>
      <w:r w:rsidR="001E5FC4">
        <w:rPr>
          <w:rFonts w:cs="Arial"/>
        </w:rPr>
        <w:t>s</w:t>
      </w:r>
      <w:r w:rsidR="00614B06">
        <w:rPr>
          <w:rFonts w:cs="Arial"/>
        </w:rPr>
        <w:t xml:space="preserve"> the concomitant use of some strong </w:t>
      </w:r>
      <w:r w:rsidR="003F69AF">
        <w:rPr>
          <w:rFonts w:cs="Arial"/>
        </w:rPr>
        <w:t>P-gp inhibitors with dabigatran and advise</w:t>
      </w:r>
      <w:r w:rsidR="00416C64">
        <w:rPr>
          <w:rFonts w:cs="Arial"/>
        </w:rPr>
        <w:t>s</w:t>
      </w:r>
      <w:r w:rsidR="003F69AF">
        <w:rPr>
          <w:rFonts w:cs="Arial"/>
        </w:rPr>
        <w:t xml:space="preserve"> </w:t>
      </w:r>
      <w:r w:rsidR="002B7414">
        <w:rPr>
          <w:rFonts w:cs="Arial"/>
        </w:rPr>
        <w:t xml:space="preserve">dosing reduction </w:t>
      </w:r>
      <w:r w:rsidR="003F69AF">
        <w:rPr>
          <w:rFonts w:cs="Arial"/>
        </w:rPr>
        <w:t xml:space="preserve">when it is </w:t>
      </w:r>
      <w:r w:rsidR="00614B06">
        <w:rPr>
          <w:rFonts w:cs="Arial"/>
        </w:rPr>
        <w:t>used with mild to moderate P-gp inhibitors</w:t>
      </w:r>
      <w:r w:rsidR="00EB4023">
        <w:rPr>
          <w:rFonts w:cs="Arial"/>
        </w:rPr>
        <w:t xml:space="preserve"> </w:t>
      </w:r>
      <w:r w:rsidR="002B7414">
        <w:rPr>
          <w:rFonts w:cs="Arial"/>
        </w:rPr>
        <w:t>(see SPC)</w:t>
      </w:r>
      <w:r w:rsidR="00614B06">
        <w:rPr>
          <w:rFonts w:cs="Arial"/>
        </w:rPr>
        <w:t xml:space="preserve"> [9]. </w:t>
      </w:r>
    </w:p>
    <w:p w14:paraId="6B63B230" w14:textId="77777777" w:rsidR="00614B06" w:rsidRDefault="00614B06" w:rsidP="00614B06">
      <w:pPr>
        <w:spacing w:after="120"/>
        <w:rPr>
          <w:rFonts w:cs="Arial"/>
        </w:rPr>
      </w:pPr>
      <w:r w:rsidRPr="00C02AE0">
        <w:rPr>
          <w:rFonts w:cs="Arial"/>
        </w:rPr>
        <w:t>Concomitant administration of a P-gp inducer is expected to result in decreased dabigatran concentrations and should be avoided</w:t>
      </w:r>
      <w:r>
        <w:rPr>
          <w:rFonts w:cs="Arial"/>
        </w:rPr>
        <w:t xml:space="preserve"> [9].</w:t>
      </w:r>
    </w:p>
    <w:p w14:paraId="6AB7DB56" w14:textId="77777777" w:rsidR="00614B06" w:rsidRDefault="00614B06" w:rsidP="00614B06">
      <w:pPr>
        <w:spacing w:after="120"/>
        <w:rPr>
          <w:rFonts w:cs="Arial"/>
        </w:rPr>
      </w:pPr>
      <w:r>
        <w:rPr>
          <w:rFonts w:cs="Arial"/>
        </w:rPr>
        <w:t xml:space="preserve">Dabigatran </w:t>
      </w:r>
      <w:r w:rsidRPr="004225E0">
        <w:rPr>
          <w:rFonts w:cs="Arial"/>
        </w:rPr>
        <w:t xml:space="preserve">should be used with caution in conditions with an increased risk of bleeding and in situations with concomitant use of </w:t>
      </w:r>
      <w:r w:rsidR="007C1025">
        <w:rPr>
          <w:rFonts w:cs="Arial"/>
        </w:rPr>
        <w:t xml:space="preserve">medicines </w:t>
      </w:r>
      <w:r>
        <w:rPr>
          <w:rFonts w:cs="Arial"/>
        </w:rPr>
        <w:t>affecting haemostasis b</w:t>
      </w:r>
      <w:r w:rsidRPr="004225E0">
        <w:rPr>
          <w:rFonts w:cs="Arial"/>
        </w:rPr>
        <w:t>y inhibition of platelet aggregation</w:t>
      </w:r>
      <w:r>
        <w:rPr>
          <w:rFonts w:cs="Arial"/>
        </w:rPr>
        <w:t xml:space="preserve">. </w:t>
      </w:r>
      <w:r w:rsidRPr="004225E0">
        <w:rPr>
          <w:rFonts w:cs="Arial"/>
        </w:rPr>
        <w:t xml:space="preserve"> </w:t>
      </w:r>
      <w:r w:rsidRPr="00093126">
        <w:rPr>
          <w:rFonts w:cs="Arial"/>
        </w:rPr>
        <w:t xml:space="preserve">Concomitant treatment with any other anticoagulants, except under specific circumstances (see SPC), is contraindicated </w:t>
      </w:r>
      <w:r w:rsidRPr="004225E0">
        <w:rPr>
          <w:rFonts w:cs="Arial"/>
        </w:rPr>
        <w:t>[</w:t>
      </w:r>
      <w:r>
        <w:rPr>
          <w:rFonts w:cs="Arial"/>
        </w:rPr>
        <w:t>9</w:t>
      </w:r>
      <w:r w:rsidRPr="004225E0">
        <w:rPr>
          <w:rFonts w:cs="Arial"/>
        </w:rPr>
        <w:t>]</w:t>
      </w:r>
      <w:r>
        <w:rPr>
          <w:rFonts w:cs="Arial"/>
        </w:rPr>
        <w:t>.</w:t>
      </w:r>
    </w:p>
    <w:p w14:paraId="2A6674D8" w14:textId="77777777" w:rsidR="007F55BB" w:rsidRDefault="007F55BB" w:rsidP="00EA268F">
      <w:pPr>
        <w:spacing w:after="0" w:line="240" w:lineRule="auto"/>
        <w:rPr>
          <w:rFonts w:cs="Arial"/>
          <w:b/>
          <w:color w:val="0070C0"/>
        </w:rPr>
      </w:pPr>
    </w:p>
    <w:p w14:paraId="379D4CF3" w14:textId="77777777" w:rsidR="00437EB6" w:rsidRPr="00437EB6" w:rsidRDefault="00437EB6" w:rsidP="00437EB6">
      <w:pPr>
        <w:rPr>
          <w:rFonts w:cs="Arial"/>
          <w:b/>
          <w:color w:val="0070C0"/>
        </w:rPr>
      </w:pPr>
      <w:r w:rsidRPr="00437EB6">
        <w:rPr>
          <w:rFonts w:cs="Arial"/>
          <w:b/>
          <w:color w:val="0070C0"/>
        </w:rPr>
        <w:t>Rivaroxaban</w:t>
      </w:r>
    </w:p>
    <w:p w14:paraId="289DCEE2" w14:textId="77777777" w:rsidR="00437EB6" w:rsidRDefault="00437EB6" w:rsidP="00437EB6">
      <w:pPr>
        <w:spacing w:after="120"/>
        <w:rPr>
          <w:rFonts w:cs="Arial"/>
        </w:rPr>
      </w:pPr>
      <w:r>
        <w:rPr>
          <w:rFonts w:cs="Arial"/>
        </w:rPr>
        <w:t xml:space="preserve">Rivaroxaban is a </w:t>
      </w:r>
      <w:r w:rsidRPr="00150E87">
        <w:rPr>
          <w:rFonts w:cs="Arial"/>
        </w:rPr>
        <w:t>highly selective direct factor Xa inhibito</w:t>
      </w:r>
      <w:r>
        <w:rPr>
          <w:rFonts w:cs="Arial"/>
        </w:rPr>
        <w:t>r. It</w:t>
      </w:r>
      <w:r w:rsidRPr="005D2FE5">
        <w:rPr>
          <w:rFonts w:cs="Arial"/>
        </w:rPr>
        <w:t xml:space="preserve"> is metabolised via CYP3A4, CYP2J2 and CYP-independent mechanisms</w:t>
      </w:r>
      <w:r>
        <w:rPr>
          <w:rFonts w:cs="Arial"/>
        </w:rPr>
        <w:t xml:space="preserve">. </w:t>
      </w:r>
      <w:r w:rsidRPr="00150E87">
        <w:rPr>
          <w:rFonts w:cs="Arial"/>
        </w:rPr>
        <w:t xml:space="preserve"> </w:t>
      </w:r>
      <w:r w:rsidRPr="005D2FE5">
        <w:rPr>
          <w:rFonts w:cs="Arial"/>
        </w:rPr>
        <w:t xml:space="preserve">Based on in vitro investigations </w:t>
      </w:r>
      <w:r w:rsidR="006B51D4">
        <w:rPr>
          <w:rFonts w:cs="Arial"/>
        </w:rPr>
        <w:t>i</w:t>
      </w:r>
      <w:r>
        <w:rPr>
          <w:rFonts w:cs="Arial"/>
        </w:rPr>
        <w:t xml:space="preserve">t </w:t>
      </w:r>
      <w:r w:rsidRPr="00150E87">
        <w:rPr>
          <w:rFonts w:cs="Arial"/>
        </w:rPr>
        <w:t>is a</w:t>
      </w:r>
      <w:r>
        <w:rPr>
          <w:rFonts w:cs="Arial"/>
        </w:rPr>
        <w:t>lso a</w:t>
      </w:r>
      <w:r w:rsidR="006B16E5">
        <w:rPr>
          <w:rFonts w:cs="Arial"/>
        </w:rPr>
        <w:t xml:space="preserve"> substrate </w:t>
      </w:r>
      <w:r w:rsidRPr="00150E87">
        <w:rPr>
          <w:rFonts w:cs="Arial"/>
        </w:rPr>
        <w:t>f</w:t>
      </w:r>
      <w:r w:rsidR="006B16E5">
        <w:rPr>
          <w:rFonts w:cs="Arial"/>
        </w:rPr>
        <w:t>or</w:t>
      </w:r>
      <w:r w:rsidRPr="00150E87">
        <w:rPr>
          <w:rFonts w:cs="Arial"/>
        </w:rPr>
        <w:t xml:space="preserve"> </w:t>
      </w:r>
      <w:r w:rsidR="00573950">
        <w:rPr>
          <w:rFonts w:cs="Arial"/>
        </w:rPr>
        <w:t>P-gp</w:t>
      </w:r>
      <w:r>
        <w:rPr>
          <w:rFonts w:cs="Arial"/>
        </w:rPr>
        <w:t xml:space="preserve"> [10]. The manufacturer of rivaroxaban recommends that patients do not receive concomitant systemic treatment with </w:t>
      </w:r>
      <w:r w:rsidR="00683308">
        <w:rPr>
          <w:rFonts w:cs="Arial"/>
        </w:rPr>
        <w:t xml:space="preserve">medicines </w:t>
      </w:r>
      <w:r>
        <w:rPr>
          <w:rFonts w:cs="Arial"/>
        </w:rPr>
        <w:t>that are strong inhibitors of both CYP3A4 and P-gp</w:t>
      </w:r>
      <w:r w:rsidR="00D03986">
        <w:rPr>
          <w:rFonts w:cs="Arial"/>
        </w:rPr>
        <w:t xml:space="preserve">. These </w:t>
      </w:r>
      <w:r w:rsidR="00683308">
        <w:rPr>
          <w:rFonts w:cs="Arial"/>
        </w:rPr>
        <w:t xml:space="preserve">medicines </w:t>
      </w:r>
      <w:r w:rsidR="00D03986">
        <w:rPr>
          <w:rFonts w:cs="Arial"/>
        </w:rPr>
        <w:t xml:space="preserve">may increase rivaroxaban plasma </w:t>
      </w:r>
      <w:r w:rsidR="00E0564E">
        <w:rPr>
          <w:rFonts w:cs="Arial"/>
        </w:rPr>
        <w:t>concentrations</w:t>
      </w:r>
      <w:r w:rsidR="00D03986">
        <w:rPr>
          <w:rFonts w:cs="Arial"/>
        </w:rPr>
        <w:t xml:space="preserve"> to a clinically </w:t>
      </w:r>
      <w:r w:rsidR="00E0564E">
        <w:rPr>
          <w:rFonts w:cs="Arial"/>
        </w:rPr>
        <w:t>relevant</w:t>
      </w:r>
      <w:r w:rsidR="00D03986">
        <w:rPr>
          <w:rFonts w:cs="Arial"/>
        </w:rPr>
        <w:t xml:space="preserve"> degree which</w:t>
      </w:r>
      <w:r w:rsidR="0060055E">
        <w:rPr>
          <w:rFonts w:cs="Arial"/>
        </w:rPr>
        <w:t xml:space="preserve"> may lead to an increased risk of bleeding</w:t>
      </w:r>
      <w:r>
        <w:rPr>
          <w:rFonts w:cs="Arial"/>
        </w:rPr>
        <w:t>. Active substances strongly inhibiting only one of the rivaroxaban elimination pathways, either CYP3A4 or P-gp are expected to increase rivaroxaban plasma concentrations to a lesser extent [10].</w:t>
      </w:r>
    </w:p>
    <w:p w14:paraId="49168E51" w14:textId="77777777" w:rsidR="00437EB6" w:rsidRDefault="00437EB6" w:rsidP="00437EB6">
      <w:pPr>
        <w:spacing w:after="120"/>
        <w:rPr>
          <w:rFonts w:cs="Arial"/>
        </w:rPr>
      </w:pPr>
      <w:r>
        <w:rPr>
          <w:rFonts w:cs="Arial"/>
        </w:rPr>
        <w:t>The manufacturer advises that the concomitant use of rivaroxaban with strong CYP3A4 inducers may lead to reduced rivaroxaban plasma concentrations and should be avoided unless the patient is closely observed for signs and symptoms of thrombosis [10].</w:t>
      </w:r>
    </w:p>
    <w:p w14:paraId="015E8795" w14:textId="77777777" w:rsidR="00437EB6" w:rsidRDefault="00437EB6" w:rsidP="00437EB6">
      <w:pPr>
        <w:spacing w:after="120"/>
        <w:rPr>
          <w:rFonts w:cs="Arial"/>
        </w:rPr>
      </w:pPr>
      <w:r>
        <w:rPr>
          <w:rFonts w:cs="Arial"/>
        </w:rPr>
        <w:t>Concomitant treatment with any other anticoagulants, except under specific circumstances (see SPC), is contraindicated. Care is to be taken if patients are treated concomitantly with medicinal products affecting haemostasis [10].</w:t>
      </w:r>
    </w:p>
    <w:p w14:paraId="2283FD8D" w14:textId="77777777" w:rsidR="007F55BB" w:rsidRDefault="007F55BB" w:rsidP="00EA268F">
      <w:pPr>
        <w:spacing w:after="0" w:line="240" w:lineRule="auto"/>
        <w:rPr>
          <w:rFonts w:cs="Arial"/>
          <w:b/>
          <w:color w:val="0070C0"/>
        </w:rPr>
      </w:pPr>
    </w:p>
    <w:p w14:paraId="3CA2DA53" w14:textId="77777777" w:rsidR="006B51D4" w:rsidRPr="006B51D4" w:rsidRDefault="006B51D4" w:rsidP="006B51D4">
      <w:pPr>
        <w:rPr>
          <w:rFonts w:cs="Arial"/>
          <w:b/>
          <w:color w:val="0070C0"/>
        </w:rPr>
      </w:pPr>
      <w:r w:rsidRPr="006B51D4">
        <w:rPr>
          <w:rFonts w:cs="Arial"/>
          <w:b/>
          <w:color w:val="0070C0"/>
        </w:rPr>
        <w:t>Apixaban</w:t>
      </w:r>
    </w:p>
    <w:p w14:paraId="4E9E67CC" w14:textId="77777777" w:rsidR="006B51D4" w:rsidRDefault="006B51D4" w:rsidP="006B51D4">
      <w:pPr>
        <w:spacing w:after="120"/>
        <w:rPr>
          <w:rFonts w:cs="Arial"/>
          <w:color w:val="000000"/>
        </w:rPr>
      </w:pPr>
      <w:r w:rsidRPr="00B709F8">
        <w:rPr>
          <w:rFonts w:cs="Arial"/>
        </w:rPr>
        <w:t>Apixaban is a potent, reversible, direct and highly selective active site inhibitor of factor Xa</w:t>
      </w:r>
      <w:r>
        <w:rPr>
          <w:rFonts w:cs="Arial"/>
        </w:rPr>
        <w:t xml:space="preserve"> [11]. It</w:t>
      </w:r>
      <w:r w:rsidRPr="00F842E1">
        <w:rPr>
          <w:rFonts w:cs="Arial"/>
        </w:rPr>
        <w:t xml:space="preserve"> is </w:t>
      </w:r>
      <w:r w:rsidR="00707450" w:rsidRPr="00F842E1">
        <w:rPr>
          <w:rFonts w:cs="Arial"/>
        </w:rPr>
        <w:t>metaboli</w:t>
      </w:r>
      <w:r w:rsidR="00707450">
        <w:rPr>
          <w:rFonts w:cs="Arial"/>
        </w:rPr>
        <w:t>s</w:t>
      </w:r>
      <w:r w:rsidR="00707450" w:rsidRPr="00F842E1">
        <w:rPr>
          <w:rFonts w:cs="Arial"/>
        </w:rPr>
        <w:t xml:space="preserve">ed </w:t>
      </w:r>
      <w:r w:rsidR="008F4653">
        <w:rPr>
          <w:rFonts w:cs="Arial"/>
        </w:rPr>
        <w:t>in the liver mainly via CYP3A4 and CYP3A5</w:t>
      </w:r>
      <w:r w:rsidRPr="00F842E1">
        <w:rPr>
          <w:rFonts w:cs="Arial"/>
        </w:rPr>
        <w:t xml:space="preserve"> and to a lesser extent by CYP isoenzymes 1A2, 2C8, 2C9, 2C19, and 2J2</w:t>
      </w:r>
      <w:r>
        <w:rPr>
          <w:rFonts w:cs="Arial"/>
        </w:rPr>
        <w:t>. A</w:t>
      </w:r>
      <w:r w:rsidR="006B16E5">
        <w:rPr>
          <w:rFonts w:cs="Arial"/>
        </w:rPr>
        <w:t xml:space="preserve">pixaban is a substrate </w:t>
      </w:r>
      <w:r w:rsidR="000E694F">
        <w:rPr>
          <w:rFonts w:cs="Arial"/>
        </w:rPr>
        <w:t>of</w:t>
      </w:r>
      <w:r w:rsidR="000E694F" w:rsidRPr="00F842E1">
        <w:rPr>
          <w:rFonts w:cs="Arial"/>
        </w:rPr>
        <w:t xml:space="preserve"> </w:t>
      </w:r>
      <w:r w:rsidR="00573950">
        <w:rPr>
          <w:rFonts w:cs="Arial"/>
        </w:rPr>
        <w:t>P-gp</w:t>
      </w:r>
      <w:r>
        <w:rPr>
          <w:rFonts w:cs="Arial"/>
        </w:rPr>
        <w:t xml:space="preserve">. </w:t>
      </w:r>
      <w:r w:rsidRPr="006D5F69">
        <w:rPr>
          <w:rFonts w:cs="Arial"/>
          <w:color w:val="000000"/>
        </w:rPr>
        <w:t>The use of apixaban is not recommended in patients receiving concomitant systemic treatment with strong inhibitors of both CYP3A4 and P-gp</w:t>
      </w:r>
      <w:r>
        <w:rPr>
          <w:rFonts w:cs="Arial"/>
          <w:color w:val="000000"/>
        </w:rPr>
        <w:t>.</w:t>
      </w:r>
      <w:r w:rsidRPr="006D5F69">
        <w:rPr>
          <w:rFonts w:cs="Arial"/>
          <w:color w:val="000000"/>
        </w:rPr>
        <w:t xml:space="preserve"> </w:t>
      </w:r>
      <w:r w:rsidRPr="00B803A2">
        <w:rPr>
          <w:rFonts w:cs="Arial"/>
          <w:color w:val="000000"/>
        </w:rPr>
        <w:t xml:space="preserve">No dose adjustment for apixaban is required when co-administered with </w:t>
      </w:r>
      <w:r w:rsidR="00F74149">
        <w:rPr>
          <w:rFonts w:cs="Arial"/>
          <w:color w:val="000000"/>
        </w:rPr>
        <w:t>agents that</w:t>
      </w:r>
      <w:r w:rsidR="0066519B">
        <w:rPr>
          <w:rFonts w:cs="Arial"/>
          <w:color w:val="000000"/>
        </w:rPr>
        <w:t xml:space="preserve"> are not</w:t>
      </w:r>
      <w:r w:rsidR="00290D27">
        <w:rPr>
          <w:rFonts w:cs="Arial"/>
          <w:color w:val="000000"/>
        </w:rPr>
        <w:t xml:space="preserve"> </w:t>
      </w:r>
      <w:r w:rsidR="0066519B">
        <w:rPr>
          <w:rFonts w:cs="Arial"/>
          <w:color w:val="000000"/>
        </w:rPr>
        <w:t>strong</w:t>
      </w:r>
      <w:r w:rsidRPr="00B803A2">
        <w:rPr>
          <w:rFonts w:cs="Arial"/>
          <w:color w:val="000000"/>
        </w:rPr>
        <w:t xml:space="preserve"> i</w:t>
      </w:r>
      <w:r>
        <w:rPr>
          <w:rFonts w:cs="Arial"/>
          <w:color w:val="000000"/>
        </w:rPr>
        <w:t>nhibitors of</w:t>
      </w:r>
      <w:r w:rsidR="0066519B">
        <w:rPr>
          <w:rFonts w:cs="Arial"/>
          <w:color w:val="000000"/>
        </w:rPr>
        <w:t xml:space="preserve"> both</w:t>
      </w:r>
      <w:r>
        <w:rPr>
          <w:rFonts w:cs="Arial"/>
          <w:color w:val="000000"/>
        </w:rPr>
        <w:t xml:space="preserve"> CYP3A4 and P-gp </w:t>
      </w:r>
      <w:r w:rsidRPr="006D5F69">
        <w:rPr>
          <w:rFonts w:cs="Arial"/>
          <w:color w:val="000000"/>
        </w:rPr>
        <w:t>[</w:t>
      </w:r>
      <w:r>
        <w:rPr>
          <w:rFonts w:cs="Arial"/>
          <w:color w:val="000000"/>
        </w:rPr>
        <w:t xml:space="preserve">11]. </w:t>
      </w:r>
    </w:p>
    <w:p w14:paraId="2E00E3C3" w14:textId="77777777" w:rsidR="006B51D4" w:rsidRDefault="006B51D4" w:rsidP="006B51D4">
      <w:pPr>
        <w:spacing w:after="120"/>
        <w:rPr>
          <w:rFonts w:cs="Arial"/>
        </w:rPr>
      </w:pPr>
      <w:r>
        <w:rPr>
          <w:rFonts w:cs="Arial"/>
        </w:rPr>
        <w:t xml:space="preserve">The concomitant use of apixaban with strong CYP3A4 and P-gp inducers may lead to </w:t>
      </w:r>
      <w:r w:rsidR="000B4A73">
        <w:rPr>
          <w:rFonts w:cs="Arial"/>
        </w:rPr>
        <w:t>reduced apixaban plasma concentrations</w:t>
      </w:r>
      <w:r>
        <w:rPr>
          <w:rFonts w:cs="Arial"/>
        </w:rPr>
        <w:t>.</w:t>
      </w:r>
      <w:r w:rsidR="00D56AFE">
        <w:rPr>
          <w:rFonts w:cs="Arial"/>
        </w:rPr>
        <w:t xml:space="preserve"> No dose adjustment for apixaban is required during concomitant therapy with such medicinal products, however i</w:t>
      </w:r>
      <w:r w:rsidRPr="007B0923">
        <w:rPr>
          <w:rFonts w:cs="Arial"/>
        </w:rPr>
        <w:t>n patients receiving concomitant systemic treatment with strong inducers of both CYP3A4 and P-gp</w:t>
      </w:r>
      <w:r>
        <w:rPr>
          <w:rFonts w:cs="Arial"/>
        </w:rPr>
        <w:t>,</w:t>
      </w:r>
      <w:r w:rsidRPr="007B0923">
        <w:rPr>
          <w:rFonts w:cs="Arial"/>
        </w:rPr>
        <w:t xml:space="preserve"> apixaban should be used with caution for the prevention of stroke and systemic embolism in patients with </w:t>
      </w:r>
      <w:r>
        <w:rPr>
          <w:rFonts w:cs="Arial"/>
        </w:rPr>
        <w:t>non-valvular atrial fibrillation</w:t>
      </w:r>
      <w:r w:rsidRPr="007B0923">
        <w:rPr>
          <w:rFonts w:cs="Arial"/>
        </w:rPr>
        <w:t xml:space="preserve"> </w:t>
      </w:r>
      <w:r>
        <w:rPr>
          <w:rFonts w:cs="Arial"/>
        </w:rPr>
        <w:t xml:space="preserve">(NVAF) </w:t>
      </w:r>
      <w:r w:rsidRPr="007B0923">
        <w:rPr>
          <w:rFonts w:cs="Arial"/>
        </w:rPr>
        <w:t xml:space="preserve">and for the prevention of recurrent </w:t>
      </w:r>
      <w:r>
        <w:rPr>
          <w:rFonts w:cs="Arial"/>
        </w:rPr>
        <w:t>deep vein thrombosis (</w:t>
      </w:r>
      <w:r w:rsidRPr="007B0923">
        <w:rPr>
          <w:rFonts w:cs="Arial"/>
        </w:rPr>
        <w:t>DVT</w:t>
      </w:r>
      <w:r>
        <w:rPr>
          <w:rFonts w:cs="Arial"/>
        </w:rPr>
        <w:t>)</w:t>
      </w:r>
      <w:r w:rsidRPr="007B0923">
        <w:rPr>
          <w:rFonts w:cs="Arial"/>
        </w:rPr>
        <w:t xml:space="preserve"> and </w:t>
      </w:r>
      <w:r>
        <w:rPr>
          <w:rFonts w:cs="Arial"/>
        </w:rPr>
        <w:t>pulmonary embolism (</w:t>
      </w:r>
      <w:r w:rsidRPr="007B0923">
        <w:rPr>
          <w:rFonts w:cs="Arial"/>
        </w:rPr>
        <w:t>PE</w:t>
      </w:r>
      <w:r>
        <w:rPr>
          <w:rFonts w:cs="Arial"/>
        </w:rPr>
        <w:t>)</w:t>
      </w:r>
      <w:r w:rsidRPr="007B0923">
        <w:rPr>
          <w:rFonts w:cs="Arial"/>
        </w:rPr>
        <w:t xml:space="preserve">. Apixaban </w:t>
      </w:r>
      <w:r>
        <w:rPr>
          <w:rFonts w:cs="Arial"/>
        </w:rPr>
        <w:t>should not be used</w:t>
      </w:r>
      <w:r w:rsidRPr="007B0923">
        <w:rPr>
          <w:rFonts w:cs="Arial"/>
        </w:rPr>
        <w:t xml:space="preserve"> for the treatment of DVT and PE in patients receiving concomitant systemic treatment with strong inducers of both CYP3A4 and P-gp since efficacy may be compromised</w:t>
      </w:r>
      <w:r>
        <w:rPr>
          <w:rFonts w:cs="Arial"/>
        </w:rPr>
        <w:t xml:space="preserve"> [11].</w:t>
      </w:r>
      <w:r w:rsidR="00416C64" w:rsidDel="00416C64">
        <w:rPr>
          <w:rFonts w:cs="Arial"/>
          <w:color w:val="000000"/>
        </w:rPr>
        <w:t xml:space="preserve"> </w:t>
      </w:r>
    </w:p>
    <w:p w14:paraId="732E83D5" w14:textId="77777777" w:rsidR="006B51D4" w:rsidRDefault="008A6E40" w:rsidP="006B51D4">
      <w:pPr>
        <w:spacing w:after="120"/>
        <w:rPr>
          <w:rFonts w:cs="Arial"/>
          <w:color w:val="000000"/>
        </w:rPr>
      </w:pPr>
      <w:r>
        <w:rPr>
          <w:rFonts w:cs="Arial"/>
          <w:color w:val="000000"/>
        </w:rPr>
        <w:t xml:space="preserve">Due to an increased bleeding risk, </w:t>
      </w:r>
      <w:r w:rsidR="00560619">
        <w:rPr>
          <w:rFonts w:cs="Arial"/>
          <w:color w:val="000000"/>
        </w:rPr>
        <w:t>c</w:t>
      </w:r>
      <w:r w:rsidR="00560619" w:rsidRPr="00176254">
        <w:rPr>
          <w:rFonts w:cs="Arial"/>
          <w:color w:val="000000"/>
        </w:rPr>
        <w:t xml:space="preserve">oncomitant use of apixaban with </w:t>
      </w:r>
      <w:r w:rsidR="00560619">
        <w:rPr>
          <w:rFonts w:cs="Arial"/>
          <w:color w:val="000000"/>
        </w:rPr>
        <w:t xml:space="preserve">other anticoagulants is contraindicated, </w:t>
      </w:r>
      <w:r w:rsidR="00560619">
        <w:rPr>
          <w:rFonts w:cs="Arial"/>
        </w:rPr>
        <w:t>except under specific circumstances (see SPC)</w:t>
      </w:r>
      <w:r w:rsidR="002C1B33">
        <w:rPr>
          <w:rFonts w:cs="Arial"/>
          <w:color w:val="000000"/>
        </w:rPr>
        <w:t xml:space="preserve"> </w:t>
      </w:r>
      <w:r w:rsidR="00560619" w:rsidRPr="00176254">
        <w:rPr>
          <w:rFonts w:cs="Arial"/>
          <w:color w:val="000000"/>
        </w:rPr>
        <w:t>[</w:t>
      </w:r>
      <w:r w:rsidR="00560619">
        <w:rPr>
          <w:rFonts w:cs="Arial"/>
          <w:color w:val="000000"/>
        </w:rPr>
        <w:t>11</w:t>
      </w:r>
      <w:r w:rsidR="00560619" w:rsidRPr="00176254">
        <w:rPr>
          <w:rFonts w:cs="Arial"/>
          <w:color w:val="000000"/>
        </w:rPr>
        <w:t>]</w:t>
      </w:r>
      <w:r w:rsidR="00560619">
        <w:rPr>
          <w:rFonts w:cs="Arial"/>
          <w:color w:val="000000"/>
        </w:rPr>
        <w:t>.</w:t>
      </w:r>
    </w:p>
    <w:p w14:paraId="5A8473F8" w14:textId="77777777" w:rsidR="00B25827" w:rsidRDefault="00B25827" w:rsidP="00C43877">
      <w:pPr>
        <w:rPr>
          <w:rFonts w:cs="Arial"/>
          <w:b/>
          <w:color w:val="0070C0"/>
        </w:rPr>
      </w:pPr>
    </w:p>
    <w:p w14:paraId="2661D905" w14:textId="77777777" w:rsidR="00C43877" w:rsidRPr="00C43877" w:rsidRDefault="00C43877" w:rsidP="00C43877">
      <w:pPr>
        <w:rPr>
          <w:rFonts w:cs="Arial"/>
          <w:b/>
          <w:color w:val="0070C0"/>
        </w:rPr>
      </w:pPr>
      <w:r w:rsidRPr="00C43877">
        <w:rPr>
          <w:rFonts w:cs="Arial"/>
          <w:b/>
          <w:color w:val="0070C0"/>
        </w:rPr>
        <w:lastRenderedPageBreak/>
        <w:t>Edoxaban</w:t>
      </w:r>
    </w:p>
    <w:p w14:paraId="12CF6C30" w14:textId="77777777" w:rsidR="00AA6169" w:rsidRDefault="00C43877" w:rsidP="00C43877">
      <w:pPr>
        <w:spacing w:after="120"/>
        <w:rPr>
          <w:rFonts w:cs="Arial"/>
          <w:color w:val="000000"/>
        </w:rPr>
      </w:pPr>
      <w:r>
        <w:rPr>
          <w:rFonts w:cs="Arial"/>
          <w:color w:val="000000"/>
        </w:rPr>
        <w:t>Edoxaban is a highly selective, direct and reversible inhibitor of factor Xa</w:t>
      </w:r>
      <w:r w:rsidR="00BF251E">
        <w:rPr>
          <w:rFonts w:cs="Arial"/>
          <w:color w:val="000000"/>
        </w:rPr>
        <w:t xml:space="preserve"> [12]</w:t>
      </w:r>
      <w:r>
        <w:rPr>
          <w:rFonts w:cs="Arial"/>
          <w:color w:val="000000"/>
        </w:rPr>
        <w:t>. It is not extensively metabolised by CYP3A [</w:t>
      </w:r>
      <w:r w:rsidR="00BF251E">
        <w:rPr>
          <w:rFonts w:cs="Arial"/>
          <w:color w:val="000000"/>
        </w:rPr>
        <w:t>13</w:t>
      </w:r>
      <w:r>
        <w:rPr>
          <w:rFonts w:cs="Arial"/>
          <w:color w:val="000000"/>
        </w:rPr>
        <w:t>] but it is a substrate for P-gp [</w:t>
      </w:r>
      <w:r w:rsidR="00BF251E">
        <w:rPr>
          <w:rFonts w:cs="Arial"/>
          <w:color w:val="000000"/>
        </w:rPr>
        <w:t>12</w:t>
      </w:r>
      <w:r>
        <w:rPr>
          <w:rFonts w:cs="Arial"/>
          <w:color w:val="000000"/>
        </w:rPr>
        <w:t xml:space="preserve">]. </w:t>
      </w:r>
    </w:p>
    <w:p w14:paraId="3A7618F9" w14:textId="77777777" w:rsidR="00C43877" w:rsidRDefault="00C43877" w:rsidP="00C43877">
      <w:pPr>
        <w:spacing w:after="120"/>
        <w:rPr>
          <w:rFonts w:cs="Arial"/>
          <w:color w:val="000000"/>
        </w:rPr>
      </w:pPr>
      <w:r>
        <w:rPr>
          <w:rFonts w:cs="Arial"/>
          <w:color w:val="000000"/>
        </w:rPr>
        <w:t xml:space="preserve">Concomitant administration of edoxaban </w:t>
      </w:r>
      <w:r w:rsidR="00217013">
        <w:rPr>
          <w:rFonts w:cs="Arial"/>
          <w:color w:val="000000"/>
        </w:rPr>
        <w:t xml:space="preserve">with </w:t>
      </w:r>
      <w:r>
        <w:rPr>
          <w:rFonts w:cs="Arial"/>
          <w:color w:val="000000"/>
        </w:rPr>
        <w:t xml:space="preserve">certain P-gp inhibitors has resulted in increased plasma concentrations of edoxaban </w:t>
      </w:r>
      <w:r w:rsidR="00217013">
        <w:rPr>
          <w:rFonts w:cs="Arial"/>
          <w:color w:val="000000"/>
        </w:rPr>
        <w:t>in pharmacokinetic studies</w:t>
      </w:r>
      <w:r w:rsidR="008B72C5">
        <w:rPr>
          <w:rFonts w:cs="Arial"/>
          <w:color w:val="000000"/>
        </w:rPr>
        <w:t xml:space="preserve"> and may require dose reduction</w:t>
      </w:r>
      <w:r w:rsidR="00217013">
        <w:rPr>
          <w:rFonts w:cs="Arial"/>
          <w:color w:val="000000"/>
        </w:rPr>
        <w:t xml:space="preserve"> </w:t>
      </w:r>
      <w:r>
        <w:rPr>
          <w:rFonts w:cs="Arial"/>
          <w:color w:val="000000"/>
        </w:rPr>
        <w:t>(</w:t>
      </w:r>
      <w:r w:rsidR="00217013">
        <w:rPr>
          <w:rFonts w:cs="Arial"/>
          <w:color w:val="000000"/>
        </w:rPr>
        <w:t xml:space="preserve">see </w:t>
      </w:r>
      <w:r>
        <w:rPr>
          <w:rFonts w:cs="Arial"/>
          <w:color w:val="000000"/>
        </w:rPr>
        <w:t xml:space="preserve">SPC). </w:t>
      </w:r>
      <w:r w:rsidR="00560619">
        <w:rPr>
          <w:rFonts w:cs="Arial"/>
          <w:color w:val="000000"/>
        </w:rPr>
        <w:t>However, the</w:t>
      </w:r>
      <w:r w:rsidR="00217013">
        <w:rPr>
          <w:rFonts w:cs="Arial"/>
          <w:color w:val="000000"/>
        </w:rPr>
        <w:t xml:space="preserve"> </w:t>
      </w:r>
      <w:r>
        <w:rPr>
          <w:rFonts w:cs="Arial"/>
          <w:color w:val="000000"/>
        </w:rPr>
        <w:t xml:space="preserve">use of edoxaban with </w:t>
      </w:r>
      <w:r w:rsidR="00515D43">
        <w:rPr>
          <w:rFonts w:cs="Arial"/>
          <w:color w:val="000000"/>
        </w:rPr>
        <w:t>other P</w:t>
      </w:r>
      <w:r>
        <w:rPr>
          <w:rFonts w:cs="Arial"/>
          <w:color w:val="000000"/>
        </w:rPr>
        <w:t>-gp inhibitors has not been studied [</w:t>
      </w:r>
      <w:r w:rsidR="00BF251E">
        <w:rPr>
          <w:rFonts w:cs="Arial"/>
          <w:color w:val="000000"/>
        </w:rPr>
        <w:t>12</w:t>
      </w:r>
      <w:r>
        <w:rPr>
          <w:rFonts w:cs="Arial"/>
          <w:color w:val="000000"/>
        </w:rPr>
        <w:t xml:space="preserve">]. </w:t>
      </w:r>
    </w:p>
    <w:p w14:paraId="5FA8D063" w14:textId="77777777" w:rsidR="00C43877" w:rsidRDefault="00C43877" w:rsidP="00C43877">
      <w:pPr>
        <w:spacing w:after="120"/>
        <w:rPr>
          <w:rFonts w:cs="Arial"/>
          <w:color w:val="000000"/>
        </w:rPr>
      </w:pPr>
      <w:r>
        <w:rPr>
          <w:rFonts w:cs="Arial"/>
          <w:color w:val="000000"/>
        </w:rPr>
        <w:t>The concomitant use of edoxaban with P-gp inducers may lead to reduced edoxaban plasma concentrations. Edoxaban should be used with caution when co-administered with P-gp inducers [</w:t>
      </w:r>
      <w:r w:rsidR="00BF251E">
        <w:rPr>
          <w:rFonts w:cs="Arial"/>
          <w:color w:val="000000"/>
        </w:rPr>
        <w:t>12</w:t>
      </w:r>
      <w:r>
        <w:rPr>
          <w:rFonts w:cs="Arial"/>
          <w:color w:val="000000"/>
        </w:rPr>
        <w:t>].</w:t>
      </w:r>
    </w:p>
    <w:p w14:paraId="6A4F4E30" w14:textId="77777777" w:rsidR="00C43877" w:rsidRDefault="00560619" w:rsidP="00C43877">
      <w:pPr>
        <w:spacing w:after="120"/>
        <w:rPr>
          <w:rFonts w:cs="Arial"/>
          <w:color w:val="000000"/>
        </w:rPr>
      </w:pPr>
      <w:r>
        <w:rPr>
          <w:rFonts w:cs="Arial"/>
          <w:color w:val="000000"/>
        </w:rPr>
        <w:t xml:space="preserve">Coadministration of edoxaban with other anticoagulants is contraindicated due to increased risk of bleeding, </w:t>
      </w:r>
      <w:r>
        <w:rPr>
          <w:rFonts w:cs="Arial"/>
        </w:rPr>
        <w:t>except under specific circumstances (see SPC)</w:t>
      </w:r>
      <w:r>
        <w:rPr>
          <w:rFonts w:cs="Arial"/>
          <w:color w:val="000000"/>
        </w:rPr>
        <w:t xml:space="preserve">. </w:t>
      </w:r>
      <w:r w:rsidR="00C43877">
        <w:rPr>
          <w:rFonts w:cs="Arial"/>
          <w:color w:val="000000"/>
        </w:rPr>
        <w:t>In clinical studies concomitant use of low dose aspirin (≤ 100mg/day), other antiplatelet agents and thienopyridines resulted in approximately a 2-fold increase in major bleeding in comparison with no concomitant use</w:t>
      </w:r>
      <w:r w:rsidR="00F64F80">
        <w:rPr>
          <w:rFonts w:cs="Arial"/>
          <w:color w:val="000000"/>
        </w:rPr>
        <w:t>.</w:t>
      </w:r>
      <w:r w:rsidR="00F64F80" w:rsidRPr="00F64F80">
        <w:rPr>
          <w:rFonts w:cs="Arial"/>
          <w:color w:val="000000"/>
        </w:rPr>
        <w:t xml:space="preserve"> </w:t>
      </w:r>
      <w:r w:rsidR="00E62E8A">
        <w:rPr>
          <w:rFonts w:cs="Arial"/>
          <w:color w:val="000000"/>
        </w:rPr>
        <w:t xml:space="preserve">Edoxaban can be co-administered with low dose aspirin </w:t>
      </w:r>
      <w:r w:rsidR="00E62E8A" w:rsidRPr="00F64F80">
        <w:rPr>
          <w:rFonts w:cs="Arial"/>
          <w:color w:val="000000"/>
        </w:rPr>
        <w:t>(≤ 100 mg)</w:t>
      </w:r>
      <w:r w:rsidR="00E62E8A">
        <w:rPr>
          <w:rFonts w:cs="Arial"/>
          <w:color w:val="000000"/>
        </w:rPr>
        <w:t xml:space="preserve">, although </w:t>
      </w:r>
      <w:r w:rsidR="00F64F80" w:rsidRPr="00F64F80">
        <w:rPr>
          <w:rFonts w:cs="Arial"/>
          <w:color w:val="000000"/>
        </w:rPr>
        <w:t>there is very limited experience on the use of edoxaban wit</w:t>
      </w:r>
      <w:r w:rsidR="00F64F80">
        <w:rPr>
          <w:rFonts w:cs="Arial"/>
          <w:color w:val="000000"/>
        </w:rPr>
        <w:t>h dual antiplatelet therapy</w:t>
      </w:r>
      <w:r w:rsidR="00C43877">
        <w:rPr>
          <w:rFonts w:cs="Arial"/>
          <w:color w:val="000000"/>
        </w:rPr>
        <w:t xml:space="preserve"> [</w:t>
      </w:r>
      <w:r w:rsidR="00BF251E">
        <w:rPr>
          <w:rFonts w:cs="Arial"/>
          <w:color w:val="000000"/>
        </w:rPr>
        <w:t>12</w:t>
      </w:r>
      <w:r w:rsidR="00C43877">
        <w:rPr>
          <w:rFonts w:cs="Arial"/>
          <w:color w:val="000000"/>
        </w:rPr>
        <w:t>].</w:t>
      </w:r>
      <w:r w:rsidR="00B32E0A">
        <w:rPr>
          <w:rFonts w:cs="Arial"/>
          <w:color w:val="000000"/>
        </w:rPr>
        <w:t xml:space="preserve"> However, the use of edoxaban in combination with other substances that affect platelet function cannot be assumed to be safe; the manufacturer states that concomitant use of NSAIDs with edoxaban caused an increase in clinically relevant bleeding and is therefore not recommended [12]</w:t>
      </w:r>
      <w:r w:rsidR="00416C64">
        <w:rPr>
          <w:rFonts w:cs="Arial"/>
          <w:color w:val="000000"/>
        </w:rPr>
        <w:t>.</w:t>
      </w:r>
    </w:p>
    <w:p w14:paraId="7F777AAC" w14:textId="77777777" w:rsidR="00EA268F" w:rsidRDefault="009D3344" w:rsidP="0026000A">
      <w:pPr>
        <w:rPr>
          <w:rFonts w:cs="Arial"/>
        </w:rPr>
      </w:pPr>
      <w:r>
        <w:rPr>
          <w:rFonts w:cs="Arial"/>
        </w:rPr>
        <w:t>While herbal medicines–drug interactions can be explained by pharmacodynamic mechanisms, t</w:t>
      </w:r>
      <w:r w:rsidR="00A01EED">
        <w:rPr>
          <w:rFonts w:cs="Arial"/>
        </w:rPr>
        <w:t xml:space="preserve">he vast majority of </w:t>
      </w:r>
      <w:r>
        <w:rPr>
          <w:rFonts w:cs="Arial"/>
        </w:rPr>
        <w:t xml:space="preserve">these </w:t>
      </w:r>
      <w:r w:rsidR="00A01EED">
        <w:rPr>
          <w:rFonts w:cs="Arial"/>
        </w:rPr>
        <w:t xml:space="preserve">potential interactions are of </w:t>
      </w:r>
      <w:r>
        <w:rPr>
          <w:rFonts w:cs="Arial"/>
        </w:rPr>
        <w:t>pharmacokinetic origin</w:t>
      </w:r>
      <w:r w:rsidR="00A01EED">
        <w:rPr>
          <w:rFonts w:cs="Arial"/>
        </w:rPr>
        <w:t xml:space="preserve"> </w:t>
      </w:r>
      <w:r>
        <w:rPr>
          <w:rFonts w:cs="Arial"/>
        </w:rPr>
        <w:t>resulting in changes of absorption and biotransformation of the affected drug [1]. Table 1 summarises the pharmacokinetic</w:t>
      </w:r>
      <w:r w:rsidR="00D34577">
        <w:rPr>
          <w:rFonts w:cs="Arial"/>
        </w:rPr>
        <w:t xml:space="preserve"> </w:t>
      </w:r>
      <w:r>
        <w:rPr>
          <w:rFonts w:cs="Arial"/>
        </w:rPr>
        <w:t xml:space="preserve">/ pharmacodynamic activity of some commonly used herbal medicines which may interact with NOACs. Other herbs not included in this list may also interact with NOACs. </w:t>
      </w:r>
    </w:p>
    <w:p w14:paraId="25AA26A0" w14:textId="77777777" w:rsidR="00DB45CD" w:rsidRPr="0026000A" w:rsidRDefault="00DB45CD" w:rsidP="0026000A">
      <w:pPr>
        <w:rPr>
          <w:rFonts w:cs="Arial"/>
        </w:rPr>
      </w:pPr>
    </w:p>
    <w:p w14:paraId="0B9891A2" w14:textId="77777777" w:rsidR="00955AD8" w:rsidRDefault="00955AD8" w:rsidP="00955AD8">
      <w:pPr>
        <w:rPr>
          <w:rFonts w:cs="Arial"/>
          <w:color w:val="000000"/>
        </w:rPr>
      </w:pPr>
      <w:r w:rsidRPr="007B0923">
        <w:rPr>
          <w:rFonts w:cs="Arial"/>
          <w:b/>
          <w:color w:val="000000"/>
        </w:rPr>
        <w:t xml:space="preserve">Table 1: </w:t>
      </w:r>
      <w:r>
        <w:rPr>
          <w:rFonts w:cs="Arial"/>
          <w:b/>
          <w:color w:val="000000"/>
        </w:rPr>
        <w:t>The pharmacokinetic / pharmacodynamic activity of some c</w:t>
      </w:r>
      <w:r w:rsidRPr="007B0923">
        <w:rPr>
          <w:rFonts w:cs="Arial"/>
          <w:b/>
          <w:color w:val="000000"/>
        </w:rPr>
        <w:t xml:space="preserve">ommonly used herbal </w:t>
      </w:r>
      <w:r>
        <w:rPr>
          <w:rFonts w:cs="Arial"/>
          <w:b/>
          <w:color w:val="000000"/>
        </w:rPr>
        <w:t>medicines</w:t>
      </w:r>
      <w:r w:rsidRPr="007B0923">
        <w:rPr>
          <w:rFonts w:cs="Arial"/>
          <w:b/>
          <w:color w:val="000000"/>
        </w:rPr>
        <w:t xml:space="preserve"> </w:t>
      </w:r>
      <w:r>
        <w:rPr>
          <w:rFonts w:cs="Arial"/>
          <w:b/>
          <w:color w:val="000000"/>
        </w:rPr>
        <w:t xml:space="preserve">which may interact </w:t>
      </w:r>
      <w:r w:rsidRPr="007B0923">
        <w:rPr>
          <w:rFonts w:cs="Arial"/>
          <w:b/>
          <w:color w:val="000000"/>
        </w:rPr>
        <w:t>with NOAC</w:t>
      </w:r>
      <w:r>
        <w:rPr>
          <w:rFonts w:cs="Arial"/>
          <w:b/>
          <w:color w:val="000000"/>
        </w:rPr>
        <w:t>s</w:t>
      </w:r>
      <w:r>
        <w:rPr>
          <w:rFonts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A6169" w:rsidRPr="00FB5CFC" w14:paraId="124A114D" w14:textId="77777777" w:rsidTr="00205C9C">
        <w:tc>
          <w:tcPr>
            <w:tcW w:w="9242" w:type="dxa"/>
            <w:shd w:val="clear" w:color="auto" w:fill="auto"/>
          </w:tcPr>
          <w:p w14:paraId="7717AE98" w14:textId="77777777" w:rsidR="00AA6169" w:rsidRPr="008A2D02" w:rsidRDefault="00AA6169" w:rsidP="00205C9C">
            <w:pPr>
              <w:spacing w:before="40" w:after="40"/>
              <w:rPr>
                <w:rFonts w:cs="Arial"/>
                <w:b/>
              </w:rPr>
            </w:pPr>
            <w:r w:rsidRPr="008A2D02">
              <w:rPr>
                <w:rFonts w:cs="Arial"/>
                <w:b/>
              </w:rPr>
              <w:t>Black cohosh:</w:t>
            </w:r>
          </w:p>
          <w:p w14:paraId="6291E6A4" w14:textId="77777777" w:rsidR="00AA6169" w:rsidRPr="00141C81" w:rsidRDefault="00AA6169" w:rsidP="00CF0C53">
            <w:pPr>
              <w:spacing w:before="40" w:after="40"/>
              <w:rPr>
                <w:rFonts w:cs="Arial"/>
              </w:rPr>
            </w:pPr>
            <w:r>
              <w:rPr>
                <w:rFonts w:cs="Arial"/>
              </w:rPr>
              <w:t xml:space="preserve">Black cohosh may </w:t>
            </w:r>
            <w:r w:rsidRPr="007B02C4">
              <w:rPr>
                <w:rFonts w:cs="Arial"/>
              </w:rPr>
              <w:t xml:space="preserve">interact with drugs that are </w:t>
            </w:r>
            <w:r w:rsidR="00CF0C53" w:rsidRPr="007B02C4">
              <w:rPr>
                <w:rFonts w:cs="Arial"/>
              </w:rPr>
              <w:t>metaboli</w:t>
            </w:r>
            <w:r w:rsidR="00CF0C53">
              <w:rPr>
                <w:rFonts w:cs="Arial"/>
              </w:rPr>
              <w:t>s</w:t>
            </w:r>
            <w:r w:rsidR="00CF0C53" w:rsidRPr="007B02C4">
              <w:rPr>
                <w:rFonts w:cs="Arial"/>
              </w:rPr>
              <w:t xml:space="preserve">ed </w:t>
            </w:r>
            <w:r w:rsidRPr="007B02C4">
              <w:rPr>
                <w:rFonts w:cs="Arial"/>
              </w:rPr>
              <w:t>by CYP3A4 enzyme</w:t>
            </w:r>
            <w:r w:rsidR="00E85F55">
              <w:rPr>
                <w:rFonts w:cs="Arial"/>
              </w:rPr>
              <w:t xml:space="preserve"> [14</w:t>
            </w:r>
            <w:r>
              <w:rPr>
                <w:rFonts w:cs="Arial"/>
              </w:rPr>
              <w:t xml:space="preserve">]. However four small studies in healthy volunteers suggested that black cohosh has a minimal effect </w:t>
            </w:r>
            <w:r w:rsidR="00D9743B">
              <w:rPr>
                <w:rFonts w:cs="Arial"/>
              </w:rPr>
              <w:t>on various CYP450 enzymes</w:t>
            </w:r>
            <w:r>
              <w:rPr>
                <w:rFonts w:cs="Arial"/>
              </w:rPr>
              <w:t xml:space="preserve"> or P-gp. Further studies are needed to demonstrate the safety of concomitant use of black cohosh and conventional </w:t>
            </w:r>
            <w:r w:rsidRPr="00210ACA">
              <w:rPr>
                <w:rFonts w:cs="Arial"/>
              </w:rPr>
              <w:t>drugs [1].</w:t>
            </w:r>
          </w:p>
        </w:tc>
      </w:tr>
      <w:tr w:rsidR="00AA6169" w:rsidRPr="00FB5CFC" w14:paraId="0D3845CE" w14:textId="77777777" w:rsidTr="00205C9C">
        <w:tc>
          <w:tcPr>
            <w:tcW w:w="9242" w:type="dxa"/>
            <w:shd w:val="clear" w:color="auto" w:fill="auto"/>
          </w:tcPr>
          <w:p w14:paraId="3E8663C8" w14:textId="77777777" w:rsidR="00AA6169" w:rsidRPr="00FB5CFC" w:rsidRDefault="00AA6169" w:rsidP="00205C9C">
            <w:pPr>
              <w:spacing w:before="40" w:after="40"/>
              <w:rPr>
                <w:rFonts w:cs="Arial"/>
                <w:b/>
              </w:rPr>
            </w:pPr>
            <w:r w:rsidRPr="00FB5CFC">
              <w:rPr>
                <w:rFonts w:cs="Arial"/>
                <w:b/>
              </w:rPr>
              <w:t>Dong quai:</w:t>
            </w:r>
          </w:p>
          <w:p w14:paraId="44AEBAF6" w14:textId="77777777" w:rsidR="00AA6169" w:rsidRDefault="00AA6169" w:rsidP="00205C9C">
            <w:pPr>
              <w:spacing w:before="40" w:after="40"/>
              <w:rPr>
                <w:rFonts w:cs="Arial"/>
                <w:color w:val="000000"/>
              </w:rPr>
            </w:pPr>
            <w:r w:rsidRPr="00C0050A">
              <w:rPr>
                <w:rFonts w:cs="Arial"/>
                <w:color w:val="000000"/>
              </w:rPr>
              <w:t xml:space="preserve">Prolonged use of dong quai can induce CYP3A4 which may reduce the blood levels and effectiveness of substrate drugs </w:t>
            </w:r>
            <w:r w:rsidRPr="00210ACA">
              <w:rPr>
                <w:rFonts w:cs="Arial"/>
                <w:color w:val="000000"/>
              </w:rPr>
              <w:t>[</w:t>
            </w:r>
            <w:r w:rsidR="00CD78F2">
              <w:rPr>
                <w:rFonts w:cs="Arial"/>
                <w:color w:val="000000"/>
              </w:rPr>
              <w:t>14</w:t>
            </w:r>
            <w:r w:rsidRPr="00210ACA">
              <w:rPr>
                <w:rFonts w:cs="Arial"/>
                <w:color w:val="000000"/>
              </w:rPr>
              <w:t>]</w:t>
            </w:r>
            <w:r>
              <w:rPr>
                <w:rFonts w:cs="Arial"/>
                <w:color w:val="000000"/>
              </w:rPr>
              <w:t>.</w:t>
            </w:r>
          </w:p>
          <w:p w14:paraId="7E4737E5" w14:textId="77777777" w:rsidR="00AA6169" w:rsidRPr="00FB5CFC" w:rsidRDefault="00CD190A" w:rsidP="009A0523">
            <w:pPr>
              <w:spacing w:before="40" w:after="40"/>
              <w:rPr>
                <w:rFonts w:cs="Arial"/>
                <w:color w:val="000000"/>
              </w:rPr>
            </w:pPr>
            <w:r>
              <w:rPr>
                <w:rFonts w:cs="Arial"/>
                <w:color w:val="000000"/>
              </w:rPr>
              <w:t xml:space="preserve">Dong Quai contains coumarin derivatives and components that may inhibit platelet aggregation.  </w:t>
            </w:r>
            <w:r w:rsidR="00AE4264">
              <w:rPr>
                <w:rFonts w:cs="Arial"/>
                <w:color w:val="000000"/>
              </w:rPr>
              <w:t>Caution is advised if dong quai and an anticoagulant are t</w:t>
            </w:r>
            <w:r w:rsidR="00DE4DD6">
              <w:rPr>
                <w:rFonts w:cs="Arial"/>
                <w:color w:val="000000"/>
              </w:rPr>
              <w:t>a</w:t>
            </w:r>
            <w:r w:rsidR="00AE4264">
              <w:rPr>
                <w:rFonts w:cs="Arial"/>
                <w:color w:val="000000"/>
              </w:rPr>
              <w:t>ken concomitantly. Monitor for signs and symptoms of excessive bleeding [</w:t>
            </w:r>
            <w:r w:rsidR="008A6FA9">
              <w:rPr>
                <w:rFonts w:cs="Arial"/>
                <w:color w:val="000000"/>
              </w:rPr>
              <w:t>7</w:t>
            </w:r>
            <w:r w:rsidR="00AE4264">
              <w:rPr>
                <w:rFonts w:cs="Arial"/>
                <w:color w:val="000000"/>
              </w:rPr>
              <w:t>].</w:t>
            </w:r>
          </w:p>
        </w:tc>
      </w:tr>
      <w:tr w:rsidR="00AA6169" w:rsidRPr="00FB5CFC" w14:paraId="052997E4" w14:textId="77777777" w:rsidTr="00205C9C">
        <w:tc>
          <w:tcPr>
            <w:tcW w:w="9242" w:type="dxa"/>
            <w:shd w:val="clear" w:color="auto" w:fill="auto"/>
          </w:tcPr>
          <w:p w14:paraId="42DA9BD2" w14:textId="77777777" w:rsidR="00AA6169" w:rsidRPr="0088099B" w:rsidRDefault="00AA6169" w:rsidP="00205C9C">
            <w:pPr>
              <w:spacing w:before="40" w:after="40"/>
              <w:rPr>
                <w:rFonts w:cs="Arial"/>
                <w:b/>
              </w:rPr>
            </w:pPr>
            <w:r w:rsidRPr="0088099B">
              <w:rPr>
                <w:rFonts w:cs="Arial"/>
                <w:b/>
              </w:rPr>
              <w:t>Echinacea:</w:t>
            </w:r>
          </w:p>
          <w:p w14:paraId="579892AA" w14:textId="77777777" w:rsidR="00780E34" w:rsidRDefault="00AA6169" w:rsidP="00780E34">
            <w:pPr>
              <w:spacing w:before="40" w:after="40"/>
              <w:rPr>
                <w:rFonts w:cs="Arial"/>
              </w:rPr>
            </w:pPr>
            <w:r w:rsidRPr="00C0050A">
              <w:rPr>
                <w:rFonts w:cs="Arial"/>
              </w:rPr>
              <w:t>Conflicting results have been re</w:t>
            </w:r>
            <w:r>
              <w:rPr>
                <w:rFonts w:cs="Arial"/>
              </w:rPr>
              <w:t>ported regarding the effect of e</w:t>
            </w:r>
            <w:r w:rsidRPr="00C0050A">
              <w:rPr>
                <w:rFonts w:cs="Arial"/>
              </w:rPr>
              <w:t>chinacea on CYP activity [</w:t>
            </w:r>
            <w:r>
              <w:rPr>
                <w:rFonts w:cs="Arial"/>
              </w:rPr>
              <w:t>1</w:t>
            </w:r>
            <w:r w:rsidRPr="00C0050A">
              <w:rPr>
                <w:rFonts w:cs="Arial"/>
              </w:rPr>
              <w:t>].</w:t>
            </w:r>
            <w:r w:rsidR="004254E7">
              <w:rPr>
                <w:rFonts w:cs="Arial"/>
              </w:rPr>
              <w:t xml:space="preserve"> </w:t>
            </w:r>
            <w:r w:rsidR="003530E9">
              <w:rPr>
                <w:rFonts w:cs="Arial"/>
              </w:rPr>
              <w:t xml:space="preserve">Echinacea </w:t>
            </w:r>
            <w:r w:rsidR="00780E34">
              <w:rPr>
                <w:rFonts w:cs="Arial"/>
              </w:rPr>
              <w:t>purpurea root can inhibit CYP1A2 and selectively modulate CYP3A</w:t>
            </w:r>
            <w:r w:rsidR="00256671">
              <w:rPr>
                <w:rFonts w:cs="Arial"/>
              </w:rPr>
              <w:t xml:space="preserve"> [6]</w:t>
            </w:r>
            <w:r w:rsidR="003530E9">
              <w:rPr>
                <w:rFonts w:cs="Arial"/>
              </w:rPr>
              <w:t>.</w:t>
            </w:r>
            <w:r w:rsidR="00256671">
              <w:rPr>
                <w:rFonts w:cs="Arial"/>
              </w:rPr>
              <w:t xml:space="preserve"> E</w:t>
            </w:r>
            <w:r w:rsidR="00780E34">
              <w:rPr>
                <w:rFonts w:cs="Arial"/>
              </w:rPr>
              <w:t xml:space="preserve">chinacea </w:t>
            </w:r>
            <w:r w:rsidRPr="00C0050A">
              <w:rPr>
                <w:rFonts w:cs="Arial"/>
              </w:rPr>
              <w:t xml:space="preserve">should be used with caution in patients receiving </w:t>
            </w:r>
            <w:r>
              <w:rPr>
                <w:rFonts w:cs="Arial"/>
              </w:rPr>
              <w:t>drugs</w:t>
            </w:r>
            <w:r w:rsidRPr="00C0050A">
              <w:rPr>
                <w:rFonts w:cs="Arial"/>
              </w:rPr>
              <w:t xml:space="preserve"> </w:t>
            </w:r>
            <w:r>
              <w:rPr>
                <w:rFonts w:cs="Arial"/>
              </w:rPr>
              <w:t>which are substrates of</w:t>
            </w:r>
            <w:r w:rsidRPr="00C0050A">
              <w:rPr>
                <w:rFonts w:cs="Arial"/>
              </w:rPr>
              <w:t xml:space="preserve"> CYP</w:t>
            </w:r>
            <w:r>
              <w:rPr>
                <w:rFonts w:cs="Arial"/>
              </w:rPr>
              <w:t>1A2 and CYP3A</w:t>
            </w:r>
            <w:r w:rsidRPr="00C0050A">
              <w:rPr>
                <w:rFonts w:cs="Arial"/>
              </w:rPr>
              <w:t xml:space="preserve"> enzymes</w:t>
            </w:r>
            <w:r w:rsidR="00312D94">
              <w:rPr>
                <w:rFonts w:cs="Arial"/>
              </w:rPr>
              <w:t xml:space="preserve">[14], particularly those </w:t>
            </w:r>
            <w:r w:rsidR="00312D94" w:rsidRPr="00C0050A">
              <w:rPr>
                <w:rFonts w:cs="Arial"/>
              </w:rPr>
              <w:t>with a narrow therapeutic range</w:t>
            </w:r>
            <w:r w:rsidRPr="00C0050A">
              <w:rPr>
                <w:rFonts w:cs="Arial"/>
              </w:rPr>
              <w:t xml:space="preserve"> [</w:t>
            </w:r>
            <w:r>
              <w:rPr>
                <w:rFonts w:cs="Arial"/>
              </w:rPr>
              <w:t>6</w:t>
            </w:r>
            <w:r w:rsidRPr="00C0050A">
              <w:rPr>
                <w:rFonts w:cs="Arial"/>
              </w:rPr>
              <w:t>].</w:t>
            </w:r>
            <w:r>
              <w:rPr>
                <w:rFonts w:cs="Arial"/>
              </w:rPr>
              <w:t xml:space="preserve"> </w:t>
            </w:r>
          </w:p>
          <w:p w14:paraId="133F79A0" w14:textId="77777777" w:rsidR="00AA6169" w:rsidRPr="00DB470A" w:rsidRDefault="00AA6169" w:rsidP="003530E9">
            <w:pPr>
              <w:spacing w:before="40" w:after="40"/>
              <w:rPr>
                <w:rFonts w:cs="Arial"/>
              </w:rPr>
            </w:pPr>
            <w:r>
              <w:rPr>
                <w:rFonts w:cs="Arial"/>
              </w:rPr>
              <w:t>Echinacea purpurea can also inhibit P-gp activity</w:t>
            </w:r>
            <w:r w:rsidR="00DB470A">
              <w:rPr>
                <w:rFonts w:cs="Arial"/>
              </w:rPr>
              <w:t xml:space="preserve"> [1]</w:t>
            </w:r>
            <w:r>
              <w:rPr>
                <w:rFonts w:cs="Arial"/>
              </w:rPr>
              <w:t xml:space="preserve">. </w:t>
            </w:r>
          </w:p>
        </w:tc>
      </w:tr>
    </w:tbl>
    <w:p w14:paraId="27B4B21D" w14:textId="77777777" w:rsidR="00DB45CD" w:rsidRDefault="00DB45CD"/>
    <w:p w14:paraId="5A21C36C" w14:textId="77777777" w:rsidR="00DB45CD" w:rsidRDefault="00DB45CD"/>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AA6169" w:rsidRPr="00FB5CFC" w14:paraId="726BB345" w14:textId="77777777" w:rsidTr="00515D43">
        <w:tc>
          <w:tcPr>
            <w:tcW w:w="9271" w:type="dxa"/>
            <w:shd w:val="clear" w:color="auto" w:fill="auto"/>
            <w:tcMar>
              <w:left w:w="57" w:type="dxa"/>
              <w:right w:w="28" w:type="dxa"/>
            </w:tcMar>
          </w:tcPr>
          <w:p w14:paraId="5C52EB9C" w14:textId="77777777" w:rsidR="00AA6169" w:rsidRPr="00E0387C" w:rsidRDefault="00AA6169" w:rsidP="00205C9C">
            <w:pPr>
              <w:spacing w:before="40" w:after="40"/>
              <w:rPr>
                <w:rFonts w:cs="Arial"/>
                <w:b/>
              </w:rPr>
            </w:pPr>
            <w:r w:rsidRPr="00E0387C">
              <w:rPr>
                <w:rFonts w:cs="Arial"/>
                <w:b/>
              </w:rPr>
              <w:lastRenderedPageBreak/>
              <w:t>Evening Primrose Oil:</w:t>
            </w:r>
          </w:p>
          <w:p w14:paraId="7425B6A8" w14:textId="77777777" w:rsidR="009B4F66" w:rsidRDefault="009B4F66" w:rsidP="00EB085A">
            <w:pPr>
              <w:spacing w:before="40" w:after="40"/>
              <w:rPr>
                <w:rFonts w:cs="Arial"/>
              </w:rPr>
            </w:pPr>
            <w:r>
              <w:rPr>
                <w:rFonts w:cs="Arial"/>
              </w:rPr>
              <w:t xml:space="preserve">In </w:t>
            </w:r>
            <w:r w:rsidRPr="009B4F66">
              <w:rPr>
                <w:rFonts w:cs="Arial"/>
                <w:i/>
              </w:rPr>
              <w:t>in vitro</w:t>
            </w:r>
            <w:r>
              <w:rPr>
                <w:rFonts w:cs="Arial"/>
              </w:rPr>
              <w:t xml:space="preserve"> experiments,</w:t>
            </w:r>
            <w:r w:rsidRPr="009B4F66">
              <w:rPr>
                <w:rFonts w:cs="Arial"/>
              </w:rPr>
              <w:t xml:space="preserve"> cis-linoleic acid, was found to be a modest inhibitor of the cytochrome P450 isoenzyme CYP2C9 (but this is not expected to result in clinically relevant e</w:t>
            </w:r>
            <w:r w:rsidR="00F552DE">
              <w:rPr>
                <w:rFonts w:cs="Arial"/>
              </w:rPr>
              <w:t>ffects on drug metabolism)</w:t>
            </w:r>
            <w:r w:rsidRPr="009B4F66">
              <w:rPr>
                <w:rFonts w:cs="Arial"/>
              </w:rPr>
              <w:t xml:space="preserve"> and a modest to minor inhibitor of, in order of potency, CYP1A2, CYP2C19, CYP3A4, and CYP2D6</w:t>
            </w:r>
            <w:r>
              <w:rPr>
                <w:rFonts w:cs="Arial"/>
              </w:rPr>
              <w:t xml:space="preserve"> [1</w:t>
            </w:r>
            <w:r w:rsidR="00854A60">
              <w:rPr>
                <w:rFonts w:cs="Arial"/>
              </w:rPr>
              <w:t>5</w:t>
            </w:r>
            <w:r>
              <w:rPr>
                <w:rFonts w:cs="Arial"/>
              </w:rPr>
              <w:t>].</w:t>
            </w:r>
          </w:p>
          <w:p w14:paraId="65DD35F4" w14:textId="77777777" w:rsidR="00AA6169" w:rsidRPr="00CB2535" w:rsidRDefault="00AA6169" w:rsidP="00772964">
            <w:pPr>
              <w:spacing w:before="40" w:after="40"/>
              <w:rPr>
                <w:rFonts w:cs="Arial"/>
              </w:rPr>
            </w:pPr>
            <w:r w:rsidRPr="00E0387C">
              <w:rPr>
                <w:rFonts w:cs="Arial"/>
              </w:rPr>
              <w:t xml:space="preserve">Evening </w:t>
            </w:r>
            <w:r w:rsidRPr="00BA3605">
              <w:rPr>
                <w:rFonts w:cs="Arial"/>
              </w:rPr>
              <w:t>primrose oil can inhibit platelet aggregation and increase bleeding time. It has been suggested that it may have additive effects with other antiplatelet drugs, but evidence of this is lacking [</w:t>
            </w:r>
            <w:r w:rsidR="00C50384">
              <w:rPr>
                <w:rFonts w:cs="Arial"/>
              </w:rPr>
              <w:t>1</w:t>
            </w:r>
            <w:r w:rsidR="00416C64">
              <w:rPr>
                <w:rFonts w:cs="Arial"/>
              </w:rPr>
              <w:t>5</w:t>
            </w:r>
            <w:r w:rsidRPr="00BA3605">
              <w:rPr>
                <w:rFonts w:cs="Arial"/>
              </w:rPr>
              <w:t>].</w:t>
            </w:r>
            <w:r>
              <w:rPr>
                <w:rFonts w:cs="Arial"/>
              </w:rPr>
              <w:t xml:space="preserve"> </w:t>
            </w:r>
          </w:p>
        </w:tc>
      </w:tr>
      <w:tr w:rsidR="00AA6169" w:rsidRPr="00FB5CFC" w14:paraId="15B5D88E" w14:textId="77777777" w:rsidTr="00515D43">
        <w:trPr>
          <w:trHeight w:val="3711"/>
        </w:trPr>
        <w:tc>
          <w:tcPr>
            <w:tcW w:w="9271" w:type="dxa"/>
            <w:shd w:val="clear" w:color="auto" w:fill="auto"/>
            <w:tcMar>
              <w:left w:w="57" w:type="dxa"/>
              <w:right w:w="28" w:type="dxa"/>
            </w:tcMar>
          </w:tcPr>
          <w:p w14:paraId="28C951E8" w14:textId="77777777" w:rsidR="00AA6169" w:rsidRDefault="00AA6169" w:rsidP="00205C9C">
            <w:pPr>
              <w:spacing w:before="40" w:after="40"/>
              <w:rPr>
                <w:rFonts w:cs="Arial"/>
                <w:b/>
              </w:rPr>
            </w:pPr>
            <w:r w:rsidRPr="00FB5CFC">
              <w:rPr>
                <w:rFonts w:cs="Arial"/>
                <w:b/>
              </w:rPr>
              <w:t>Garlic:</w:t>
            </w:r>
          </w:p>
          <w:p w14:paraId="4E58043A" w14:textId="77777777" w:rsidR="00905F92" w:rsidRDefault="00905F92" w:rsidP="00AA6169">
            <w:pPr>
              <w:spacing w:before="40" w:after="40"/>
              <w:rPr>
                <w:rFonts w:cs="Arial"/>
              </w:rPr>
            </w:pPr>
            <w:r w:rsidRPr="00905F92">
              <w:rPr>
                <w:rFonts w:cs="Arial"/>
              </w:rPr>
              <w:t xml:space="preserve">The information is inconsistent, but some sources state that garlic can </w:t>
            </w:r>
            <w:r w:rsidR="009B4F66">
              <w:rPr>
                <w:rFonts w:cs="Arial"/>
              </w:rPr>
              <w:t>affect</w:t>
            </w:r>
            <w:r w:rsidR="009B4F66" w:rsidRPr="00905F92">
              <w:rPr>
                <w:rFonts w:cs="Arial"/>
              </w:rPr>
              <w:t xml:space="preserve"> </w:t>
            </w:r>
            <w:r w:rsidRPr="00905F92">
              <w:rPr>
                <w:rFonts w:cs="Arial"/>
              </w:rPr>
              <w:t>CYP 2C9, 2C19, 2E1</w:t>
            </w:r>
            <w:r w:rsidR="009B4F66">
              <w:rPr>
                <w:rFonts w:cs="Arial"/>
              </w:rPr>
              <w:t>, 2A6, 1A2, 2D6</w:t>
            </w:r>
            <w:r w:rsidR="00ED6968">
              <w:rPr>
                <w:rFonts w:cs="Arial"/>
              </w:rPr>
              <w:t>, 2E1</w:t>
            </w:r>
            <w:r w:rsidRPr="00905F92">
              <w:rPr>
                <w:rFonts w:cs="Arial"/>
              </w:rPr>
              <w:t xml:space="preserve"> and 3A4 [1,14</w:t>
            </w:r>
            <w:r w:rsidR="00755386">
              <w:rPr>
                <w:rFonts w:cs="Arial"/>
              </w:rPr>
              <w:t>,1</w:t>
            </w:r>
            <w:r w:rsidR="004E36F0">
              <w:rPr>
                <w:rFonts w:cs="Arial"/>
              </w:rPr>
              <w:t>5</w:t>
            </w:r>
            <w:r w:rsidRPr="00905F92">
              <w:rPr>
                <w:rFonts w:cs="Arial"/>
              </w:rPr>
              <w:t xml:space="preserve">]. </w:t>
            </w:r>
            <w:r w:rsidR="009C1138">
              <w:rPr>
                <w:rFonts w:cs="Arial"/>
              </w:rPr>
              <w:t>Additionally, garlic</w:t>
            </w:r>
            <w:r w:rsidRPr="00905F92">
              <w:rPr>
                <w:rFonts w:cs="Arial"/>
              </w:rPr>
              <w:t xml:space="preserve"> may induce P-gp [14]. </w:t>
            </w:r>
            <w:r>
              <w:rPr>
                <w:rFonts w:cs="Arial"/>
              </w:rPr>
              <w:t>Until further data are available, c</w:t>
            </w:r>
            <w:r w:rsidRPr="00905F92">
              <w:rPr>
                <w:rFonts w:cs="Arial"/>
              </w:rPr>
              <w:t>aution is advised if garlic is taken concomitantly with substrates of CYP2E1, CYP3A4 or P-gp [1]</w:t>
            </w:r>
            <w:r w:rsidR="0026330F">
              <w:rPr>
                <w:rFonts w:cs="Arial"/>
              </w:rPr>
              <w:t>.</w:t>
            </w:r>
          </w:p>
          <w:p w14:paraId="21A701D5" w14:textId="77777777" w:rsidR="0093077B" w:rsidRDefault="00F552DE" w:rsidP="00905F92">
            <w:pPr>
              <w:spacing w:before="40" w:after="40"/>
              <w:rPr>
                <w:rFonts w:cs="Arial"/>
              </w:rPr>
            </w:pPr>
            <w:r>
              <w:rPr>
                <w:rFonts w:cs="Arial"/>
              </w:rPr>
              <w:t xml:space="preserve">Garlic may have antiplatelet properties. </w:t>
            </w:r>
            <w:r w:rsidR="002547AB">
              <w:rPr>
                <w:rFonts w:cs="Arial"/>
              </w:rPr>
              <w:t>Garlic supplements alone have rarely been associated with bleeding. A</w:t>
            </w:r>
            <w:r w:rsidR="0046474E">
              <w:rPr>
                <w:rFonts w:cs="Arial"/>
              </w:rPr>
              <w:t xml:space="preserve">lthough there appear to be no clinical reports of an adverse interaction between garlic and </w:t>
            </w:r>
            <w:r w:rsidR="00694B44">
              <w:rPr>
                <w:rFonts w:cs="Arial"/>
              </w:rPr>
              <w:t xml:space="preserve">antiplatelet drugs, </w:t>
            </w:r>
            <w:r w:rsidR="0046474E">
              <w:rPr>
                <w:rFonts w:cs="Arial"/>
              </w:rPr>
              <w:t>the potential for an increase in the severity of bleeding if garlic is</w:t>
            </w:r>
            <w:r w:rsidR="00E54318">
              <w:rPr>
                <w:rFonts w:cs="Arial"/>
              </w:rPr>
              <w:t xml:space="preserve"> </w:t>
            </w:r>
            <w:r w:rsidR="0046474E">
              <w:rPr>
                <w:rFonts w:cs="Arial"/>
              </w:rPr>
              <w:t>given with anticoagulants</w:t>
            </w:r>
            <w:r w:rsidR="005029E0">
              <w:rPr>
                <w:rFonts w:cs="Arial"/>
              </w:rPr>
              <w:t xml:space="preserve"> should be considered</w:t>
            </w:r>
            <w:r w:rsidR="005E3290">
              <w:rPr>
                <w:rFonts w:cs="Arial"/>
              </w:rPr>
              <w:t xml:space="preserve"> </w:t>
            </w:r>
            <w:r w:rsidR="00905F92" w:rsidRPr="00905F92">
              <w:rPr>
                <w:rFonts w:cs="Arial"/>
              </w:rPr>
              <w:t>[</w:t>
            </w:r>
            <w:r w:rsidR="00E54318">
              <w:rPr>
                <w:rFonts w:cs="Arial"/>
              </w:rPr>
              <w:t>1</w:t>
            </w:r>
            <w:r w:rsidR="004E36F0">
              <w:rPr>
                <w:rFonts w:cs="Arial"/>
              </w:rPr>
              <w:t>5</w:t>
            </w:r>
            <w:r w:rsidR="00703065" w:rsidRPr="00905F92">
              <w:rPr>
                <w:rFonts w:cs="Arial"/>
              </w:rPr>
              <w:t>]</w:t>
            </w:r>
            <w:r w:rsidR="00703065">
              <w:rPr>
                <w:rFonts w:cs="Arial"/>
              </w:rPr>
              <w:t>.</w:t>
            </w:r>
            <w:r w:rsidR="005029E0">
              <w:rPr>
                <w:rFonts w:cs="Arial"/>
              </w:rPr>
              <w:t xml:space="preserve"> Concomitant use of garlic with anticoagulants is not recommended, but if the combination is used, bleeding time and signs and symptoms of excessive bleeding should be monitored</w:t>
            </w:r>
            <w:r w:rsidR="008F46F5">
              <w:rPr>
                <w:rFonts w:cs="Arial"/>
              </w:rPr>
              <w:t xml:space="preserve"> </w:t>
            </w:r>
            <w:r w:rsidR="00144622">
              <w:rPr>
                <w:rFonts w:cs="Arial"/>
              </w:rPr>
              <w:t>[7]</w:t>
            </w:r>
            <w:r w:rsidR="00905F92" w:rsidRPr="00905F92">
              <w:rPr>
                <w:rFonts w:cs="Arial"/>
              </w:rPr>
              <w:t>.</w:t>
            </w:r>
            <w:r w:rsidR="0093077B">
              <w:rPr>
                <w:rFonts w:cs="Arial"/>
              </w:rPr>
              <w:t xml:space="preserve"> </w:t>
            </w:r>
            <w:r w:rsidR="0093077B" w:rsidRPr="00905F92">
              <w:rPr>
                <w:rFonts w:cs="Arial"/>
              </w:rPr>
              <w:t>The effect of garlic</w:t>
            </w:r>
            <w:r w:rsidR="002E2E34">
              <w:rPr>
                <w:rFonts w:cs="Arial"/>
              </w:rPr>
              <w:t xml:space="preserve"> supplements</w:t>
            </w:r>
            <w:r w:rsidR="0093077B" w:rsidRPr="00905F92">
              <w:rPr>
                <w:rFonts w:cs="Arial"/>
              </w:rPr>
              <w:t xml:space="preserve"> on CYP isoenzymes and platelet aggregation depends on the dosage and product </w:t>
            </w:r>
            <w:r w:rsidR="002E2E34">
              <w:rPr>
                <w:rFonts w:cs="Arial"/>
              </w:rPr>
              <w:t xml:space="preserve">composition </w:t>
            </w:r>
            <w:r w:rsidR="0093077B" w:rsidRPr="00905F92">
              <w:rPr>
                <w:rFonts w:cs="Arial"/>
              </w:rPr>
              <w:t>[1]</w:t>
            </w:r>
            <w:r w:rsidR="0093077B">
              <w:rPr>
                <w:rFonts w:cs="Arial"/>
              </w:rPr>
              <w:t>.</w:t>
            </w:r>
          </w:p>
          <w:p w14:paraId="1EFE1D46" w14:textId="77777777" w:rsidR="0046474E" w:rsidRPr="006F39D5" w:rsidRDefault="00EE34F7" w:rsidP="0093077B">
            <w:pPr>
              <w:spacing w:before="40" w:after="40"/>
              <w:rPr>
                <w:rFonts w:cs="Arial"/>
                <w:color w:val="000000"/>
              </w:rPr>
            </w:pPr>
            <w:r>
              <w:rPr>
                <w:rFonts w:cs="Arial"/>
              </w:rPr>
              <w:t>Regular ingestion of food products containing small amounts of garlic should not pose a problem</w:t>
            </w:r>
            <w:r w:rsidR="00905F92" w:rsidRPr="00905F92">
              <w:rPr>
                <w:rFonts w:cs="Arial"/>
              </w:rPr>
              <w:t xml:space="preserve"> [</w:t>
            </w:r>
            <w:r w:rsidR="00E54318">
              <w:rPr>
                <w:rFonts w:cs="Arial"/>
              </w:rPr>
              <w:t>7</w:t>
            </w:r>
            <w:r w:rsidR="00905F92" w:rsidRPr="00905F92">
              <w:rPr>
                <w:rFonts w:cs="Arial"/>
              </w:rPr>
              <w:t>].</w:t>
            </w:r>
          </w:p>
        </w:tc>
      </w:tr>
      <w:tr w:rsidR="00AA6169" w:rsidRPr="00FB5CFC" w14:paraId="7F7B42D6" w14:textId="77777777" w:rsidTr="00515D43">
        <w:tc>
          <w:tcPr>
            <w:tcW w:w="9271" w:type="dxa"/>
            <w:shd w:val="clear" w:color="auto" w:fill="auto"/>
            <w:tcMar>
              <w:left w:w="57" w:type="dxa"/>
              <w:right w:w="28" w:type="dxa"/>
            </w:tcMar>
          </w:tcPr>
          <w:p w14:paraId="7C41760E" w14:textId="77777777" w:rsidR="00AA6169" w:rsidRDefault="00560619" w:rsidP="00205C9C">
            <w:pPr>
              <w:spacing w:before="40" w:after="40"/>
              <w:rPr>
                <w:rFonts w:cs="Arial"/>
                <w:b/>
              </w:rPr>
            </w:pPr>
            <w:r w:rsidRPr="00FB5CFC">
              <w:rPr>
                <w:rFonts w:cs="Arial"/>
                <w:b/>
              </w:rPr>
              <w:t>Gin</w:t>
            </w:r>
            <w:r>
              <w:rPr>
                <w:rFonts w:cs="Arial"/>
                <w:b/>
              </w:rPr>
              <w:t>kg</w:t>
            </w:r>
            <w:r w:rsidRPr="00FB5CFC">
              <w:rPr>
                <w:rFonts w:cs="Arial"/>
                <w:b/>
              </w:rPr>
              <w:t>o</w:t>
            </w:r>
            <w:r w:rsidR="00AA6169" w:rsidRPr="00FB5CFC">
              <w:rPr>
                <w:rFonts w:cs="Arial"/>
                <w:b/>
              </w:rPr>
              <w:t>:</w:t>
            </w:r>
          </w:p>
          <w:p w14:paraId="765AF94F" w14:textId="77777777" w:rsidR="00001060" w:rsidRDefault="00C7090E" w:rsidP="00205C9C">
            <w:pPr>
              <w:spacing w:before="40" w:after="40"/>
              <w:rPr>
                <w:rFonts w:cs="Arial"/>
              </w:rPr>
            </w:pPr>
            <w:r>
              <w:rPr>
                <w:rFonts w:cs="Arial"/>
              </w:rPr>
              <w:t>Studies show that ginkgo can inhibit and induce the CYP450 1A2, 2D6 and 3A4 enzymes but data are conflicting [14].</w:t>
            </w:r>
            <w:r w:rsidR="00001060" w:rsidRPr="00001060">
              <w:rPr>
                <w:rFonts w:cs="Arial"/>
              </w:rPr>
              <w:t>Ginkgo inhibits P-g</w:t>
            </w:r>
            <w:r w:rsidR="00335ED1">
              <w:rPr>
                <w:rFonts w:cs="Arial"/>
              </w:rPr>
              <w:t>p</w:t>
            </w:r>
            <w:r w:rsidR="00001060" w:rsidRPr="00001060">
              <w:rPr>
                <w:rFonts w:cs="Arial"/>
              </w:rPr>
              <w:t xml:space="preserve"> and can therefore interfere with drugs that are transported by P-g</w:t>
            </w:r>
            <w:r w:rsidR="00335ED1">
              <w:rPr>
                <w:rFonts w:cs="Arial"/>
              </w:rPr>
              <w:t>p</w:t>
            </w:r>
            <w:r w:rsidR="00001060">
              <w:rPr>
                <w:rFonts w:cs="Arial"/>
              </w:rPr>
              <w:t xml:space="preserve"> [14].</w:t>
            </w:r>
          </w:p>
          <w:p w14:paraId="1B1B4037" w14:textId="77777777" w:rsidR="00AA6169" w:rsidRPr="00FB5CFC" w:rsidRDefault="003C0F9D" w:rsidP="00322EFC">
            <w:pPr>
              <w:spacing w:before="40" w:after="40"/>
              <w:rPr>
                <w:rFonts w:cs="Arial"/>
                <w:color w:val="000000"/>
              </w:rPr>
            </w:pPr>
            <w:r>
              <w:rPr>
                <w:rFonts w:cs="Arial"/>
              </w:rPr>
              <w:t>Cases of subarachnoid haemorrhage, subdural haematoma, intracerebral haemorrhage, subph</w:t>
            </w:r>
            <w:r w:rsidR="00BB5341">
              <w:rPr>
                <w:rFonts w:cs="Arial"/>
              </w:rPr>
              <w:t>r</w:t>
            </w:r>
            <w:r>
              <w:rPr>
                <w:rFonts w:cs="Arial"/>
              </w:rPr>
              <w:t xml:space="preserve">enic haematoma, vitreous haemorrhage and postoperative bleeding have been reported in patients taking ginkgo alone. Since patients taking medications that affect platelet aggregation or blood coagulation may be at increased risk of serious bleeding disorders, concomitant use of ginkgo and anticoagulants </w:t>
            </w:r>
            <w:r w:rsidR="00397BE7">
              <w:rPr>
                <w:rFonts w:cs="Arial"/>
              </w:rPr>
              <w:t>should be avoided</w:t>
            </w:r>
            <w:r>
              <w:rPr>
                <w:rFonts w:cs="Arial"/>
              </w:rPr>
              <w:t xml:space="preserve"> </w:t>
            </w:r>
            <w:r w:rsidR="004F65A6">
              <w:rPr>
                <w:rFonts w:cs="Arial"/>
              </w:rPr>
              <w:t>[</w:t>
            </w:r>
            <w:r w:rsidR="00322EFC">
              <w:rPr>
                <w:rFonts w:cs="Arial"/>
              </w:rPr>
              <w:t>7</w:t>
            </w:r>
            <w:r w:rsidR="004F65A6">
              <w:rPr>
                <w:rFonts w:cs="Arial"/>
              </w:rPr>
              <w:t>]</w:t>
            </w:r>
            <w:r w:rsidR="00274E15">
              <w:rPr>
                <w:rFonts w:cs="Arial"/>
              </w:rPr>
              <w:t>.</w:t>
            </w:r>
          </w:p>
        </w:tc>
      </w:tr>
      <w:tr w:rsidR="00AA6169" w:rsidRPr="00FB5CFC" w14:paraId="4ED609AB" w14:textId="77777777" w:rsidTr="00515D43">
        <w:tc>
          <w:tcPr>
            <w:tcW w:w="9271" w:type="dxa"/>
            <w:shd w:val="clear" w:color="auto" w:fill="auto"/>
            <w:tcMar>
              <w:left w:w="57" w:type="dxa"/>
              <w:right w:w="28" w:type="dxa"/>
            </w:tcMar>
          </w:tcPr>
          <w:p w14:paraId="36C0092C" w14:textId="77777777" w:rsidR="00AA6169" w:rsidRPr="00FB5CFC" w:rsidRDefault="00AA6169" w:rsidP="00205C9C">
            <w:pPr>
              <w:spacing w:before="40" w:after="40"/>
              <w:rPr>
                <w:rFonts w:cs="Arial"/>
                <w:b/>
              </w:rPr>
            </w:pPr>
            <w:r w:rsidRPr="00FB5CFC">
              <w:rPr>
                <w:rFonts w:cs="Arial"/>
                <w:b/>
              </w:rPr>
              <w:t>Ginseng, Panax:</w:t>
            </w:r>
          </w:p>
          <w:p w14:paraId="002CB986" w14:textId="0868F779" w:rsidR="00AA6169" w:rsidRPr="00FB5CFC" w:rsidRDefault="00A764E8" w:rsidP="00CE3B01">
            <w:pPr>
              <w:spacing w:before="40" w:after="40"/>
              <w:rPr>
                <w:rFonts w:cs="Arial"/>
                <w:b/>
              </w:rPr>
            </w:pPr>
            <w:r>
              <w:rPr>
                <w:rFonts w:cs="Arial"/>
              </w:rPr>
              <w:t xml:space="preserve">Ginseng inhibited the metabolism of nifedipine, a CYP3A4 substrate in a clinical trial. Other drugs metabolised by CYP3A4 may be similarly affected [7]. </w:t>
            </w:r>
            <w:r w:rsidR="00AA6169">
              <w:rPr>
                <w:rFonts w:cs="Arial"/>
              </w:rPr>
              <w:t>Certain ginsenosides can induce CYP3A4 and may increase the clearance of substrate drugs</w:t>
            </w:r>
            <w:r w:rsidR="00DC1256">
              <w:rPr>
                <w:rFonts w:cs="Arial"/>
              </w:rPr>
              <w:t>, although the effect in humans may not be clinically significant</w:t>
            </w:r>
            <w:r w:rsidR="00AA6169">
              <w:rPr>
                <w:rFonts w:cs="Arial"/>
              </w:rPr>
              <w:t xml:space="preserve"> [14]. </w:t>
            </w:r>
            <w:r w:rsidR="00CE3B01">
              <w:rPr>
                <w:rFonts w:cs="Arial"/>
              </w:rPr>
              <w:t>As ginseng contains antiplatelet components, ex</w:t>
            </w:r>
            <w:r w:rsidR="006E2E34">
              <w:rPr>
                <w:rFonts w:cs="Arial"/>
              </w:rPr>
              <w:t>cessive bleeding cannot be ruled</w:t>
            </w:r>
            <w:bookmarkStart w:id="0" w:name="_GoBack"/>
            <w:bookmarkEnd w:id="0"/>
            <w:r w:rsidR="00CE3B01">
              <w:rPr>
                <w:rFonts w:cs="Arial"/>
              </w:rPr>
              <w:t xml:space="preserve"> out [1</w:t>
            </w:r>
            <w:r w:rsidR="000308AF">
              <w:rPr>
                <w:rFonts w:cs="Arial"/>
              </w:rPr>
              <w:t>5</w:t>
            </w:r>
            <w:r w:rsidR="00CE3B01">
              <w:rPr>
                <w:rFonts w:cs="Arial"/>
              </w:rPr>
              <w:t xml:space="preserve">]. </w:t>
            </w:r>
            <w:r w:rsidR="00AE6D3B">
              <w:rPr>
                <w:rFonts w:cs="Arial"/>
              </w:rPr>
              <w:t>There is a case report of p</w:t>
            </w:r>
            <w:r w:rsidR="00AE6D3B" w:rsidRPr="00AE6D3B">
              <w:rPr>
                <w:rFonts w:cs="Arial"/>
              </w:rPr>
              <w:t>erioperative bleeding due to severe coagulopathy induced by high oral intake of ginseng before surger</w:t>
            </w:r>
            <w:r w:rsidR="00AE6D3B">
              <w:rPr>
                <w:rFonts w:cs="Arial"/>
              </w:rPr>
              <w:t xml:space="preserve">y [14]. </w:t>
            </w:r>
            <w:r w:rsidR="00AA6169">
              <w:rPr>
                <w:rFonts w:cs="Arial"/>
              </w:rPr>
              <w:t xml:space="preserve">Potential pharmacodynamic interactions </w:t>
            </w:r>
            <w:r w:rsidR="00A344B6">
              <w:rPr>
                <w:rFonts w:cs="Arial"/>
              </w:rPr>
              <w:t xml:space="preserve">have been reported </w:t>
            </w:r>
            <w:r w:rsidR="00AA6169">
              <w:rPr>
                <w:rFonts w:cs="Arial"/>
              </w:rPr>
              <w:t>with antiplatelet/anticoagulant drugs [1].</w:t>
            </w:r>
            <w:r w:rsidR="00273F43">
              <w:rPr>
                <w:rFonts w:cs="Arial"/>
              </w:rPr>
              <w:t xml:space="preserve"> The combination of ginseng with anticoagulants should be avoided if possible [7].</w:t>
            </w:r>
            <w:r w:rsidR="00AA6169">
              <w:rPr>
                <w:rFonts w:cs="Arial"/>
              </w:rPr>
              <w:t xml:space="preserve"> </w:t>
            </w:r>
          </w:p>
        </w:tc>
      </w:tr>
      <w:tr w:rsidR="00AA6169" w:rsidRPr="00FB5CFC" w14:paraId="169EFDFD" w14:textId="77777777" w:rsidTr="00515D43">
        <w:tc>
          <w:tcPr>
            <w:tcW w:w="9271" w:type="dxa"/>
            <w:shd w:val="clear" w:color="auto" w:fill="auto"/>
            <w:tcMar>
              <w:left w:w="57" w:type="dxa"/>
              <w:right w:w="28" w:type="dxa"/>
            </w:tcMar>
          </w:tcPr>
          <w:p w14:paraId="043DC39C" w14:textId="77777777" w:rsidR="00AA6169" w:rsidRPr="00FB5CFC" w:rsidRDefault="00AA6169" w:rsidP="00205C9C">
            <w:pPr>
              <w:spacing w:before="40" w:after="40"/>
              <w:rPr>
                <w:rFonts w:cs="Arial"/>
                <w:b/>
              </w:rPr>
            </w:pPr>
            <w:r>
              <w:rPr>
                <w:rFonts w:cs="Arial"/>
                <w:b/>
              </w:rPr>
              <w:t xml:space="preserve">Ginseng, </w:t>
            </w:r>
            <w:r w:rsidRPr="00FB5CFC">
              <w:rPr>
                <w:rFonts w:cs="Arial"/>
                <w:b/>
              </w:rPr>
              <w:t>Siberian:</w:t>
            </w:r>
          </w:p>
          <w:p w14:paraId="5085FB68" w14:textId="77777777" w:rsidR="00B73723" w:rsidRDefault="006A2901" w:rsidP="00205C9C">
            <w:pPr>
              <w:spacing w:before="40" w:after="40"/>
              <w:rPr>
                <w:rFonts w:cs="Arial"/>
              </w:rPr>
            </w:pPr>
            <w:r>
              <w:rPr>
                <w:rFonts w:cs="Arial"/>
              </w:rPr>
              <w:t>Eleutherosides B and E may inhibit CYP2C9 and CYP2E1 which can affect the intracellular concentration of drugs metabolised by these enzymes [14].</w:t>
            </w:r>
            <w:r w:rsidR="00E76189">
              <w:rPr>
                <w:rFonts w:cs="Arial"/>
              </w:rPr>
              <w:t xml:space="preserve"> Clinical studies have shown that Siberian ginseng may have weak inhibitory effects on CYP3A4 and CYP2D6 [15].</w:t>
            </w:r>
            <w:r w:rsidR="00515D43">
              <w:rPr>
                <w:rFonts w:cs="Arial"/>
              </w:rPr>
              <w:t xml:space="preserve"> </w:t>
            </w:r>
            <w:r w:rsidR="00B73723">
              <w:rPr>
                <w:rFonts w:cs="Arial"/>
              </w:rPr>
              <w:t>Siberian ginseng may affect P-gp</w:t>
            </w:r>
            <w:r w:rsidR="00AD3F38">
              <w:rPr>
                <w:rFonts w:cs="Arial"/>
              </w:rPr>
              <w:t>, possibly</w:t>
            </w:r>
            <w:r w:rsidR="00AD3F38" w:rsidRPr="00AD3F38">
              <w:rPr>
                <w:rFonts w:cs="Arial"/>
              </w:rPr>
              <w:t xml:space="preserve"> </w:t>
            </w:r>
            <w:r w:rsidR="00AD3F38">
              <w:rPr>
                <w:rFonts w:cs="Arial"/>
              </w:rPr>
              <w:t>affecting</w:t>
            </w:r>
            <w:r w:rsidR="00AD3F38" w:rsidRPr="00AD3F38">
              <w:rPr>
                <w:rFonts w:cs="Arial"/>
              </w:rPr>
              <w:t xml:space="preserve"> levels of drugs </w:t>
            </w:r>
            <w:r w:rsidR="00AD3F38">
              <w:rPr>
                <w:rFonts w:cs="Arial"/>
              </w:rPr>
              <w:t>transported</w:t>
            </w:r>
            <w:r w:rsidR="00AD3F38" w:rsidRPr="00AD3F38">
              <w:rPr>
                <w:rFonts w:cs="Arial"/>
              </w:rPr>
              <w:t xml:space="preserve"> by P-gp</w:t>
            </w:r>
            <w:r w:rsidR="00AD3F38">
              <w:rPr>
                <w:rFonts w:cs="Arial"/>
              </w:rPr>
              <w:t xml:space="preserve">. </w:t>
            </w:r>
            <w:r w:rsidR="007B5EC3">
              <w:rPr>
                <w:rFonts w:cs="Arial"/>
              </w:rPr>
              <w:t xml:space="preserve"> </w:t>
            </w:r>
            <w:r w:rsidR="00854A60">
              <w:rPr>
                <w:rFonts w:cs="Arial"/>
              </w:rPr>
              <w:t>It is advisable that c</w:t>
            </w:r>
            <w:r w:rsidR="007B5EC3">
              <w:rPr>
                <w:rFonts w:cs="Arial"/>
              </w:rPr>
              <w:t xml:space="preserve">aution should be used </w:t>
            </w:r>
            <w:r w:rsidR="00AD3F38">
              <w:rPr>
                <w:rFonts w:cs="Arial"/>
              </w:rPr>
              <w:t>with this combination</w:t>
            </w:r>
            <w:r w:rsidR="00854A60">
              <w:rPr>
                <w:rFonts w:cs="Arial"/>
              </w:rPr>
              <w:t xml:space="preserve"> [16</w:t>
            </w:r>
            <w:r w:rsidR="00B73723">
              <w:rPr>
                <w:rFonts w:cs="Arial"/>
              </w:rPr>
              <w:t>].</w:t>
            </w:r>
          </w:p>
          <w:p w14:paraId="3F0AA66A" w14:textId="77777777" w:rsidR="00AA6169" w:rsidRPr="00FB5CFC" w:rsidRDefault="00F07951" w:rsidP="00A25089">
            <w:pPr>
              <w:spacing w:before="40" w:after="40"/>
              <w:rPr>
                <w:rFonts w:cs="Arial"/>
                <w:color w:val="000000"/>
              </w:rPr>
            </w:pPr>
            <w:r>
              <w:rPr>
                <w:rFonts w:cs="Arial"/>
              </w:rPr>
              <w:t>Siberian ginseng may increase the risk of bleeding or cause spontaneous haemorrhage. Concomi</w:t>
            </w:r>
            <w:r w:rsidR="007B5EC3">
              <w:rPr>
                <w:rFonts w:cs="Arial"/>
              </w:rPr>
              <w:t>tant use with medicines</w:t>
            </w:r>
            <w:r>
              <w:rPr>
                <w:rFonts w:cs="Arial"/>
              </w:rPr>
              <w:t xml:space="preserve"> </w:t>
            </w:r>
            <w:r w:rsidR="00E76189">
              <w:rPr>
                <w:rFonts w:cs="Arial"/>
              </w:rPr>
              <w:t xml:space="preserve">that affect haemostasis e.g. anticoagulants or antiplatelets </w:t>
            </w:r>
            <w:r>
              <w:rPr>
                <w:rFonts w:cs="Arial"/>
              </w:rPr>
              <w:t>may increase this risk [</w:t>
            </w:r>
            <w:r w:rsidR="00854A60">
              <w:rPr>
                <w:rFonts w:cs="Arial"/>
              </w:rPr>
              <w:t>16</w:t>
            </w:r>
            <w:r>
              <w:rPr>
                <w:rFonts w:cs="Arial"/>
              </w:rPr>
              <w:t>].</w:t>
            </w:r>
          </w:p>
        </w:tc>
      </w:tr>
    </w:tbl>
    <w:p w14:paraId="338F3D5C" w14:textId="77777777" w:rsidR="00A62570" w:rsidRDefault="00A62570"/>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AA6169" w:rsidRPr="00FB5CFC" w14:paraId="11C6C5D7" w14:textId="77777777" w:rsidTr="00515D43">
        <w:tc>
          <w:tcPr>
            <w:tcW w:w="9271" w:type="dxa"/>
            <w:shd w:val="clear" w:color="auto" w:fill="auto"/>
            <w:tcMar>
              <w:left w:w="57" w:type="dxa"/>
              <w:right w:w="28" w:type="dxa"/>
            </w:tcMar>
          </w:tcPr>
          <w:p w14:paraId="6C827F57" w14:textId="77777777" w:rsidR="00AA6169" w:rsidRPr="00907F11" w:rsidRDefault="00AA6169" w:rsidP="00205C9C">
            <w:pPr>
              <w:spacing w:before="40" w:after="40"/>
              <w:rPr>
                <w:rFonts w:cs="Arial"/>
              </w:rPr>
            </w:pPr>
            <w:r w:rsidRPr="00FB5CFC">
              <w:rPr>
                <w:rFonts w:cs="Arial"/>
                <w:b/>
              </w:rPr>
              <w:lastRenderedPageBreak/>
              <w:t>Saw palmetto:</w:t>
            </w:r>
          </w:p>
          <w:p w14:paraId="655C21CB" w14:textId="77777777" w:rsidR="00AA6169" w:rsidRDefault="00AA6169" w:rsidP="00205C9C">
            <w:pPr>
              <w:spacing w:before="40" w:after="40"/>
              <w:rPr>
                <w:rFonts w:cs="Arial"/>
              </w:rPr>
            </w:pPr>
            <w:r>
              <w:rPr>
                <w:rFonts w:cs="Arial"/>
              </w:rPr>
              <w:t xml:space="preserve">One </w:t>
            </w:r>
            <w:r w:rsidRPr="008E0ED2">
              <w:rPr>
                <w:rFonts w:cs="Arial"/>
                <w:i/>
              </w:rPr>
              <w:t>in vitro</w:t>
            </w:r>
            <w:r>
              <w:rPr>
                <w:rFonts w:cs="Arial"/>
              </w:rPr>
              <w:t xml:space="preserve"> study indicated that saw palmetto showed potent inhibition of the activities of CYP3A4, CYP2D6 and CYP2C9 suggesting the potential for drug interactions. However </w:t>
            </w:r>
            <w:r w:rsidR="00A17293">
              <w:rPr>
                <w:rFonts w:cs="Arial"/>
              </w:rPr>
              <w:t xml:space="preserve">a </w:t>
            </w:r>
            <w:r w:rsidR="003363C5">
              <w:rPr>
                <w:rFonts w:cs="Arial"/>
              </w:rPr>
              <w:t xml:space="preserve">small </w:t>
            </w:r>
            <w:r w:rsidR="00A17293">
              <w:rPr>
                <w:rFonts w:cs="Arial"/>
              </w:rPr>
              <w:t xml:space="preserve">study </w:t>
            </w:r>
            <w:r>
              <w:rPr>
                <w:rFonts w:cs="Arial"/>
              </w:rPr>
              <w:t xml:space="preserve">in </w:t>
            </w:r>
            <w:r w:rsidR="00A17293">
              <w:rPr>
                <w:rFonts w:cs="Arial"/>
              </w:rPr>
              <w:t xml:space="preserve">12 </w:t>
            </w:r>
            <w:r w:rsidR="003363C5">
              <w:rPr>
                <w:rFonts w:cs="Arial"/>
              </w:rPr>
              <w:t xml:space="preserve">healthy </w:t>
            </w:r>
            <w:r>
              <w:rPr>
                <w:rFonts w:cs="Arial"/>
              </w:rPr>
              <w:t>humans did not find any significant effects on CYP1A2, CYP2D6, CYP2E1 and CYP3A4 activity [1].</w:t>
            </w:r>
          </w:p>
          <w:p w14:paraId="1A8945E2" w14:textId="77777777" w:rsidR="00E010C5" w:rsidRDefault="008E0ED2" w:rsidP="00205C9C">
            <w:pPr>
              <w:spacing w:before="40" w:after="40"/>
              <w:rPr>
                <w:rFonts w:cs="Arial"/>
              </w:rPr>
            </w:pPr>
            <w:r>
              <w:rPr>
                <w:rFonts w:cs="Arial"/>
              </w:rPr>
              <w:t>There is a case report</w:t>
            </w:r>
            <w:r w:rsidR="00E010C5">
              <w:rPr>
                <w:rFonts w:cs="Arial"/>
              </w:rPr>
              <w:t xml:space="preserve"> of intraoperative haemorrhage, anticoagulant effects and prolonged bleeding time in one patient</w:t>
            </w:r>
            <w:r>
              <w:rPr>
                <w:rFonts w:cs="Arial"/>
              </w:rPr>
              <w:t>,</w:t>
            </w:r>
            <w:r w:rsidR="00E010C5">
              <w:rPr>
                <w:rFonts w:cs="Arial"/>
              </w:rPr>
              <w:t xml:space="preserve"> and haematuria and coagulopathy in another patient who were both taking saw palmetto for benign prostatic hyperplasia [14].</w:t>
            </w:r>
            <w:r w:rsidR="00E010C5">
              <w:t xml:space="preserve"> </w:t>
            </w:r>
            <w:r w:rsidR="00236FA3">
              <w:rPr>
                <w:rFonts w:cs="Arial"/>
              </w:rPr>
              <w:t>S</w:t>
            </w:r>
            <w:r w:rsidR="00E010C5" w:rsidRPr="00E010C5">
              <w:rPr>
                <w:rFonts w:cs="Arial"/>
              </w:rPr>
              <w:t>aw palmetto might increase the risk of bleeding when used concomitantly with anticoagulant or antiplatelet drugs</w:t>
            </w:r>
            <w:r w:rsidR="00236FA3">
              <w:rPr>
                <w:rFonts w:cs="Arial"/>
              </w:rPr>
              <w:t xml:space="preserve"> [14]</w:t>
            </w:r>
            <w:r w:rsidR="00E010C5">
              <w:rPr>
                <w:rFonts w:cs="Arial"/>
              </w:rPr>
              <w:t>.</w:t>
            </w:r>
          </w:p>
          <w:p w14:paraId="1F4AC07A" w14:textId="77777777" w:rsidR="00AA6169" w:rsidRPr="002069A0" w:rsidRDefault="00AA6169" w:rsidP="00A87ADE">
            <w:pPr>
              <w:spacing w:before="40" w:after="40"/>
              <w:rPr>
                <w:rFonts w:cs="Arial"/>
              </w:rPr>
            </w:pPr>
            <w:r>
              <w:rPr>
                <w:rFonts w:cs="Arial"/>
              </w:rPr>
              <w:t xml:space="preserve">There is </w:t>
            </w:r>
            <w:r w:rsidR="00CC53FF">
              <w:rPr>
                <w:rFonts w:cs="Arial"/>
              </w:rPr>
              <w:t xml:space="preserve">also </w:t>
            </w:r>
            <w:r>
              <w:rPr>
                <w:rFonts w:cs="Arial"/>
              </w:rPr>
              <w:t>one case report of isolated hemopericardium associated with rivaroxaban in a patient who was also taking saw palmetto. The concurrent use of this herb may have contributed to the bleed by increasing rivaroxaban activity [</w:t>
            </w:r>
            <w:r w:rsidR="00A87ADE">
              <w:rPr>
                <w:rFonts w:cs="Arial"/>
              </w:rPr>
              <w:t>17</w:t>
            </w:r>
            <w:r>
              <w:rPr>
                <w:rFonts w:cs="Arial"/>
              </w:rPr>
              <w:t>].</w:t>
            </w:r>
          </w:p>
        </w:tc>
      </w:tr>
      <w:tr w:rsidR="00AA6169" w:rsidRPr="00FB5CFC" w14:paraId="777FEECE" w14:textId="77777777" w:rsidTr="00515D43">
        <w:tc>
          <w:tcPr>
            <w:tcW w:w="9271" w:type="dxa"/>
            <w:shd w:val="clear" w:color="auto" w:fill="auto"/>
            <w:tcMar>
              <w:left w:w="57" w:type="dxa"/>
              <w:right w:w="28" w:type="dxa"/>
            </w:tcMar>
          </w:tcPr>
          <w:p w14:paraId="11A08174" w14:textId="77777777" w:rsidR="00AA6169" w:rsidRDefault="00AA6169" w:rsidP="00205C9C">
            <w:pPr>
              <w:spacing w:before="40" w:after="40"/>
              <w:rPr>
                <w:rFonts w:cs="Arial"/>
                <w:b/>
              </w:rPr>
            </w:pPr>
            <w:r w:rsidRPr="00FB5CFC">
              <w:rPr>
                <w:rFonts w:cs="Arial"/>
                <w:b/>
              </w:rPr>
              <w:t>St</w:t>
            </w:r>
            <w:r w:rsidR="00AE0ACC">
              <w:rPr>
                <w:rFonts w:cs="Arial"/>
                <w:b/>
              </w:rPr>
              <w:t>.</w:t>
            </w:r>
            <w:r w:rsidRPr="00FB5CFC">
              <w:rPr>
                <w:rFonts w:cs="Arial"/>
                <w:b/>
              </w:rPr>
              <w:t xml:space="preserve"> John’s </w:t>
            </w:r>
            <w:r>
              <w:rPr>
                <w:rFonts w:cs="Arial"/>
                <w:b/>
              </w:rPr>
              <w:t>w</w:t>
            </w:r>
            <w:r w:rsidRPr="00FB5CFC">
              <w:rPr>
                <w:rFonts w:cs="Arial"/>
                <w:b/>
              </w:rPr>
              <w:t>ort:</w:t>
            </w:r>
          </w:p>
          <w:p w14:paraId="55930965" w14:textId="77777777" w:rsidR="00967CF1" w:rsidRDefault="00AA09C0" w:rsidP="00FF2C66">
            <w:pPr>
              <w:spacing w:before="40" w:after="40"/>
              <w:rPr>
                <w:rFonts w:cs="Arial"/>
              </w:rPr>
            </w:pPr>
            <w:r>
              <w:rPr>
                <w:rFonts w:cs="Arial"/>
              </w:rPr>
              <w:t xml:space="preserve">St John’s </w:t>
            </w:r>
            <w:r w:rsidR="00267419">
              <w:rPr>
                <w:rFonts w:cs="Arial"/>
              </w:rPr>
              <w:t>w</w:t>
            </w:r>
            <w:r w:rsidR="00A15B26">
              <w:rPr>
                <w:rFonts w:cs="Arial"/>
              </w:rPr>
              <w:t>ort</w:t>
            </w:r>
            <w:r w:rsidR="000E5947">
              <w:rPr>
                <w:rFonts w:cs="Arial"/>
              </w:rPr>
              <w:t xml:space="preserve"> is known to affect several CYP450 isoenzymes.</w:t>
            </w:r>
            <w:r w:rsidR="005A1C40">
              <w:rPr>
                <w:rFonts w:cs="Arial"/>
              </w:rPr>
              <w:t xml:space="preserve"> It is thought to exert a biphasic effect</w:t>
            </w:r>
            <w:r w:rsidR="0020439F">
              <w:rPr>
                <w:rFonts w:cs="Arial"/>
              </w:rPr>
              <w:t xml:space="preserve"> on these isoenzymes,</w:t>
            </w:r>
            <w:r w:rsidR="005A1C40">
              <w:rPr>
                <w:rFonts w:cs="Arial"/>
              </w:rPr>
              <w:t xml:space="preserve"> with inhibition occurring with the initial exposure and induction following long term use.</w:t>
            </w:r>
            <w:r w:rsidR="000E5947">
              <w:rPr>
                <w:rFonts w:cs="Arial"/>
              </w:rPr>
              <w:t xml:space="preserve"> The main clinically relevant effect is the induction of CYP3A4. </w:t>
            </w:r>
            <w:r w:rsidR="00A15B26">
              <w:rPr>
                <w:rFonts w:cs="Arial"/>
              </w:rPr>
              <w:t xml:space="preserve">This is related to its </w:t>
            </w:r>
            <w:r w:rsidR="005A1C40">
              <w:rPr>
                <w:rFonts w:cs="Arial"/>
              </w:rPr>
              <w:t>hyperforin content</w:t>
            </w:r>
            <w:r w:rsidR="0020439F">
              <w:rPr>
                <w:rFonts w:cs="Arial"/>
              </w:rPr>
              <w:t xml:space="preserve">. </w:t>
            </w:r>
            <w:r w:rsidR="000E5947">
              <w:rPr>
                <w:rFonts w:cs="Arial"/>
              </w:rPr>
              <w:t>There are some cli</w:t>
            </w:r>
            <w:r w:rsidR="00A15B26">
              <w:rPr>
                <w:rFonts w:cs="Arial"/>
              </w:rPr>
              <w:t xml:space="preserve">nical reports suggesting that </w:t>
            </w:r>
            <w:r>
              <w:rPr>
                <w:rFonts w:cs="Arial"/>
              </w:rPr>
              <w:t xml:space="preserve">St John’s </w:t>
            </w:r>
            <w:r w:rsidR="00267419">
              <w:rPr>
                <w:rFonts w:cs="Arial"/>
              </w:rPr>
              <w:t>w</w:t>
            </w:r>
            <w:r w:rsidR="00A15B26">
              <w:rPr>
                <w:rFonts w:cs="Arial"/>
              </w:rPr>
              <w:t>ort</w:t>
            </w:r>
            <w:r w:rsidR="000E5947">
              <w:rPr>
                <w:rFonts w:cs="Arial"/>
              </w:rPr>
              <w:t xml:space="preserve"> induces CYP2C19, and it also</w:t>
            </w:r>
            <w:r w:rsidR="00A15B26">
              <w:rPr>
                <w:rFonts w:cs="Arial"/>
              </w:rPr>
              <w:t xml:space="preserve"> might</w:t>
            </w:r>
            <w:r w:rsidR="000E5947">
              <w:rPr>
                <w:rFonts w:cs="Arial"/>
              </w:rPr>
              <w:t xml:space="preserve"> induce CYP2C9, CYP2E1 and CYP1A2</w:t>
            </w:r>
            <w:r w:rsidR="00A15B26">
              <w:rPr>
                <w:rFonts w:cs="Arial"/>
              </w:rPr>
              <w:t xml:space="preserve"> [</w:t>
            </w:r>
            <w:r w:rsidR="0090705A">
              <w:rPr>
                <w:rFonts w:cs="Arial"/>
              </w:rPr>
              <w:t>15</w:t>
            </w:r>
            <w:r w:rsidR="00A15B26">
              <w:rPr>
                <w:rFonts w:cs="Arial"/>
              </w:rPr>
              <w:t>].</w:t>
            </w:r>
          </w:p>
          <w:p w14:paraId="04DC41C2" w14:textId="77777777" w:rsidR="00FF2C66" w:rsidRPr="00FF2C66" w:rsidRDefault="00FF2C66" w:rsidP="00FF2C66">
            <w:pPr>
              <w:spacing w:before="40" w:after="40"/>
              <w:rPr>
                <w:rFonts w:cs="Arial"/>
              </w:rPr>
            </w:pPr>
            <w:r w:rsidRPr="00FF2C66">
              <w:rPr>
                <w:rFonts w:cs="Arial"/>
              </w:rPr>
              <w:t xml:space="preserve">St. John's wort </w:t>
            </w:r>
            <w:r w:rsidR="002F7E92">
              <w:rPr>
                <w:rFonts w:cs="Arial"/>
              </w:rPr>
              <w:t xml:space="preserve">is known to affect </w:t>
            </w:r>
            <w:r w:rsidR="00A87ADE">
              <w:rPr>
                <w:rFonts w:cs="Arial"/>
              </w:rPr>
              <w:t>P</w:t>
            </w:r>
            <w:r w:rsidR="002F7E92">
              <w:rPr>
                <w:rFonts w:cs="Arial"/>
              </w:rPr>
              <w:t xml:space="preserve">-gp activity, especially intestinal P-gp. It is generally thought that inhibition takes place initially and </w:t>
            </w:r>
            <w:r w:rsidR="00584858">
              <w:rPr>
                <w:rFonts w:cs="Arial"/>
              </w:rPr>
              <w:t>briefly but</w:t>
            </w:r>
            <w:r w:rsidR="002F7E92">
              <w:rPr>
                <w:rFonts w:cs="Arial"/>
              </w:rPr>
              <w:t xml:space="preserve"> is followed by a more potent and longer-acting induction [</w:t>
            </w:r>
            <w:r w:rsidR="0090705A">
              <w:rPr>
                <w:rFonts w:cs="Arial"/>
              </w:rPr>
              <w:t>15</w:t>
            </w:r>
            <w:r w:rsidR="002F7E92">
              <w:rPr>
                <w:rFonts w:cs="Arial"/>
              </w:rPr>
              <w:t xml:space="preserve">]. </w:t>
            </w:r>
            <w:r w:rsidR="006C1FD1">
              <w:rPr>
                <w:rFonts w:cs="Arial"/>
              </w:rPr>
              <w:t>This results in decreased absorption and lowered plasma concentrations of certain medicines [14].</w:t>
            </w:r>
          </w:p>
          <w:p w14:paraId="10D36FB1" w14:textId="77777777" w:rsidR="00787BEF" w:rsidRPr="00787BEF" w:rsidRDefault="00787BEF" w:rsidP="00787BEF">
            <w:pPr>
              <w:spacing w:before="40" w:after="40"/>
              <w:rPr>
                <w:rFonts w:cs="Arial"/>
                <w:color w:val="000000"/>
              </w:rPr>
            </w:pPr>
            <w:r w:rsidRPr="00787BEF">
              <w:rPr>
                <w:rFonts w:cs="Arial"/>
                <w:color w:val="000000"/>
              </w:rPr>
              <w:t>Plasma concentration of dabigatran, rivaroxaban, apixaban and edoxaban may be reduced by St</w:t>
            </w:r>
            <w:r w:rsidR="00AE0ACC">
              <w:rPr>
                <w:rFonts w:cs="Arial"/>
                <w:color w:val="000000"/>
              </w:rPr>
              <w:t>.</w:t>
            </w:r>
            <w:r w:rsidRPr="00787BEF">
              <w:rPr>
                <w:rFonts w:cs="Arial"/>
                <w:color w:val="000000"/>
              </w:rPr>
              <w:t xml:space="preserve"> John's wort. The manufacturers of the NOACs give specific advice on use </w:t>
            </w:r>
            <w:r>
              <w:rPr>
                <w:rFonts w:cs="Arial"/>
                <w:color w:val="000000"/>
              </w:rPr>
              <w:t xml:space="preserve">with </w:t>
            </w:r>
            <w:r w:rsidRPr="00787BEF">
              <w:rPr>
                <w:rFonts w:cs="Arial"/>
                <w:color w:val="000000"/>
              </w:rPr>
              <w:t>St</w:t>
            </w:r>
            <w:r w:rsidR="00AE0ACC">
              <w:rPr>
                <w:rFonts w:cs="Arial"/>
                <w:color w:val="000000"/>
              </w:rPr>
              <w:t>.</w:t>
            </w:r>
            <w:r w:rsidRPr="00787BEF">
              <w:rPr>
                <w:rFonts w:cs="Arial"/>
                <w:color w:val="000000"/>
              </w:rPr>
              <w:t xml:space="preserve"> John’s wort:  </w:t>
            </w:r>
          </w:p>
          <w:p w14:paraId="1A70A654" w14:textId="77777777" w:rsidR="00787BEF" w:rsidRPr="00787BEF" w:rsidRDefault="00787BEF" w:rsidP="00787BEF">
            <w:pPr>
              <w:spacing w:before="40" w:after="40"/>
              <w:ind w:left="284"/>
              <w:rPr>
                <w:rFonts w:cs="Arial"/>
                <w:color w:val="000000"/>
              </w:rPr>
            </w:pPr>
            <w:r>
              <w:rPr>
                <w:rFonts w:cs="Arial"/>
                <w:color w:val="000000"/>
              </w:rPr>
              <w:t>• C</w:t>
            </w:r>
            <w:r w:rsidRPr="00787BEF">
              <w:rPr>
                <w:rFonts w:cs="Arial"/>
                <w:color w:val="000000"/>
              </w:rPr>
              <w:t xml:space="preserve">oncomitant use with dabigatran should be avoided [9]. </w:t>
            </w:r>
          </w:p>
          <w:p w14:paraId="6EA9B3DD" w14:textId="77777777" w:rsidR="00787BEF" w:rsidRPr="00787BEF" w:rsidRDefault="00787BEF" w:rsidP="00787BEF">
            <w:pPr>
              <w:spacing w:before="40" w:after="40"/>
              <w:ind w:left="426" w:hanging="142"/>
              <w:rPr>
                <w:rFonts w:cs="Arial"/>
                <w:color w:val="000000"/>
              </w:rPr>
            </w:pPr>
            <w:r>
              <w:rPr>
                <w:rFonts w:cs="Arial"/>
                <w:color w:val="000000"/>
              </w:rPr>
              <w:t>• C</w:t>
            </w:r>
            <w:r w:rsidRPr="00787BEF">
              <w:rPr>
                <w:rFonts w:cs="Arial"/>
                <w:color w:val="000000"/>
              </w:rPr>
              <w:t xml:space="preserve">oncomitant use with rivaroxaban should be avoided unless the patient is closely observed for signs and symptoms of thrombosis [10]. </w:t>
            </w:r>
          </w:p>
          <w:p w14:paraId="7F660CD5" w14:textId="77777777" w:rsidR="00787BEF" w:rsidRPr="00787BEF" w:rsidRDefault="00787BEF" w:rsidP="00787BEF">
            <w:pPr>
              <w:spacing w:before="40" w:after="40"/>
              <w:ind w:left="426" w:hanging="142"/>
              <w:rPr>
                <w:rFonts w:cs="Arial"/>
                <w:color w:val="000000"/>
              </w:rPr>
            </w:pPr>
            <w:r>
              <w:rPr>
                <w:rFonts w:cs="Arial"/>
                <w:color w:val="000000"/>
              </w:rPr>
              <w:t xml:space="preserve">• </w:t>
            </w:r>
            <w:r w:rsidR="00AA09C0">
              <w:rPr>
                <w:rFonts w:cs="Arial"/>
                <w:color w:val="000000"/>
              </w:rPr>
              <w:t xml:space="preserve">In patients taking </w:t>
            </w:r>
            <w:r w:rsidRPr="00787BEF">
              <w:rPr>
                <w:rFonts w:cs="Arial"/>
                <w:color w:val="000000"/>
              </w:rPr>
              <w:t>St</w:t>
            </w:r>
            <w:r w:rsidR="00AE0ACC">
              <w:rPr>
                <w:rFonts w:cs="Arial"/>
                <w:color w:val="000000"/>
              </w:rPr>
              <w:t>.</w:t>
            </w:r>
            <w:r w:rsidRPr="00787BEF">
              <w:rPr>
                <w:rFonts w:cs="Arial"/>
                <w:color w:val="000000"/>
              </w:rPr>
              <w:t xml:space="preserve"> John’s wort</w:t>
            </w:r>
            <w:r w:rsidR="00AA09C0">
              <w:rPr>
                <w:rFonts w:cs="Arial"/>
                <w:color w:val="000000"/>
              </w:rPr>
              <w:t>, apixaban</w:t>
            </w:r>
            <w:r w:rsidRPr="00787BEF">
              <w:rPr>
                <w:rFonts w:cs="Arial"/>
                <w:color w:val="000000"/>
              </w:rPr>
              <w:t xml:space="preserve"> should be used with caution for the prevention of stroke and systemic embolism in patients with NVAF and for the prevention of recurrent DVT and PE. </w:t>
            </w:r>
            <w:r w:rsidR="00AA09C0">
              <w:rPr>
                <w:rFonts w:cs="Arial"/>
                <w:color w:val="000000"/>
              </w:rPr>
              <w:t>Apixaban is not recommended for the</w:t>
            </w:r>
            <w:r w:rsidRPr="00787BEF">
              <w:rPr>
                <w:rFonts w:cs="Arial"/>
                <w:color w:val="000000"/>
              </w:rPr>
              <w:t xml:space="preserve"> treatment of DVT and PE</w:t>
            </w:r>
            <w:r w:rsidR="00AA09C0">
              <w:rPr>
                <w:rFonts w:cs="Arial"/>
                <w:color w:val="000000"/>
              </w:rPr>
              <w:t xml:space="preserve"> in patients taking St John’s </w:t>
            </w:r>
            <w:r w:rsidR="00267419">
              <w:rPr>
                <w:rFonts w:cs="Arial"/>
                <w:color w:val="000000"/>
              </w:rPr>
              <w:t>w</w:t>
            </w:r>
            <w:r w:rsidR="00AA09C0">
              <w:rPr>
                <w:rFonts w:cs="Arial"/>
                <w:color w:val="000000"/>
              </w:rPr>
              <w:t>ort</w:t>
            </w:r>
            <w:r w:rsidRPr="00787BEF">
              <w:rPr>
                <w:rFonts w:cs="Arial"/>
                <w:color w:val="000000"/>
              </w:rPr>
              <w:t xml:space="preserve">, since efficacy may be compromised [11]. </w:t>
            </w:r>
          </w:p>
          <w:p w14:paraId="090748C9" w14:textId="77777777" w:rsidR="00AA6169" w:rsidRPr="00BA3605" w:rsidRDefault="00787BEF" w:rsidP="00BF251E">
            <w:pPr>
              <w:spacing w:before="40" w:after="40"/>
              <w:ind w:left="426" w:hanging="142"/>
              <w:rPr>
                <w:rFonts w:cs="Arial"/>
                <w:color w:val="000000"/>
              </w:rPr>
            </w:pPr>
            <w:r>
              <w:rPr>
                <w:rFonts w:cs="Arial"/>
                <w:color w:val="000000"/>
              </w:rPr>
              <w:t>• E</w:t>
            </w:r>
            <w:r w:rsidRPr="00787BEF">
              <w:rPr>
                <w:rFonts w:cs="Arial"/>
                <w:color w:val="000000"/>
              </w:rPr>
              <w:t>doxaban should be used with caution when co-administered with P-gp inducers such as St</w:t>
            </w:r>
            <w:r w:rsidR="00AE0ACC">
              <w:rPr>
                <w:rFonts w:cs="Arial"/>
                <w:color w:val="000000"/>
              </w:rPr>
              <w:t>.</w:t>
            </w:r>
            <w:r w:rsidRPr="00787BEF">
              <w:rPr>
                <w:rFonts w:cs="Arial"/>
                <w:color w:val="000000"/>
              </w:rPr>
              <w:t xml:space="preserve"> John’s wort as this may lead to reduced edoxaban plasma concentrations [</w:t>
            </w:r>
            <w:r w:rsidR="00BF251E" w:rsidRPr="00787BEF">
              <w:rPr>
                <w:rFonts w:cs="Arial"/>
                <w:color w:val="000000"/>
              </w:rPr>
              <w:t>1</w:t>
            </w:r>
            <w:r w:rsidR="00BF251E">
              <w:rPr>
                <w:rFonts w:cs="Arial"/>
                <w:color w:val="000000"/>
              </w:rPr>
              <w:t>2</w:t>
            </w:r>
            <w:r w:rsidRPr="00787BEF">
              <w:rPr>
                <w:rFonts w:cs="Arial"/>
                <w:color w:val="000000"/>
              </w:rPr>
              <w:t>].</w:t>
            </w:r>
          </w:p>
        </w:tc>
      </w:tr>
    </w:tbl>
    <w:p w14:paraId="01F93FFD" w14:textId="77777777" w:rsidR="00614B06" w:rsidRDefault="00614B06" w:rsidP="00427F92">
      <w:pPr>
        <w:pStyle w:val="Heading2"/>
        <w:rPr>
          <w:rFonts w:cs="Arial"/>
        </w:rPr>
      </w:pPr>
    </w:p>
    <w:p w14:paraId="521876CB" w14:textId="77777777" w:rsidR="00EA268F" w:rsidRDefault="00EA268F" w:rsidP="00427F92">
      <w:pPr>
        <w:pStyle w:val="Heading2"/>
        <w:rPr>
          <w:rFonts w:cs="Arial"/>
        </w:rPr>
      </w:pPr>
    </w:p>
    <w:p w14:paraId="0F923832" w14:textId="77777777" w:rsidR="00427F92" w:rsidRPr="009752DF" w:rsidRDefault="00427F92" w:rsidP="00427F92">
      <w:pPr>
        <w:pStyle w:val="Heading2"/>
        <w:rPr>
          <w:rFonts w:cs="Arial"/>
        </w:rPr>
      </w:pPr>
      <w:r w:rsidRPr="009752DF">
        <w:rPr>
          <w:rFonts w:cs="Arial"/>
        </w:rPr>
        <w:t>Summary</w:t>
      </w:r>
      <w:r w:rsidR="00EA268F">
        <w:rPr>
          <w:rFonts w:cs="Arial"/>
        </w:rPr>
        <w:br/>
      </w:r>
    </w:p>
    <w:p w14:paraId="77829699" w14:textId="77777777" w:rsidR="00AA6169" w:rsidRPr="00605892" w:rsidRDefault="00AA6169" w:rsidP="00515D43">
      <w:pPr>
        <w:pStyle w:val="ListParagraph"/>
        <w:numPr>
          <w:ilvl w:val="0"/>
          <w:numId w:val="12"/>
        </w:numPr>
        <w:spacing w:after="120" w:line="240" w:lineRule="auto"/>
        <w:ind w:left="714" w:hanging="357"/>
        <w:contextualSpacing w:val="0"/>
        <w:rPr>
          <w:rFonts w:cs="Arial"/>
          <w:b/>
          <w:color w:val="000000" w:themeColor="text1"/>
          <w:sz w:val="24"/>
          <w:szCs w:val="24"/>
        </w:rPr>
      </w:pPr>
      <w:r w:rsidRPr="00605892">
        <w:rPr>
          <w:rFonts w:cs="Arial"/>
          <w:color w:val="000000" w:themeColor="text1"/>
        </w:rPr>
        <w:t xml:space="preserve">There is a lack of scientific evidence of the safety and efficacy of herbal medicines together with an under-reporting and underestimation of adverse effects. Interactions between herbal medicines and conventional medicines are poorly studied and may be unpredictable. </w:t>
      </w:r>
    </w:p>
    <w:p w14:paraId="67D873E0" w14:textId="77777777" w:rsidR="00AA6169" w:rsidRPr="00605892" w:rsidRDefault="00AA6169" w:rsidP="00515D43">
      <w:pPr>
        <w:pStyle w:val="ListParagraph"/>
        <w:numPr>
          <w:ilvl w:val="0"/>
          <w:numId w:val="12"/>
        </w:numPr>
        <w:spacing w:after="120" w:line="240" w:lineRule="auto"/>
        <w:ind w:left="714" w:hanging="357"/>
        <w:contextualSpacing w:val="0"/>
        <w:rPr>
          <w:rFonts w:cs="Arial"/>
          <w:b/>
          <w:color w:val="000000" w:themeColor="text1"/>
          <w:sz w:val="24"/>
          <w:szCs w:val="24"/>
        </w:rPr>
      </w:pPr>
      <w:r w:rsidRPr="00605892">
        <w:rPr>
          <w:rFonts w:cs="Arial"/>
          <w:color w:val="000000" w:themeColor="text1"/>
        </w:rPr>
        <w:t>The clinical importance of any interaction depends on a variety of factors,</w:t>
      </w:r>
      <w:r w:rsidR="00655BAC">
        <w:rPr>
          <w:rFonts w:cs="Arial"/>
          <w:color w:val="000000" w:themeColor="text1"/>
        </w:rPr>
        <w:t xml:space="preserve"> such as other co-administered medicines</w:t>
      </w:r>
      <w:r w:rsidRPr="00605892">
        <w:rPr>
          <w:rFonts w:cs="Arial"/>
          <w:color w:val="000000" w:themeColor="text1"/>
        </w:rPr>
        <w:t>, the health status of the patient, the composition of the herbal medicine and the dosage regimens used.</w:t>
      </w:r>
    </w:p>
    <w:p w14:paraId="75E241CC" w14:textId="77777777" w:rsidR="00BB6882" w:rsidRPr="00605892" w:rsidRDefault="00BB6882" w:rsidP="00515D43">
      <w:pPr>
        <w:pStyle w:val="ListParagraph"/>
        <w:numPr>
          <w:ilvl w:val="0"/>
          <w:numId w:val="12"/>
        </w:numPr>
        <w:spacing w:after="120" w:line="240" w:lineRule="auto"/>
        <w:ind w:left="714" w:hanging="357"/>
        <w:contextualSpacing w:val="0"/>
        <w:rPr>
          <w:rFonts w:cs="Arial"/>
          <w:b/>
          <w:color w:val="000000" w:themeColor="text1"/>
          <w:sz w:val="24"/>
          <w:szCs w:val="24"/>
        </w:rPr>
      </w:pPr>
      <w:r>
        <w:rPr>
          <w:rFonts w:cs="Arial"/>
          <w:color w:val="000000" w:themeColor="text1"/>
        </w:rPr>
        <w:t xml:space="preserve">A lack of a </w:t>
      </w:r>
      <w:r w:rsidRPr="00605892">
        <w:rPr>
          <w:rFonts w:cs="Arial"/>
          <w:color w:val="000000" w:themeColor="text1"/>
        </w:rPr>
        <w:t xml:space="preserve">documented interaction with </w:t>
      </w:r>
      <w:r>
        <w:rPr>
          <w:rFonts w:cs="Arial"/>
          <w:color w:val="000000" w:themeColor="text1"/>
        </w:rPr>
        <w:t xml:space="preserve">a medicine </w:t>
      </w:r>
      <w:r w:rsidRPr="00605892">
        <w:rPr>
          <w:rFonts w:cs="Arial"/>
          <w:color w:val="000000" w:themeColor="text1"/>
        </w:rPr>
        <w:t>does not mean that an interaction does not exist; it may not yet have been reported</w:t>
      </w:r>
      <w:r>
        <w:rPr>
          <w:rFonts w:cs="Arial"/>
          <w:color w:val="000000" w:themeColor="text1"/>
        </w:rPr>
        <w:t>.</w:t>
      </w:r>
      <w:r w:rsidRPr="00605892">
        <w:rPr>
          <w:rFonts w:cs="Arial"/>
          <w:color w:val="000000" w:themeColor="text1"/>
        </w:rPr>
        <w:t xml:space="preserve">  </w:t>
      </w:r>
    </w:p>
    <w:p w14:paraId="04031EC2" w14:textId="77777777" w:rsidR="00AA6169" w:rsidRPr="00C567E5" w:rsidRDefault="00AA6169" w:rsidP="00515D43">
      <w:pPr>
        <w:pStyle w:val="ListParagraph"/>
        <w:numPr>
          <w:ilvl w:val="0"/>
          <w:numId w:val="12"/>
        </w:numPr>
        <w:spacing w:after="120" w:line="240" w:lineRule="auto"/>
        <w:ind w:left="714" w:hanging="357"/>
        <w:contextualSpacing w:val="0"/>
        <w:rPr>
          <w:rFonts w:cs="Arial"/>
          <w:b/>
          <w:color w:val="0000FF"/>
          <w:sz w:val="24"/>
          <w:szCs w:val="24"/>
        </w:rPr>
      </w:pPr>
      <w:r w:rsidRPr="00605892">
        <w:rPr>
          <w:rFonts w:cs="Arial"/>
          <w:color w:val="000000" w:themeColor="text1"/>
        </w:rPr>
        <w:t xml:space="preserve">Currently, </w:t>
      </w:r>
      <w:r>
        <w:rPr>
          <w:rFonts w:cs="Arial"/>
          <w:color w:val="000000" w:themeColor="text1"/>
        </w:rPr>
        <w:t>four</w:t>
      </w:r>
      <w:r w:rsidRPr="00605892">
        <w:rPr>
          <w:rFonts w:cs="Arial"/>
          <w:color w:val="000000" w:themeColor="text1"/>
        </w:rPr>
        <w:t xml:space="preserve"> non-VKA oral anticoagulant (NOAC) drugs are available </w:t>
      </w:r>
      <w:r>
        <w:rPr>
          <w:rFonts w:cs="Arial"/>
        </w:rPr>
        <w:t xml:space="preserve">on the UK market as alternatives to warfarin: dabigatran, rivaroxaban, apixaban and edoxaban.  </w:t>
      </w:r>
    </w:p>
    <w:p w14:paraId="06BF9E78" w14:textId="77777777" w:rsidR="00021A4A" w:rsidRPr="00902AD2" w:rsidRDefault="00515D43" w:rsidP="00515D43">
      <w:pPr>
        <w:pStyle w:val="ListParagraph"/>
        <w:numPr>
          <w:ilvl w:val="0"/>
          <w:numId w:val="12"/>
        </w:numPr>
        <w:spacing w:after="120" w:line="240" w:lineRule="auto"/>
        <w:ind w:left="714" w:hanging="357"/>
        <w:contextualSpacing w:val="0"/>
        <w:rPr>
          <w:rFonts w:cs="Arial"/>
          <w:b/>
          <w:color w:val="0000FF"/>
          <w:sz w:val="24"/>
          <w:szCs w:val="24"/>
        </w:rPr>
      </w:pPr>
      <w:r>
        <w:rPr>
          <w:rFonts w:cs="Arial"/>
        </w:rPr>
        <w:t xml:space="preserve">The metabolic pathways of the NOACs raise concerns for potential interactions with other substances that are inducers or inhibitors of CYP450 or P-gp. </w:t>
      </w:r>
    </w:p>
    <w:p w14:paraId="002F1898" w14:textId="77777777" w:rsidR="00B164F6" w:rsidRDefault="00B31169" w:rsidP="00515D43">
      <w:pPr>
        <w:pStyle w:val="ListParagraph"/>
        <w:numPr>
          <w:ilvl w:val="0"/>
          <w:numId w:val="13"/>
        </w:numPr>
        <w:spacing w:after="120" w:line="240" w:lineRule="auto"/>
        <w:ind w:left="714" w:hanging="357"/>
        <w:contextualSpacing w:val="0"/>
        <w:rPr>
          <w:rFonts w:cs="Arial"/>
          <w:color w:val="000000" w:themeColor="text1"/>
        </w:rPr>
      </w:pPr>
      <w:r w:rsidRPr="00C567E5">
        <w:rPr>
          <w:rFonts w:cs="Arial"/>
        </w:rPr>
        <w:lastRenderedPageBreak/>
        <w:t>Dabigatran is not metabolised by CYP450, so has low potential for clinically relevant interactions with medicines metabolised by CYP450</w:t>
      </w:r>
      <w:r w:rsidR="00AA6169" w:rsidRPr="005D01CF">
        <w:rPr>
          <w:rFonts w:cs="Arial"/>
          <w:color w:val="000000" w:themeColor="text1"/>
        </w:rPr>
        <w:t xml:space="preserve">. However, dabigatran </w:t>
      </w:r>
      <w:r w:rsidRPr="005D01CF">
        <w:rPr>
          <w:rFonts w:cs="Arial"/>
          <w:color w:val="000000" w:themeColor="text1"/>
        </w:rPr>
        <w:t xml:space="preserve">etexilate </w:t>
      </w:r>
      <w:r w:rsidR="00AA6169" w:rsidRPr="005D01CF">
        <w:rPr>
          <w:rFonts w:cs="Arial"/>
          <w:color w:val="000000" w:themeColor="text1"/>
        </w:rPr>
        <w:t xml:space="preserve">is a substrate for P-gp. </w:t>
      </w:r>
    </w:p>
    <w:p w14:paraId="29CF3F22" w14:textId="77777777" w:rsidR="00B164F6" w:rsidRPr="00515D43" w:rsidRDefault="00AA6169" w:rsidP="00515D43">
      <w:pPr>
        <w:pStyle w:val="ListParagraph"/>
        <w:numPr>
          <w:ilvl w:val="0"/>
          <w:numId w:val="13"/>
        </w:numPr>
        <w:spacing w:after="120" w:line="240" w:lineRule="auto"/>
        <w:ind w:left="714" w:hanging="357"/>
        <w:contextualSpacing w:val="0"/>
        <w:rPr>
          <w:rFonts w:cs="Arial"/>
          <w:color w:val="000000" w:themeColor="text1"/>
        </w:rPr>
      </w:pPr>
      <w:r w:rsidRPr="00C567E5">
        <w:rPr>
          <w:rFonts w:cs="Arial"/>
          <w:color w:val="000000" w:themeColor="text1"/>
        </w:rPr>
        <w:t xml:space="preserve">Rivaroxaban is metabolised via CYP3A4, CYP2J2 and CYP-independent mechanisms and </w:t>
      </w:r>
      <w:r w:rsidRPr="00C567E5">
        <w:rPr>
          <w:rFonts w:cs="Arial"/>
          <w:color w:val="000000" w:themeColor="text1"/>
          <w:lang w:val="en"/>
        </w:rPr>
        <w:t>is a substrate of P-gp.</w:t>
      </w:r>
    </w:p>
    <w:p w14:paraId="0EB5D2DF" w14:textId="77777777" w:rsidR="00065826" w:rsidRPr="00C567E5" w:rsidRDefault="00E74DB9" w:rsidP="00515D43">
      <w:pPr>
        <w:pStyle w:val="ListParagraph"/>
        <w:numPr>
          <w:ilvl w:val="0"/>
          <w:numId w:val="13"/>
        </w:numPr>
        <w:spacing w:after="120" w:line="240" w:lineRule="auto"/>
        <w:ind w:left="714" w:hanging="357"/>
        <w:contextualSpacing w:val="0"/>
        <w:rPr>
          <w:rFonts w:cs="Arial"/>
          <w:color w:val="000000" w:themeColor="text1"/>
        </w:rPr>
      </w:pPr>
      <w:r w:rsidRPr="00C567E5">
        <w:rPr>
          <w:rFonts w:cs="Arial"/>
          <w:color w:val="000000" w:themeColor="text1"/>
        </w:rPr>
        <w:t>Apixaban is predominantly metabolised by CYP3A4/5</w:t>
      </w:r>
      <w:r w:rsidR="00C567E5">
        <w:rPr>
          <w:rFonts w:cs="Arial"/>
          <w:color w:val="000000" w:themeColor="text1"/>
        </w:rPr>
        <w:t>, and to a lesser extent other CYP isoenzymes. It is also</w:t>
      </w:r>
      <w:r w:rsidRPr="00C567E5">
        <w:rPr>
          <w:rFonts w:cs="Arial"/>
          <w:color w:val="000000" w:themeColor="text1"/>
        </w:rPr>
        <w:t xml:space="preserve"> a substrate of P-gp. </w:t>
      </w:r>
    </w:p>
    <w:p w14:paraId="70677CDE" w14:textId="77777777" w:rsidR="00AA6169" w:rsidRDefault="00AA6169" w:rsidP="00515D43">
      <w:pPr>
        <w:pStyle w:val="ListParagraph"/>
        <w:numPr>
          <w:ilvl w:val="0"/>
          <w:numId w:val="13"/>
        </w:numPr>
        <w:spacing w:after="120" w:line="240" w:lineRule="auto"/>
        <w:ind w:left="714" w:hanging="357"/>
        <w:contextualSpacing w:val="0"/>
        <w:rPr>
          <w:rFonts w:cs="Arial"/>
          <w:color w:val="000000" w:themeColor="text1"/>
        </w:rPr>
      </w:pPr>
      <w:r w:rsidRPr="00065826">
        <w:rPr>
          <w:rFonts w:cs="Arial"/>
          <w:color w:val="000000" w:themeColor="text1"/>
        </w:rPr>
        <w:t>Edoxaban</w:t>
      </w:r>
      <w:r w:rsidRPr="00065826">
        <w:rPr>
          <w:color w:val="000000" w:themeColor="text1"/>
        </w:rPr>
        <w:t xml:space="preserve"> </w:t>
      </w:r>
      <w:r w:rsidRPr="00065826">
        <w:rPr>
          <w:rFonts w:cs="Arial"/>
          <w:color w:val="000000" w:themeColor="text1"/>
        </w:rPr>
        <w:t xml:space="preserve">is not extensively metabolised by CYP3A, but it is a substrate for P-gp. </w:t>
      </w:r>
    </w:p>
    <w:p w14:paraId="4D2E31E8" w14:textId="77777777" w:rsidR="00C567E5" w:rsidRPr="00065826" w:rsidRDefault="00C567E5" w:rsidP="00515D43">
      <w:pPr>
        <w:pStyle w:val="ListParagraph"/>
        <w:numPr>
          <w:ilvl w:val="0"/>
          <w:numId w:val="13"/>
        </w:numPr>
        <w:spacing w:after="120" w:line="240" w:lineRule="auto"/>
        <w:ind w:left="714" w:hanging="357"/>
        <w:contextualSpacing w:val="0"/>
        <w:rPr>
          <w:rFonts w:cs="Arial"/>
          <w:color w:val="000000" w:themeColor="text1"/>
        </w:rPr>
      </w:pPr>
      <w:r>
        <w:rPr>
          <w:rFonts w:cs="Arial"/>
          <w:color w:val="000000" w:themeColor="text1"/>
        </w:rPr>
        <w:t>The manufacturers of all of the NOACS make specific recommendations in their SPCs regarding concurrent use with St John’s Wort due to its effect on CYP450 isoenzymes and P-gp.</w:t>
      </w:r>
    </w:p>
    <w:p w14:paraId="003D626F" w14:textId="77777777" w:rsidR="00AA6169" w:rsidRDefault="00AA6169" w:rsidP="00515D43">
      <w:pPr>
        <w:pStyle w:val="ListParagraph"/>
        <w:numPr>
          <w:ilvl w:val="0"/>
          <w:numId w:val="13"/>
        </w:numPr>
        <w:spacing w:after="120" w:line="240" w:lineRule="auto"/>
        <w:ind w:left="714" w:hanging="357"/>
        <w:contextualSpacing w:val="0"/>
        <w:rPr>
          <w:rFonts w:cs="Arial"/>
        </w:rPr>
      </w:pPr>
      <w:r>
        <w:rPr>
          <w:rFonts w:cs="Arial"/>
        </w:rPr>
        <w:t>Other</w:t>
      </w:r>
      <w:r w:rsidR="00305D44">
        <w:rPr>
          <w:rFonts w:cs="Arial"/>
        </w:rPr>
        <w:t xml:space="preserve"> commonly used</w:t>
      </w:r>
      <w:r>
        <w:rPr>
          <w:rFonts w:cs="Arial"/>
        </w:rPr>
        <w:t xml:space="preserve"> herbs which may affect CYP3A4</w:t>
      </w:r>
      <w:r w:rsidR="00BD7D35">
        <w:rPr>
          <w:rFonts w:cs="Arial"/>
        </w:rPr>
        <w:t>,</w:t>
      </w:r>
      <w:r>
        <w:rPr>
          <w:rFonts w:cs="Arial"/>
        </w:rPr>
        <w:t xml:space="preserve"> other CYP </w:t>
      </w:r>
      <w:r w:rsidR="00BF01A8">
        <w:rPr>
          <w:rFonts w:cs="Arial"/>
        </w:rPr>
        <w:t>enzymes</w:t>
      </w:r>
      <w:r w:rsidR="00BD7D35">
        <w:rPr>
          <w:rFonts w:cs="Arial"/>
        </w:rPr>
        <w:t xml:space="preserve"> </w:t>
      </w:r>
      <w:r w:rsidR="00B23168">
        <w:rPr>
          <w:rFonts w:cs="Arial"/>
        </w:rPr>
        <w:t>and/</w:t>
      </w:r>
      <w:r w:rsidR="00BD7D35">
        <w:rPr>
          <w:rFonts w:cs="Arial"/>
        </w:rPr>
        <w:t>or P-gp</w:t>
      </w:r>
      <w:r>
        <w:rPr>
          <w:rFonts w:cs="Arial"/>
        </w:rPr>
        <w:t xml:space="preserve"> include black cohosh, dong quai, echinacea, </w:t>
      </w:r>
      <w:r w:rsidR="00B23168">
        <w:rPr>
          <w:rFonts w:cs="Arial"/>
        </w:rPr>
        <w:t xml:space="preserve">evening primrose oil, </w:t>
      </w:r>
      <w:r>
        <w:rPr>
          <w:rFonts w:cs="Arial"/>
        </w:rPr>
        <w:t xml:space="preserve">garlic, ginkgo, </w:t>
      </w:r>
      <w:r w:rsidR="00BF01A8">
        <w:rPr>
          <w:rFonts w:cs="Arial"/>
        </w:rPr>
        <w:t xml:space="preserve">ginseng </w:t>
      </w:r>
      <w:r>
        <w:rPr>
          <w:rFonts w:cs="Arial"/>
        </w:rPr>
        <w:t>and saw palmetto. Although the risk of interactions appears theoretical, patients should be monitored for any adverse effects e.g. bruising, bleeding</w:t>
      </w:r>
      <w:r w:rsidR="00C567E5">
        <w:rPr>
          <w:rFonts w:cs="Arial"/>
        </w:rPr>
        <w:t>,</w:t>
      </w:r>
      <w:r>
        <w:rPr>
          <w:rFonts w:cs="Arial"/>
        </w:rPr>
        <w:t xml:space="preserve"> or</w:t>
      </w:r>
      <w:r w:rsidR="00C567E5">
        <w:rPr>
          <w:rFonts w:cs="Arial"/>
        </w:rPr>
        <w:t xml:space="preserve"> loss of efficacy e.g.</w:t>
      </w:r>
      <w:r>
        <w:rPr>
          <w:rFonts w:cs="Arial"/>
        </w:rPr>
        <w:t xml:space="preserve"> </w:t>
      </w:r>
      <w:r w:rsidRPr="00C455A9">
        <w:rPr>
          <w:rFonts w:cs="Arial"/>
        </w:rPr>
        <w:t>signs and symptoms of thrombosis</w:t>
      </w:r>
      <w:r>
        <w:rPr>
          <w:rFonts w:cs="Arial"/>
        </w:rPr>
        <w:t>, if concurrent treatment with the herbal medicine cannot be avoided.</w:t>
      </w:r>
    </w:p>
    <w:p w14:paraId="4DF5E4EF" w14:textId="77777777" w:rsidR="00A76799" w:rsidRDefault="00AA6169" w:rsidP="00515D43">
      <w:pPr>
        <w:pStyle w:val="ListParagraph"/>
        <w:numPr>
          <w:ilvl w:val="0"/>
          <w:numId w:val="11"/>
        </w:numPr>
        <w:spacing w:after="120" w:line="240" w:lineRule="auto"/>
        <w:ind w:left="714" w:hanging="357"/>
        <w:contextualSpacing w:val="0"/>
        <w:rPr>
          <w:rFonts w:cs="Arial"/>
          <w:color w:val="000000" w:themeColor="text1"/>
        </w:rPr>
      </w:pPr>
      <w:r w:rsidRPr="00766D59">
        <w:rPr>
          <w:rFonts w:cs="Arial"/>
        </w:rPr>
        <w:t xml:space="preserve">Concomitant </w:t>
      </w:r>
      <w:r>
        <w:rPr>
          <w:rFonts w:cs="Arial"/>
        </w:rPr>
        <w:t>administration</w:t>
      </w:r>
      <w:r w:rsidRPr="00C46E7E">
        <w:rPr>
          <w:rFonts w:cs="Arial"/>
        </w:rPr>
        <w:t xml:space="preserve"> of NOACs with herbs which have anticoagulant or antiplatelet activity e.g. </w:t>
      </w:r>
      <w:r w:rsidR="00BF01A8">
        <w:rPr>
          <w:rFonts w:cs="Arial"/>
        </w:rPr>
        <w:t xml:space="preserve">dong quai, </w:t>
      </w:r>
      <w:r w:rsidRPr="00C46E7E">
        <w:rPr>
          <w:rFonts w:cs="Arial"/>
        </w:rPr>
        <w:t>garlic, ginkgo, ginseng</w:t>
      </w:r>
      <w:r w:rsidR="008220FF">
        <w:rPr>
          <w:rFonts w:cs="Arial"/>
        </w:rPr>
        <w:t>,</w:t>
      </w:r>
      <w:r w:rsidR="00560619">
        <w:rPr>
          <w:rFonts w:cs="Arial"/>
        </w:rPr>
        <w:t xml:space="preserve"> saw palmetto</w:t>
      </w:r>
      <w:r w:rsidR="008220FF">
        <w:rPr>
          <w:rFonts w:cs="Arial"/>
        </w:rPr>
        <w:t xml:space="preserve"> and evening primrose oil</w:t>
      </w:r>
      <w:r w:rsidRPr="00C46E7E">
        <w:rPr>
          <w:rFonts w:cs="Arial"/>
        </w:rPr>
        <w:t xml:space="preserve">, </w:t>
      </w:r>
      <w:r w:rsidR="00305D44">
        <w:rPr>
          <w:rFonts w:cs="Arial"/>
        </w:rPr>
        <w:t>may</w:t>
      </w:r>
      <w:r w:rsidR="00305D44" w:rsidRPr="00C46E7E">
        <w:rPr>
          <w:rFonts w:cs="Arial"/>
        </w:rPr>
        <w:t xml:space="preserve"> </w:t>
      </w:r>
      <w:r w:rsidRPr="00C46E7E">
        <w:rPr>
          <w:rFonts w:cs="Arial"/>
        </w:rPr>
        <w:t>increase the risk of bleeding and should be avoided or used with caution</w:t>
      </w:r>
      <w:r>
        <w:rPr>
          <w:rFonts w:cs="Arial"/>
        </w:rPr>
        <w:t>.</w:t>
      </w:r>
      <w:r w:rsidR="00A76799" w:rsidRPr="00A76799">
        <w:rPr>
          <w:rFonts w:cs="Arial"/>
          <w:color w:val="000000" w:themeColor="text1"/>
        </w:rPr>
        <w:t xml:space="preserve"> </w:t>
      </w:r>
    </w:p>
    <w:p w14:paraId="6D5C8FE5" w14:textId="77777777" w:rsidR="00AA6169" w:rsidRPr="00F83A60" w:rsidRDefault="00F83A60" w:rsidP="00A76799">
      <w:pPr>
        <w:pStyle w:val="ListParagraph"/>
        <w:spacing w:after="240" w:line="240" w:lineRule="auto"/>
        <w:ind w:left="714"/>
        <w:rPr>
          <w:rFonts w:cs="Arial"/>
        </w:rPr>
      </w:pPr>
      <w:r w:rsidRPr="00F83A60">
        <w:rPr>
          <w:rStyle w:val="CommentReference"/>
          <w:sz w:val="20"/>
          <w:szCs w:val="20"/>
        </w:rPr>
        <w:t xml:space="preserve"> </w:t>
      </w:r>
    </w:p>
    <w:p w14:paraId="13094213" w14:textId="77777777" w:rsidR="00AA6169" w:rsidRDefault="00AA6169" w:rsidP="00427F92">
      <w:pPr>
        <w:spacing w:after="0" w:line="240" w:lineRule="auto"/>
        <w:rPr>
          <w:rStyle w:val="Heading3Char"/>
          <w:rFonts w:eastAsia="Calibri"/>
        </w:rPr>
      </w:pPr>
    </w:p>
    <w:p w14:paraId="65388C5F" w14:textId="77777777" w:rsidR="00AA6169" w:rsidRPr="00AA6169" w:rsidRDefault="00427F92" w:rsidP="00AA6169">
      <w:pPr>
        <w:spacing w:after="0" w:line="240" w:lineRule="auto"/>
        <w:rPr>
          <w:rStyle w:val="Heading3Char"/>
          <w:rFonts w:eastAsia="Calibri" w:cs="Arial"/>
          <w:b w:val="0"/>
          <w:bCs w:val="0"/>
          <w:color w:val="auto"/>
          <w:szCs w:val="22"/>
        </w:rPr>
      </w:pPr>
      <w:r w:rsidRPr="00AA6169">
        <w:rPr>
          <w:rStyle w:val="Heading3Char"/>
          <w:rFonts w:eastAsia="Calibri"/>
        </w:rPr>
        <w:t>Limitations</w:t>
      </w:r>
      <w:r w:rsidR="00EA268F">
        <w:rPr>
          <w:rStyle w:val="Heading3Char"/>
          <w:rFonts w:eastAsia="Calibri"/>
        </w:rPr>
        <w:br/>
      </w:r>
    </w:p>
    <w:p w14:paraId="456DFE90" w14:textId="77777777" w:rsidR="00AA6169" w:rsidRPr="00AA6169" w:rsidRDefault="00AA6169" w:rsidP="00AA6169">
      <w:pPr>
        <w:pStyle w:val="ListParagraph"/>
        <w:numPr>
          <w:ilvl w:val="0"/>
          <w:numId w:val="14"/>
        </w:numPr>
        <w:spacing w:after="0" w:line="240" w:lineRule="auto"/>
        <w:rPr>
          <w:rFonts w:cs="Arial"/>
        </w:rPr>
      </w:pPr>
      <w:r w:rsidRPr="00AA6169">
        <w:rPr>
          <w:rFonts w:cs="Arial"/>
        </w:rPr>
        <w:t>Co-administration of dabigatran, rivaroxaban, apixaban or edoxaban with herbal medicines has not been investigated in clinical studies</w:t>
      </w:r>
      <w:r w:rsidR="00560619">
        <w:rPr>
          <w:rFonts w:cs="Arial"/>
        </w:rPr>
        <w:t>;</w:t>
      </w:r>
      <w:r w:rsidRPr="00AA6169">
        <w:rPr>
          <w:rFonts w:cs="Arial"/>
        </w:rPr>
        <w:t xml:space="preserve"> consequently a lack of a documented interaction with a drug may not mean that an interaction does not exist, only that it has not yet been reported.</w:t>
      </w:r>
    </w:p>
    <w:p w14:paraId="27CBC34A" w14:textId="77777777" w:rsidR="00AA6169" w:rsidRPr="00825517" w:rsidRDefault="00305D44" w:rsidP="00AA6169">
      <w:pPr>
        <w:numPr>
          <w:ilvl w:val="0"/>
          <w:numId w:val="14"/>
        </w:numPr>
        <w:spacing w:after="0" w:line="240" w:lineRule="auto"/>
        <w:rPr>
          <w:rFonts w:cs="Arial"/>
        </w:rPr>
      </w:pPr>
      <w:r>
        <w:rPr>
          <w:rFonts w:cs="Arial"/>
        </w:rPr>
        <w:t>This Q&amp;A is not exhaustive, o</w:t>
      </w:r>
      <w:r w:rsidR="00AA6169">
        <w:rPr>
          <w:rFonts w:cs="Arial"/>
        </w:rPr>
        <w:t>ther herbal medicines which are not discussed in this Q&amp;A may also interact with NOACs.</w:t>
      </w:r>
    </w:p>
    <w:p w14:paraId="4F0FB3B7" w14:textId="77777777" w:rsidR="00427F92" w:rsidRPr="00B1695F" w:rsidRDefault="00427F92" w:rsidP="00427F92">
      <w:pPr>
        <w:spacing w:after="0" w:line="240" w:lineRule="auto"/>
      </w:pPr>
    </w:p>
    <w:p w14:paraId="286E5869" w14:textId="77777777" w:rsidR="00427F92" w:rsidRPr="00B00B12" w:rsidRDefault="00427F92" w:rsidP="00427F92">
      <w:pPr>
        <w:pStyle w:val="Heading3"/>
        <w:rPr>
          <w:lang w:val="en-US"/>
        </w:rPr>
      </w:pPr>
      <w:r w:rsidRPr="00B00B12">
        <w:rPr>
          <w:lang w:val="en-US"/>
        </w:rPr>
        <w:t>References</w:t>
      </w:r>
      <w:r w:rsidR="00EA268F">
        <w:rPr>
          <w:lang w:val="en-US"/>
        </w:rPr>
        <w:br/>
      </w:r>
    </w:p>
    <w:p w14:paraId="2C428152" w14:textId="77777777" w:rsidR="00AA6169" w:rsidRDefault="00AA6169" w:rsidP="00AA6169">
      <w:pPr>
        <w:numPr>
          <w:ilvl w:val="0"/>
          <w:numId w:val="15"/>
        </w:numPr>
        <w:spacing w:after="0" w:line="240" w:lineRule="auto"/>
        <w:rPr>
          <w:rFonts w:cs="Arial"/>
        </w:rPr>
      </w:pPr>
      <w:r>
        <w:rPr>
          <w:rFonts w:cs="Arial"/>
        </w:rPr>
        <w:t>Shi S, Klotz U. Drug interactions with herbal medicines. Clin Pharmacokinet 2012;51(2):77-</w:t>
      </w:r>
      <w:r w:rsidRPr="000308AF">
        <w:rPr>
          <w:rFonts w:cs="Arial"/>
        </w:rPr>
        <w:t>104</w:t>
      </w:r>
    </w:p>
    <w:p w14:paraId="0E680414" w14:textId="77777777" w:rsidR="007900F5" w:rsidRDefault="007900F5" w:rsidP="00AA6169">
      <w:pPr>
        <w:numPr>
          <w:ilvl w:val="0"/>
          <w:numId w:val="15"/>
        </w:numPr>
        <w:spacing w:after="0" w:line="240" w:lineRule="auto"/>
        <w:rPr>
          <w:rFonts w:cs="Arial"/>
        </w:rPr>
      </w:pPr>
      <w:r w:rsidRPr="003C1074">
        <w:rPr>
          <w:rFonts w:cs="Arial"/>
        </w:rPr>
        <w:t>Posadzki P, Watson LK, Alotaibi A et al. Prevalence of herbal medicine use by UK patients/consumers: a systematic review of surveys</w:t>
      </w:r>
      <w:r w:rsidRPr="007900F5">
        <w:rPr>
          <w:rFonts w:cs="Arial"/>
        </w:rPr>
        <w:t xml:space="preserve">. Focus on Alternative and Complementary Therapies 2013;18(1):19-26 </w:t>
      </w:r>
    </w:p>
    <w:p w14:paraId="47712C36" w14:textId="77777777" w:rsidR="00AA6169" w:rsidRPr="003C1074" w:rsidRDefault="0016340B" w:rsidP="003C1074">
      <w:pPr>
        <w:numPr>
          <w:ilvl w:val="0"/>
          <w:numId w:val="15"/>
        </w:numPr>
        <w:spacing w:after="0" w:line="240" w:lineRule="auto"/>
        <w:rPr>
          <w:rFonts w:cs="Arial"/>
        </w:rPr>
      </w:pPr>
      <w:r w:rsidRPr="003C1074">
        <w:rPr>
          <w:rFonts w:cs="Arial"/>
          <w:color w:val="333333"/>
          <w:lang w:val="en"/>
        </w:rPr>
        <w:t xml:space="preserve">Joint Formulary Committee. </w:t>
      </w:r>
      <w:r w:rsidRPr="003C1074">
        <w:rPr>
          <w:rStyle w:val="Emphasis"/>
          <w:rFonts w:cs="Arial"/>
          <w:i w:val="0"/>
          <w:color w:val="333333"/>
          <w:lang w:val="en"/>
        </w:rPr>
        <w:t>British National Formulary</w:t>
      </w:r>
      <w:r w:rsidRPr="003C1074">
        <w:rPr>
          <w:rFonts w:cs="Arial"/>
          <w:color w:val="333333"/>
          <w:lang w:val="en"/>
        </w:rPr>
        <w:t xml:space="preserve"> (online) London: BMJ Group and Pharmaceutical Press</w:t>
      </w:r>
      <w:r w:rsidR="003E691F" w:rsidRPr="003C1074">
        <w:rPr>
          <w:rFonts w:cs="Arial"/>
          <w:color w:val="333333"/>
          <w:lang w:val="en"/>
        </w:rPr>
        <w:t>.</w:t>
      </w:r>
      <w:r w:rsidRPr="003C1074">
        <w:rPr>
          <w:rFonts w:cs="Arial"/>
          <w:color w:val="333333"/>
          <w:lang w:val="en"/>
        </w:rPr>
        <w:t xml:space="preserve"> Accessed online via: </w:t>
      </w:r>
      <w:hyperlink r:id="rId10" w:history="1">
        <w:r w:rsidR="001A4341" w:rsidRPr="003C1074">
          <w:rPr>
            <w:rStyle w:val="Hyperlink"/>
            <w:rFonts w:cs="Arial"/>
            <w:lang w:val="en"/>
          </w:rPr>
          <w:t>http://www.medicinescomplete.com</w:t>
        </w:r>
      </w:hyperlink>
      <w:r w:rsidRPr="003C1074">
        <w:rPr>
          <w:rFonts w:cs="Arial"/>
          <w:color w:val="333333"/>
          <w:lang w:val="en"/>
        </w:rPr>
        <w:t xml:space="preserve"> on </w:t>
      </w:r>
      <w:r w:rsidR="001A4341" w:rsidRPr="003C1074">
        <w:rPr>
          <w:rFonts w:cs="Arial"/>
          <w:color w:val="333333"/>
          <w:lang w:val="en"/>
        </w:rPr>
        <w:t>30/7/2019</w:t>
      </w:r>
    </w:p>
    <w:p w14:paraId="5BB9EF41" w14:textId="77777777" w:rsidR="00AA6169" w:rsidRDefault="00AA6169" w:rsidP="00AA6169">
      <w:pPr>
        <w:numPr>
          <w:ilvl w:val="0"/>
          <w:numId w:val="15"/>
        </w:numPr>
        <w:spacing w:after="0" w:line="240" w:lineRule="auto"/>
        <w:rPr>
          <w:rFonts w:cs="Arial"/>
        </w:rPr>
      </w:pPr>
      <w:r>
        <w:rPr>
          <w:rFonts w:cs="Arial"/>
        </w:rPr>
        <w:t>Di Minno</w:t>
      </w:r>
      <w:r w:rsidR="00B773C7">
        <w:rPr>
          <w:rFonts w:cs="Arial"/>
        </w:rPr>
        <w:t xml:space="preserve"> A, Frigerio B, Spadarella G</w:t>
      </w:r>
      <w:r>
        <w:rPr>
          <w:rFonts w:cs="Arial"/>
        </w:rPr>
        <w:t xml:space="preserve"> et al. Old and new oral anticoagulants: Food, herbal medicines and drug interactions. Blood Rev (2017)</w:t>
      </w:r>
      <w:r w:rsidR="00B773C7">
        <w:rPr>
          <w:rFonts w:cs="Arial"/>
        </w:rPr>
        <w:t>.</w:t>
      </w:r>
      <w:r>
        <w:rPr>
          <w:rFonts w:cs="Arial"/>
        </w:rPr>
        <w:t xml:space="preserve"> </w:t>
      </w:r>
      <w:r w:rsidR="00B773C7">
        <w:rPr>
          <w:rFonts w:cs="Arial"/>
        </w:rPr>
        <w:t xml:space="preserve">Accessed online via: </w:t>
      </w:r>
      <w:hyperlink r:id="rId11" w:history="1">
        <w:r w:rsidRPr="00466E86">
          <w:rPr>
            <w:rStyle w:val="Hyperlink"/>
            <w:rFonts w:cs="Arial"/>
          </w:rPr>
          <w:t>http://dx.doi.org/10.1016/j.blre.2017.02.001</w:t>
        </w:r>
      </w:hyperlink>
      <w:r>
        <w:rPr>
          <w:rFonts w:cs="Arial"/>
        </w:rPr>
        <w:t xml:space="preserve"> on 6/4/2017</w:t>
      </w:r>
    </w:p>
    <w:p w14:paraId="071C7013" w14:textId="77777777" w:rsidR="00AA6169" w:rsidRDefault="00AA6169" w:rsidP="00AA6169">
      <w:pPr>
        <w:numPr>
          <w:ilvl w:val="0"/>
          <w:numId w:val="15"/>
        </w:numPr>
        <w:spacing w:after="0" w:line="240" w:lineRule="auto"/>
        <w:rPr>
          <w:rFonts w:cs="Arial"/>
        </w:rPr>
      </w:pPr>
      <w:r>
        <w:rPr>
          <w:rFonts w:cs="Arial"/>
        </w:rPr>
        <w:t>Walenga JM, Adiguzel C. Drug and dietary interactions of the new and emerging oral anticoagulants. Int J Clin Pract. 2010;64(7):956-967</w:t>
      </w:r>
    </w:p>
    <w:p w14:paraId="69044C1C" w14:textId="77777777" w:rsidR="00AA6169" w:rsidRDefault="00AA6169" w:rsidP="00AA6169">
      <w:pPr>
        <w:numPr>
          <w:ilvl w:val="0"/>
          <w:numId w:val="15"/>
        </w:numPr>
        <w:spacing w:after="0" w:line="240" w:lineRule="auto"/>
        <w:rPr>
          <w:rFonts w:cs="Arial"/>
        </w:rPr>
      </w:pPr>
      <w:r w:rsidRPr="008E12B9">
        <w:rPr>
          <w:rFonts w:cs="Arial"/>
        </w:rPr>
        <w:t>Herbal Medicines</w:t>
      </w:r>
      <w:r w:rsidR="000C5DDB">
        <w:rPr>
          <w:rFonts w:cs="Arial"/>
        </w:rPr>
        <w:t xml:space="preserve"> (online)</w:t>
      </w:r>
      <w:r w:rsidRPr="008E12B9">
        <w:rPr>
          <w:rFonts w:cs="Arial"/>
        </w:rPr>
        <w:t>.</w:t>
      </w:r>
      <w:r w:rsidR="000C5DDB">
        <w:rPr>
          <w:rFonts w:cs="Arial"/>
        </w:rPr>
        <w:t xml:space="preserve"> London: Pharmaceutical Press.</w:t>
      </w:r>
      <w:r w:rsidRPr="008E12B9">
        <w:rPr>
          <w:rFonts w:cs="Arial"/>
        </w:rPr>
        <w:t xml:space="preserve"> Accessed online </w:t>
      </w:r>
      <w:r w:rsidR="000C5DDB">
        <w:rPr>
          <w:rFonts w:cs="Arial"/>
        </w:rPr>
        <w:t>via:</w:t>
      </w:r>
      <w:r w:rsidRPr="008E12B9">
        <w:rPr>
          <w:rFonts w:cs="Arial"/>
        </w:rPr>
        <w:t xml:space="preserve"> </w:t>
      </w:r>
      <w:hyperlink r:id="rId12" w:history="1">
        <w:r w:rsidR="000C5DDB" w:rsidRPr="003C00BD">
          <w:rPr>
            <w:rStyle w:val="Hyperlink"/>
            <w:rFonts w:cs="Arial"/>
          </w:rPr>
          <w:t>http://</w:t>
        </w:r>
        <w:r w:rsidRPr="003C00BD">
          <w:rPr>
            <w:rStyle w:val="Hyperlink"/>
            <w:rFonts w:cs="Arial"/>
          </w:rPr>
          <w:t>www.medicinescomplete.com</w:t>
        </w:r>
      </w:hyperlink>
      <w:r>
        <w:rPr>
          <w:rFonts w:cs="Arial"/>
        </w:rPr>
        <w:t xml:space="preserve"> </w:t>
      </w:r>
      <w:r w:rsidRPr="008E12B9">
        <w:rPr>
          <w:rFonts w:cs="Arial"/>
        </w:rPr>
        <w:t>on</w:t>
      </w:r>
      <w:r>
        <w:rPr>
          <w:rFonts w:cs="Arial"/>
        </w:rPr>
        <w:t xml:space="preserve"> </w:t>
      </w:r>
      <w:r w:rsidR="00EE10A6">
        <w:rPr>
          <w:rFonts w:cs="Arial"/>
        </w:rPr>
        <w:t>15/7/2019</w:t>
      </w:r>
      <w:r w:rsidR="000C5DDB">
        <w:rPr>
          <w:rFonts w:cs="Arial"/>
        </w:rPr>
        <w:t xml:space="preserve"> </w:t>
      </w:r>
    </w:p>
    <w:p w14:paraId="64E8CBC0" w14:textId="77777777" w:rsidR="00C3584E" w:rsidRDefault="00C3584E" w:rsidP="00C3584E">
      <w:pPr>
        <w:numPr>
          <w:ilvl w:val="0"/>
          <w:numId w:val="15"/>
        </w:numPr>
        <w:spacing w:after="0" w:line="240" w:lineRule="auto"/>
        <w:rPr>
          <w:rFonts w:cs="Arial"/>
        </w:rPr>
      </w:pPr>
      <w:r>
        <w:rPr>
          <w:rFonts w:cs="Arial"/>
          <w:color w:val="000000"/>
          <w:szCs w:val="20"/>
        </w:rPr>
        <w:t xml:space="preserve">Micromedex® 2.0, (electronic version). Truven Health Analytics, Greenwood Village, Colorado, USA. Accessed via: </w:t>
      </w:r>
      <w:hyperlink r:id="rId13" w:history="1">
        <w:r w:rsidRPr="0041400E">
          <w:rPr>
            <w:rStyle w:val="Hyperlink"/>
            <w:rFonts w:cs="Arial"/>
            <w:szCs w:val="20"/>
          </w:rPr>
          <w:t>http://www.micromedexsolutions.com/</w:t>
        </w:r>
      </w:hyperlink>
      <w:r>
        <w:rPr>
          <w:rFonts w:cs="Arial"/>
        </w:rPr>
        <w:t xml:space="preserve"> </w:t>
      </w:r>
      <w:r w:rsidRPr="00EA02A4">
        <w:rPr>
          <w:rFonts w:cs="Arial"/>
        </w:rPr>
        <w:t xml:space="preserve">on </w:t>
      </w:r>
      <w:r>
        <w:rPr>
          <w:rFonts w:cs="Arial"/>
        </w:rPr>
        <w:t>9/7/2019</w:t>
      </w:r>
    </w:p>
    <w:p w14:paraId="51DD6F13" w14:textId="77777777" w:rsidR="00AA6169" w:rsidRDefault="00925C20" w:rsidP="00AA6169">
      <w:pPr>
        <w:numPr>
          <w:ilvl w:val="0"/>
          <w:numId w:val="15"/>
        </w:numPr>
        <w:spacing w:after="0" w:line="240" w:lineRule="auto"/>
        <w:rPr>
          <w:rFonts w:cs="Arial"/>
        </w:rPr>
      </w:pPr>
      <w:r>
        <w:rPr>
          <w:rFonts w:cs="Arial"/>
        </w:rPr>
        <w:t>Buckingham R</w:t>
      </w:r>
      <w:r w:rsidR="00AA6169" w:rsidRPr="00D2580F">
        <w:rPr>
          <w:rFonts w:cs="Arial"/>
        </w:rPr>
        <w:t xml:space="preserve"> (ed), Martindale: The Complete Drug Reference</w:t>
      </w:r>
      <w:r>
        <w:rPr>
          <w:rFonts w:cs="Arial"/>
        </w:rPr>
        <w:t xml:space="preserve"> [online]</w:t>
      </w:r>
      <w:r w:rsidR="00AA6169" w:rsidRPr="00D2580F">
        <w:rPr>
          <w:rFonts w:cs="Arial"/>
        </w:rPr>
        <w:t>. London: Pharmaceutical Press</w:t>
      </w:r>
      <w:r w:rsidR="00AC6BF3">
        <w:rPr>
          <w:rFonts w:cs="Arial"/>
        </w:rPr>
        <w:t>.</w:t>
      </w:r>
      <w:r w:rsidR="00AA6169">
        <w:rPr>
          <w:rFonts w:cs="Arial"/>
        </w:rPr>
        <w:t xml:space="preserve"> Accessed via</w:t>
      </w:r>
      <w:r w:rsidR="00AC6BF3">
        <w:rPr>
          <w:rFonts w:cs="Arial"/>
        </w:rPr>
        <w:t>:</w:t>
      </w:r>
      <w:r w:rsidR="00AA6169">
        <w:rPr>
          <w:rFonts w:cs="Arial"/>
        </w:rPr>
        <w:t xml:space="preserve"> </w:t>
      </w:r>
      <w:r w:rsidR="00AA6169" w:rsidRPr="00D2580F">
        <w:rPr>
          <w:rFonts w:cs="Arial"/>
        </w:rPr>
        <w:t xml:space="preserve"> </w:t>
      </w:r>
      <w:hyperlink r:id="rId14" w:history="1">
        <w:r w:rsidR="00AA6169" w:rsidRPr="00A67535">
          <w:rPr>
            <w:rStyle w:val="Hyperlink"/>
            <w:rFonts w:cs="Arial"/>
          </w:rPr>
          <w:t>http://www.medicinescomplete.com/</w:t>
        </w:r>
      </w:hyperlink>
      <w:r w:rsidR="00AA6169">
        <w:rPr>
          <w:rFonts w:cs="Arial"/>
        </w:rPr>
        <w:t xml:space="preserve"> on </w:t>
      </w:r>
      <w:r w:rsidR="00B572D5">
        <w:rPr>
          <w:rFonts w:cs="Arial"/>
        </w:rPr>
        <w:t>16/8/2019</w:t>
      </w:r>
    </w:p>
    <w:p w14:paraId="36FAFC14" w14:textId="77777777" w:rsidR="00AA6169" w:rsidRDefault="00AA6169" w:rsidP="00AA6169">
      <w:pPr>
        <w:numPr>
          <w:ilvl w:val="0"/>
          <w:numId w:val="15"/>
        </w:numPr>
        <w:spacing w:after="0" w:line="240" w:lineRule="auto"/>
        <w:rPr>
          <w:rFonts w:cs="Arial"/>
        </w:rPr>
      </w:pPr>
      <w:r>
        <w:rPr>
          <w:rFonts w:cs="Arial"/>
        </w:rPr>
        <w:t>Boehringer Ingelheim Ltd</w:t>
      </w:r>
      <w:r w:rsidRPr="00D2580F">
        <w:rPr>
          <w:rFonts w:cs="Arial"/>
        </w:rPr>
        <w:t>. Summary of Product Characteristics for</w:t>
      </w:r>
      <w:r>
        <w:rPr>
          <w:rFonts w:cs="Arial"/>
        </w:rPr>
        <w:t xml:space="preserve"> Pradaxa 110mg hard capsules</w:t>
      </w:r>
      <w:r w:rsidRPr="00D2580F">
        <w:rPr>
          <w:rFonts w:cs="Arial"/>
        </w:rPr>
        <w:t xml:space="preserve">. Accessed online via: </w:t>
      </w:r>
      <w:hyperlink r:id="rId15" w:history="1">
        <w:r w:rsidRPr="002632F7">
          <w:rPr>
            <w:rStyle w:val="Hyperlink"/>
            <w:rFonts w:cs="Arial"/>
          </w:rPr>
          <w:t>http://www.medicines.org.uk/emc/</w:t>
        </w:r>
      </w:hyperlink>
      <w:r>
        <w:rPr>
          <w:rFonts w:cs="Arial"/>
        </w:rPr>
        <w:t xml:space="preserve"> </w:t>
      </w:r>
      <w:r w:rsidRPr="00D2580F">
        <w:rPr>
          <w:rFonts w:cs="Arial"/>
        </w:rPr>
        <w:t>on</w:t>
      </w:r>
      <w:r>
        <w:rPr>
          <w:rFonts w:cs="Arial"/>
        </w:rPr>
        <w:t xml:space="preserve"> </w:t>
      </w:r>
      <w:r w:rsidR="002B7414">
        <w:rPr>
          <w:rFonts w:cs="Arial"/>
        </w:rPr>
        <w:t>9/7/2019</w:t>
      </w:r>
      <w:r w:rsidRPr="00AE521E">
        <w:t xml:space="preserve"> </w:t>
      </w:r>
      <w:r w:rsidRPr="00AE521E">
        <w:rPr>
          <w:rFonts w:cs="Arial"/>
        </w:rPr>
        <w:t xml:space="preserve">[date of revision of the text </w:t>
      </w:r>
      <w:r w:rsidR="002B7414">
        <w:rPr>
          <w:rFonts w:cs="Arial"/>
        </w:rPr>
        <w:t>May 2019</w:t>
      </w:r>
      <w:r>
        <w:rPr>
          <w:rFonts w:cs="Arial"/>
        </w:rPr>
        <w:t>]</w:t>
      </w:r>
    </w:p>
    <w:p w14:paraId="55A54C61" w14:textId="77777777" w:rsidR="00AA6169" w:rsidRPr="006F159D" w:rsidRDefault="00AA6169" w:rsidP="00AA6169">
      <w:pPr>
        <w:numPr>
          <w:ilvl w:val="0"/>
          <w:numId w:val="15"/>
        </w:numPr>
        <w:spacing w:after="0" w:line="240" w:lineRule="auto"/>
        <w:rPr>
          <w:rFonts w:cs="Arial"/>
        </w:rPr>
      </w:pPr>
      <w:r w:rsidRPr="006F159D">
        <w:rPr>
          <w:rFonts w:cs="Arial"/>
        </w:rPr>
        <w:lastRenderedPageBreak/>
        <w:t xml:space="preserve">Bayer plc. Summary of Product Characteristics for Xarelto </w:t>
      </w:r>
      <w:r>
        <w:rPr>
          <w:rFonts w:cs="Arial"/>
        </w:rPr>
        <w:t>20</w:t>
      </w:r>
      <w:r w:rsidRPr="006F159D">
        <w:rPr>
          <w:rFonts w:cs="Arial"/>
        </w:rPr>
        <w:t>mg film-coated tablets</w:t>
      </w:r>
      <w:r w:rsidR="008D5258">
        <w:rPr>
          <w:rFonts w:cs="Arial"/>
        </w:rPr>
        <w:t>.</w:t>
      </w:r>
      <w:r w:rsidRPr="006F159D">
        <w:rPr>
          <w:rFonts w:cs="Arial"/>
        </w:rPr>
        <w:t xml:space="preserve"> Accessed online via: </w:t>
      </w:r>
      <w:hyperlink r:id="rId16" w:history="1">
        <w:r w:rsidRPr="006F159D">
          <w:rPr>
            <w:rStyle w:val="Hyperlink"/>
            <w:rFonts w:cs="Arial"/>
          </w:rPr>
          <w:t>http://www.medicines.org.uk/emc/</w:t>
        </w:r>
      </w:hyperlink>
      <w:r w:rsidRPr="006F159D">
        <w:rPr>
          <w:rFonts w:cs="Arial"/>
        </w:rPr>
        <w:t xml:space="preserve"> on </w:t>
      </w:r>
      <w:r w:rsidR="007C1BF5">
        <w:rPr>
          <w:rFonts w:cs="Arial"/>
        </w:rPr>
        <w:t>9/7/2019</w:t>
      </w:r>
      <w:r w:rsidRPr="006F159D">
        <w:rPr>
          <w:rFonts w:cs="Arial"/>
        </w:rPr>
        <w:t xml:space="preserve"> [date of revision of the text </w:t>
      </w:r>
      <w:r>
        <w:rPr>
          <w:rFonts w:cs="Arial"/>
        </w:rPr>
        <w:t xml:space="preserve"> </w:t>
      </w:r>
      <w:r w:rsidR="00EB1861">
        <w:rPr>
          <w:rFonts w:cs="Arial"/>
        </w:rPr>
        <w:t>06/2019</w:t>
      </w:r>
      <w:r w:rsidRPr="006F159D">
        <w:rPr>
          <w:rFonts w:cs="Arial"/>
        </w:rPr>
        <w:t>]</w:t>
      </w:r>
    </w:p>
    <w:p w14:paraId="416FF929" w14:textId="77777777" w:rsidR="00AA6169" w:rsidRDefault="00AA6169" w:rsidP="00AA6169">
      <w:pPr>
        <w:numPr>
          <w:ilvl w:val="0"/>
          <w:numId w:val="15"/>
        </w:numPr>
        <w:spacing w:after="0" w:line="240" w:lineRule="auto"/>
        <w:rPr>
          <w:rFonts w:cs="Arial"/>
        </w:rPr>
      </w:pPr>
      <w:r w:rsidRPr="0021319D">
        <w:rPr>
          <w:rFonts w:cs="Arial"/>
        </w:rPr>
        <w:t>Bristol-Myers Squibb-Pfizer. Summary of Product Characteristics for Eliquis 5mg film-coated tablets</w:t>
      </w:r>
      <w:r w:rsidR="00D9242D">
        <w:rPr>
          <w:rFonts w:cs="Arial"/>
        </w:rPr>
        <w:t>.</w:t>
      </w:r>
      <w:r w:rsidRPr="0021319D">
        <w:rPr>
          <w:rFonts w:cs="Arial"/>
        </w:rPr>
        <w:t xml:space="preserve"> Accessed online via: </w:t>
      </w:r>
      <w:hyperlink r:id="rId17" w:history="1">
        <w:r w:rsidRPr="0021319D">
          <w:rPr>
            <w:rStyle w:val="Hyperlink"/>
            <w:rFonts w:cs="Arial"/>
          </w:rPr>
          <w:t>http://www.medicines.org.uk/emc/</w:t>
        </w:r>
      </w:hyperlink>
      <w:r w:rsidRPr="0021319D">
        <w:rPr>
          <w:rFonts w:cs="Arial"/>
        </w:rPr>
        <w:t xml:space="preserve"> on </w:t>
      </w:r>
      <w:r w:rsidR="000B4A73">
        <w:rPr>
          <w:rFonts w:cs="Arial"/>
        </w:rPr>
        <w:t>9/7/2019</w:t>
      </w:r>
      <w:r w:rsidRPr="0021319D">
        <w:rPr>
          <w:rFonts w:cs="Arial"/>
        </w:rPr>
        <w:t xml:space="preserve"> [date of revision of the text </w:t>
      </w:r>
      <w:r w:rsidR="000B4A73">
        <w:rPr>
          <w:rFonts w:cs="Arial"/>
        </w:rPr>
        <w:t>1/7/2019</w:t>
      </w:r>
      <w:r w:rsidRPr="0021319D">
        <w:rPr>
          <w:rFonts w:cs="Arial"/>
        </w:rPr>
        <w:t>]</w:t>
      </w:r>
    </w:p>
    <w:p w14:paraId="7FB65E27" w14:textId="77777777" w:rsidR="002A6774" w:rsidRPr="00EF7A4C" w:rsidRDefault="002A6774" w:rsidP="002A6774">
      <w:pPr>
        <w:pStyle w:val="ListParagraph"/>
        <w:numPr>
          <w:ilvl w:val="0"/>
          <w:numId w:val="15"/>
        </w:numPr>
        <w:spacing w:after="0" w:line="240" w:lineRule="auto"/>
        <w:rPr>
          <w:rFonts w:cs="Arial"/>
        </w:rPr>
      </w:pPr>
      <w:r w:rsidRPr="0021319D">
        <w:rPr>
          <w:rFonts w:cs="Arial"/>
        </w:rPr>
        <w:t xml:space="preserve">Daiichi Sankyo UK Ltd. Summary of Product Characteristics for Lixiana 30mg Film-Coated Tablets. Accessed online via: </w:t>
      </w:r>
      <w:hyperlink r:id="rId18" w:history="1">
        <w:r w:rsidRPr="0021319D">
          <w:rPr>
            <w:rStyle w:val="Hyperlink"/>
            <w:rFonts w:cs="Arial"/>
          </w:rPr>
          <w:t>http://www.medicines.org.uk/emc/</w:t>
        </w:r>
      </w:hyperlink>
      <w:r w:rsidRPr="0021319D">
        <w:rPr>
          <w:rFonts w:cs="Arial"/>
        </w:rPr>
        <w:t xml:space="preserve"> </w:t>
      </w:r>
      <w:r>
        <w:rPr>
          <w:rFonts w:cs="Arial"/>
        </w:rPr>
        <w:t>on 9/7/2019</w:t>
      </w:r>
      <w:r w:rsidRPr="00EF7A4C">
        <w:rPr>
          <w:rFonts w:cs="Arial"/>
        </w:rPr>
        <w:t xml:space="preserve"> [date of revision of the text </w:t>
      </w:r>
      <w:r>
        <w:rPr>
          <w:rFonts w:cs="Arial"/>
        </w:rPr>
        <w:t>13/5/2019</w:t>
      </w:r>
      <w:r w:rsidRPr="00EF7A4C">
        <w:rPr>
          <w:rFonts w:cs="Arial"/>
        </w:rPr>
        <w:t>]</w:t>
      </w:r>
    </w:p>
    <w:p w14:paraId="1246EA38" w14:textId="77777777" w:rsidR="00AA6169" w:rsidRDefault="00AA6169" w:rsidP="00AA6169">
      <w:pPr>
        <w:pStyle w:val="ListParagraph"/>
        <w:numPr>
          <w:ilvl w:val="0"/>
          <w:numId w:val="15"/>
        </w:numPr>
        <w:spacing w:after="0" w:line="240" w:lineRule="auto"/>
        <w:rPr>
          <w:rFonts w:cs="Arial"/>
        </w:rPr>
      </w:pPr>
      <w:r w:rsidRPr="0021319D">
        <w:rPr>
          <w:rFonts w:cs="Arial"/>
        </w:rPr>
        <w:t xml:space="preserve">Minor C, Tellor KB, Armbruster AL. Edoxaban, a novel oral factor Xa inhibitor. Annals of </w:t>
      </w:r>
      <w:r w:rsidR="004C09C4" w:rsidRPr="0021319D">
        <w:rPr>
          <w:rFonts w:cs="Arial"/>
        </w:rPr>
        <w:t>Pharmaco</w:t>
      </w:r>
      <w:r w:rsidR="004C09C4">
        <w:rPr>
          <w:rFonts w:cs="Arial"/>
        </w:rPr>
        <w:t>therapy</w:t>
      </w:r>
      <w:r w:rsidR="004C09C4" w:rsidRPr="0021319D">
        <w:rPr>
          <w:rFonts w:cs="Arial"/>
        </w:rPr>
        <w:t xml:space="preserve"> </w:t>
      </w:r>
      <w:r w:rsidRPr="0021319D">
        <w:rPr>
          <w:rFonts w:cs="Arial"/>
        </w:rPr>
        <w:t xml:space="preserve">2015;49(7):843-850 </w:t>
      </w:r>
    </w:p>
    <w:p w14:paraId="4594171F" w14:textId="77777777" w:rsidR="00AA6169" w:rsidRDefault="00AA6169" w:rsidP="00AA6169">
      <w:pPr>
        <w:numPr>
          <w:ilvl w:val="0"/>
          <w:numId w:val="15"/>
        </w:numPr>
        <w:spacing w:after="0" w:line="240" w:lineRule="auto"/>
        <w:rPr>
          <w:rFonts w:cs="Arial"/>
        </w:rPr>
      </w:pPr>
      <w:r>
        <w:rPr>
          <w:rFonts w:cs="Arial"/>
        </w:rPr>
        <w:t xml:space="preserve">Memorial Sloan Kettering Cancer </w:t>
      </w:r>
      <w:r w:rsidR="00EA528B">
        <w:rPr>
          <w:rFonts w:cs="Arial"/>
        </w:rPr>
        <w:t>Center</w:t>
      </w:r>
      <w:r>
        <w:rPr>
          <w:rFonts w:cs="Arial"/>
        </w:rPr>
        <w:t>. About herbs</w:t>
      </w:r>
      <w:r w:rsidR="00EA528B">
        <w:rPr>
          <w:rFonts w:cs="Arial"/>
        </w:rPr>
        <w:t>, botanicals &amp; other products</w:t>
      </w:r>
      <w:r>
        <w:rPr>
          <w:rFonts w:cs="Arial"/>
        </w:rPr>
        <w:t xml:space="preserve">. Accessed online via </w:t>
      </w:r>
      <w:hyperlink r:id="rId19" w:history="1">
        <w:r w:rsidR="00FC70B9" w:rsidRPr="0074415E">
          <w:rPr>
            <w:rStyle w:val="Hyperlink"/>
            <w:rFonts w:cs="Arial"/>
          </w:rPr>
          <w:t>https://www.mskcc.org/cancer-care/diagnosis-treatment/symptom-management/integrative-medicine/herbs/search</w:t>
        </w:r>
      </w:hyperlink>
      <w:r w:rsidR="00FC70B9">
        <w:rPr>
          <w:rFonts w:cs="Arial"/>
        </w:rPr>
        <w:t xml:space="preserve"> </w:t>
      </w:r>
      <w:r w:rsidRPr="00FC70B9">
        <w:rPr>
          <w:rStyle w:val="Hyperlink"/>
          <w:rFonts w:cs="Arial"/>
          <w:color w:val="000000" w:themeColor="text1"/>
          <w:u w:val="none"/>
        </w:rPr>
        <w:t xml:space="preserve">on </w:t>
      </w:r>
      <w:r w:rsidR="008A282E">
        <w:rPr>
          <w:rStyle w:val="Hyperlink"/>
          <w:rFonts w:cs="Arial"/>
          <w:color w:val="000000" w:themeColor="text1"/>
          <w:u w:val="none"/>
        </w:rPr>
        <w:t>31/7/2019</w:t>
      </w:r>
    </w:p>
    <w:p w14:paraId="5D47E39D" w14:textId="77777777" w:rsidR="00BB1CF5" w:rsidRDefault="00BB1CF5" w:rsidP="00BB1CF5">
      <w:pPr>
        <w:numPr>
          <w:ilvl w:val="0"/>
          <w:numId w:val="15"/>
        </w:numPr>
        <w:spacing w:after="0" w:line="240" w:lineRule="auto"/>
        <w:rPr>
          <w:rFonts w:cs="Arial"/>
        </w:rPr>
      </w:pPr>
      <w:r w:rsidRPr="003C00BD">
        <w:rPr>
          <w:rFonts w:cs="Arial"/>
          <w:color w:val="000000" w:themeColor="text1"/>
          <w:lang w:val="en"/>
        </w:rPr>
        <w:t xml:space="preserve">Williamson E, Driver S, Baxter K, Preston CL (eds), </w:t>
      </w:r>
      <w:r w:rsidRPr="003C00BD">
        <w:rPr>
          <w:rStyle w:val="Emphasis"/>
          <w:rFonts w:cs="Arial"/>
          <w:i w:val="0"/>
          <w:color w:val="000000" w:themeColor="text1"/>
          <w:lang w:val="en"/>
        </w:rPr>
        <w:t>Stockley's Herbal Medicines Interactions</w:t>
      </w:r>
      <w:r w:rsidRPr="003C00BD">
        <w:rPr>
          <w:rFonts w:cs="Arial"/>
          <w:i/>
          <w:color w:val="000000" w:themeColor="text1"/>
          <w:lang w:val="en"/>
        </w:rPr>
        <w:t>.</w:t>
      </w:r>
      <w:r w:rsidRPr="003C00BD">
        <w:rPr>
          <w:rFonts w:cs="Arial"/>
          <w:color w:val="000000" w:themeColor="text1"/>
          <w:lang w:val="en"/>
        </w:rPr>
        <w:t xml:space="preserve"> [online] London: Pharmaceutical Press</w:t>
      </w:r>
      <w:r w:rsidRPr="003C00BD">
        <w:rPr>
          <w:rFonts w:cs="Arial"/>
          <w:color w:val="333333"/>
          <w:lang w:val="en"/>
        </w:rPr>
        <w:t>.</w:t>
      </w:r>
      <w:r w:rsidR="006E00DA">
        <w:rPr>
          <w:rFonts w:cs="Arial"/>
          <w:color w:val="333333"/>
          <w:lang w:val="en"/>
        </w:rPr>
        <w:t xml:space="preserve"> </w:t>
      </w:r>
      <w:r>
        <w:rPr>
          <w:rFonts w:cs="Arial"/>
        </w:rPr>
        <w:t xml:space="preserve">Accessed online via: </w:t>
      </w:r>
      <w:hyperlink r:id="rId20" w:history="1">
        <w:r w:rsidRPr="00407AA1">
          <w:rPr>
            <w:rStyle w:val="Hyperlink"/>
            <w:rFonts w:cs="Arial"/>
          </w:rPr>
          <w:t>https://www.medicinescomplete.com</w:t>
        </w:r>
      </w:hyperlink>
      <w:r>
        <w:rPr>
          <w:rFonts w:cs="Arial"/>
        </w:rPr>
        <w:t xml:space="preserve">  </w:t>
      </w:r>
      <w:r w:rsidRPr="001F2BD5">
        <w:rPr>
          <w:rFonts w:cs="Arial"/>
        </w:rPr>
        <w:t xml:space="preserve">on </w:t>
      </w:r>
      <w:r>
        <w:rPr>
          <w:rFonts w:cs="Arial"/>
        </w:rPr>
        <w:t>15/7/2019</w:t>
      </w:r>
    </w:p>
    <w:p w14:paraId="29F3F8B2" w14:textId="77777777" w:rsidR="00F07951" w:rsidRDefault="00F07951" w:rsidP="00F07951">
      <w:pPr>
        <w:numPr>
          <w:ilvl w:val="0"/>
          <w:numId w:val="15"/>
        </w:numPr>
        <w:spacing w:after="0" w:line="240" w:lineRule="auto"/>
        <w:rPr>
          <w:rFonts w:cs="Arial"/>
        </w:rPr>
      </w:pPr>
      <w:r>
        <w:rPr>
          <w:rFonts w:cs="Arial"/>
        </w:rPr>
        <w:t xml:space="preserve">Natural Standard. Siberian ginseng: A review of the literature. Natural Medicine Journal 2012;4(3) </w:t>
      </w:r>
      <w:hyperlink r:id="rId21" w:history="1">
        <w:r w:rsidRPr="00B5017E">
          <w:rPr>
            <w:rStyle w:val="Hyperlink"/>
            <w:rFonts w:cs="Arial"/>
          </w:rPr>
          <w:t>https://www.naturalmedicinejournal.com/</w:t>
        </w:r>
      </w:hyperlink>
      <w:r>
        <w:rPr>
          <w:rFonts w:cs="Arial"/>
        </w:rPr>
        <w:t xml:space="preserve"> </w:t>
      </w:r>
    </w:p>
    <w:p w14:paraId="0F988568" w14:textId="77777777" w:rsidR="00A87ADE" w:rsidRDefault="00A87ADE" w:rsidP="00A87ADE">
      <w:pPr>
        <w:numPr>
          <w:ilvl w:val="0"/>
          <w:numId w:val="15"/>
        </w:numPr>
        <w:spacing w:after="0" w:line="240" w:lineRule="auto"/>
        <w:rPr>
          <w:rFonts w:cs="Arial"/>
        </w:rPr>
      </w:pPr>
      <w:r w:rsidRPr="006773D8">
        <w:rPr>
          <w:rFonts w:cs="Arial"/>
        </w:rPr>
        <w:t>Shivamurthy</w:t>
      </w:r>
      <w:r>
        <w:rPr>
          <w:rFonts w:cs="Arial"/>
        </w:rPr>
        <w:t xml:space="preserve"> P, </w:t>
      </w:r>
      <w:r w:rsidRPr="006773D8">
        <w:rPr>
          <w:rFonts w:cs="Arial"/>
        </w:rPr>
        <w:t>Brar N; Therrien ML</w:t>
      </w:r>
      <w:r>
        <w:rPr>
          <w:rFonts w:cs="Arial"/>
        </w:rPr>
        <w:t xml:space="preserve">. </w:t>
      </w:r>
      <w:r w:rsidRPr="006773D8">
        <w:rPr>
          <w:rFonts w:cs="Arial"/>
        </w:rPr>
        <w:t>Isolated hemopericardium associated with rivaroxaban: first case report.</w:t>
      </w:r>
      <w:r>
        <w:rPr>
          <w:rFonts w:cs="Arial"/>
        </w:rPr>
        <w:t xml:space="preserve"> </w:t>
      </w:r>
      <w:r w:rsidRPr="006773D8">
        <w:rPr>
          <w:rFonts w:cs="Arial"/>
        </w:rPr>
        <w:t>Pharmacotherapy:</w:t>
      </w:r>
      <w:r>
        <w:rPr>
          <w:rFonts w:cs="Arial"/>
        </w:rPr>
        <w:t xml:space="preserve"> </w:t>
      </w:r>
      <w:r w:rsidRPr="006773D8">
        <w:rPr>
          <w:rFonts w:cs="Arial"/>
        </w:rPr>
        <w:t>The Journal of Human Pharmacology &amp; Drug Therapy</w:t>
      </w:r>
      <w:r>
        <w:rPr>
          <w:rFonts w:cs="Arial"/>
        </w:rPr>
        <w:t xml:space="preserve">. </w:t>
      </w:r>
      <w:r w:rsidRPr="006773D8">
        <w:rPr>
          <w:rFonts w:cs="Arial"/>
        </w:rPr>
        <w:t>2014</w:t>
      </w:r>
      <w:r>
        <w:rPr>
          <w:rFonts w:cs="Arial"/>
        </w:rPr>
        <w:t>;</w:t>
      </w:r>
      <w:r w:rsidRPr="006773D8">
        <w:rPr>
          <w:rFonts w:cs="Arial"/>
        </w:rPr>
        <w:t>34</w:t>
      </w:r>
      <w:r>
        <w:rPr>
          <w:rFonts w:cs="Arial"/>
        </w:rPr>
        <w:t>(</w:t>
      </w:r>
      <w:r w:rsidRPr="006773D8">
        <w:rPr>
          <w:rFonts w:cs="Arial"/>
        </w:rPr>
        <w:t>9</w:t>
      </w:r>
      <w:r>
        <w:rPr>
          <w:rFonts w:cs="Arial"/>
        </w:rPr>
        <w:t>):</w:t>
      </w:r>
      <w:r w:rsidRPr="006773D8">
        <w:rPr>
          <w:rFonts w:cs="Arial"/>
        </w:rPr>
        <w:t>e169-</w:t>
      </w:r>
      <w:r>
        <w:rPr>
          <w:rFonts w:cs="Arial"/>
        </w:rPr>
        <w:t>e1</w:t>
      </w:r>
      <w:r w:rsidRPr="006773D8">
        <w:rPr>
          <w:rFonts w:cs="Arial"/>
        </w:rPr>
        <w:t>72</w:t>
      </w:r>
    </w:p>
    <w:p w14:paraId="694297DB" w14:textId="77777777" w:rsidR="00AA6169" w:rsidRDefault="00AA6169" w:rsidP="00427F92">
      <w:pPr>
        <w:pStyle w:val="Heading2"/>
      </w:pPr>
    </w:p>
    <w:p w14:paraId="3AC8ABCA" w14:textId="77777777" w:rsidR="00427F92" w:rsidRPr="00B1695F" w:rsidRDefault="00427F92" w:rsidP="00427F92">
      <w:pPr>
        <w:pStyle w:val="Heading2"/>
      </w:pPr>
      <w:r w:rsidRPr="00B00B12">
        <w:t xml:space="preserve">Quality Assurance </w:t>
      </w:r>
    </w:p>
    <w:p w14:paraId="3F732831" w14:textId="77777777" w:rsidR="00427F92" w:rsidRPr="00B00B12" w:rsidRDefault="00427F92" w:rsidP="00427F92">
      <w:pPr>
        <w:pStyle w:val="Heading3"/>
        <w:rPr>
          <w:lang w:val="en-US"/>
        </w:rPr>
      </w:pPr>
      <w:r w:rsidRPr="00B00B12">
        <w:rPr>
          <w:lang w:val="en-US"/>
        </w:rPr>
        <w:t>Prepared by</w:t>
      </w:r>
    </w:p>
    <w:p w14:paraId="3FD9C867" w14:textId="77777777" w:rsidR="00427F92" w:rsidRPr="006945F6" w:rsidRDefault="00792733" w:rsidP="00427F92">
      <w:pPr>
        <w:rPr>
          <w:lang w:val="en-US"/>
        </w:rPr>
      </w:pPr>
      <w:r>
        <w:rPr>
          <w:lang w:val="en-US"/>
        </w:rPr>
        <w:t>Gillian Lewis, South West Medicines Information, University Hospitals Bristol NHS Foundation Trust</w:t>
      </w:r>
    </w:p>
    <w:p w14:paraId="20E9E0C6" w14:textId="77777777" w:rsidR="00427F92" w:rsidRPr="00B00B12" w:rsidRDefault="00427F92" w:rsidP="00427F92">
      <w:pPr>
        <w:pStyle w:val="Heading3"/>
        <w:rPr>
          <w:lang w:val="en-US"/>
        </w:rPr>
      </w:pPr>
      <w:r w:rsidRPr="00B00B12">
        <w:rPr>
          <w:lang w:val="en-US"/>
        </w:rPr>
        <w:t>Date Prepared</w:t>
      </w:r>
    </w:p>
    <w:p w14:paraId="4760DF1A" w14:textId="77777777" w:rsidR="003E691F" w:rsidRDefault="00B164F6" w:rsidP="00427F92">
      <w:pPr>
        <w:spacing w:after="0" w:line="240" w:lineRule="auto"/>
        <w:rPr>
          <w:lang w:val="en-US"/>
        </w:rPr>
      </w:pPr>
      <w:r>
        <w:rPr>
          <w:lang w:val="en-US"/>
        </w:rPr>
        <w:t>26</w:t>
      </w:r>
      <w:r w:rsidRPr="00515D43">
        <w:rPr>
          <w:vertAlign w:val="superscript"/>
          <w:lang w:val="en-US"/>
        </w:rPr>
        <w:t>th</w:t>
      </w:r>
      <w:r>
        <w:rPr>
          <w:lang w:val="en-US"/>
        </w:rPr>
        <w:t xml:space="preserve"> March 2020</w:t>
      </w:r>
    </w:p>
    <w:p w14:paraId="6A5BB3BF" w14:textId="77777777" w:rsidR="003E691F" w:rsidRDefault="003E691F" w:rsidP="00427F92">
      <w:pPr>
        <w:spacing w:after="0" w:line="240" w:lineRule="auto"/>
        <w:rPr>
          <w:lang w:val="en-US"/>
        </w:rPr>
      </w:pPr>
    </w:p>
    <w:p w14:paraId="5B0B9547" w14:textId="77777777" w:rsidR="00427F92" w:rsidRDefault="00427F92" w:rsidP="00427F92">
      <w:pPr>
        <w:spacing w:after="0" w:line="240" w:lineRule="auto"/>
        <w:rPr>
          <w:rFonts w:eastAsia="Times New Roman" w:cs="Arial"/>
          <w:szCs w:val="20"/>
          <w:lang w:val="en-US"/>
        </w:rPr>
      </w:pPr>
      <w:r w:rsidRPr="00B1695F">
        <w:rPr>
          <w:rStyle w:val="Heading3Char"/>
          <w:rFonts w:eastAsia="Calibri"/>
        </w:rPr>
        <w:t>Checked by</w:t>
      </w:r>
      <w:r w:rsidRPr="00B00B12">
        <w:rPr>
          <w:rFonts w:eastAsia="Times New Roman" w:cs="Arial"/>
          <w:b/>
          <w:color w:val="0000FF"/>
          <w:szCs w:val="20"/>
          <w:lang w:val="en-US"/>
        </w:rPr>
        <w:br/>
      </w:r>
      <w:r w:rsidR="00792733">
        <w:rPr>
          <w:rFonts w:eastAsia="Times New Roman" w:cs="Arial"/>
          <w:szCs w:val="20"/>
          <w:lang w:val="en-US"/>
        </w:rPr>
        <w:t xml:space="preserve">Michèle Skipp, South West Medicines Information, University Hospitals Bristol NHS Foundation Trust </w:t>
      </w:r>
    </w:p>
    <w:p w14:paraId="666ABE66" w14:textId="77777777" w:rsidR="00427F92" w:rsidRDefault="00427F92" w:rsidP="00427F92">
      <w:pPr>
        <w:pStyle w:val="Heading3"/>
        <w:rPr>
          <w:lang w:val="en-US"/>
        </w:rPr>
      </w:pPr>
      <w:r w:rsidRPr="00B00B12">
        <w:rPr>
          <w:lang w:val="en-US"/>
        </w:rPr>
        <w:t>Date of chec</w:t>
      </w:r>
      <w:r>
        <w:rPr>
          <w:lang w:val="en-US"/>
        </w:rPr>
        <w:t>k</w:t>
      </w:r>
    </w:p>
    <w:p w14:paraId="281747B1" w14:textId="77777777" w:rsidR="005D01CF" w:rsidRPr="005D01CF" w:rsidRDefault="005D01CF" w:rsidP="00515D43">
      <w:pPr>
        <w:rPr>
          <w:lang w:val="en-US"/>
        </w:rPr>
      </w:pPr>
      <w:r>
        <w:rPr>
          <w:lang w:val="en-US"/>
        </w:rPr>
        <w:t>31</w:t>
      </w:r>
      <w:r w:rsidRPr="00515D43">
        <w:rPr>
          <w:vertAlign w:val="superscript"/>
          <w:lang w:val="en-US"/>
        </w:rPr>
        <w:t>st</w:t>
      </w:r>
      <w:r>
        <w:rPr>
          <w:lang w:val="en-US"/>
        </w:rPr>
        <w:t xml:space="preserve"> March 2020</w:t>
      </w:r>
    </w:p>
    <w:p w14:paraId="202615B6" w14:textId="77777777" w:rsidR="00427F92" w:rsidRPr="00B00B12" w:rsidRDefault="00427F92" w:rsidP="00427F92">
      <w:pPr>
        <w:pStyle w:val="Heading3"/>
        <w:rPr>
          <w:lang w:val="en-US"/>
        </w:rPr>
      </w:pPr>
      <w:r w:rsidRPr="00B00B12">
        <w:rPr>
          <w:lang w:val="en-US"/>
        </w:rPr>
        <w:t>Search strategy</w:t>
      </w:r>
      <w:r w:rsidR="003C00BD">
        <w:rPr>
          <w:lang w:val="en-US"/>
        </w:rPr>
        <w:br/>
      </w:r>
    </w:p>
    <w:p w14:paraId="701BBABC" w14:textId="77777777" w:rsidR="00427F92" w:rsidRPr="00B00B12" w:rsidRDefault="00427F92" w:rsidP="004D3012">
      <w:pPr>
        <w:numPr>
          <w:ilvl w:val="0"/>
          <w:numId w:val="16"/>
        </w:numPr>
        <w:rPr>
          <w:lang w:val="en-US"/>
        </w:rPr>
      </w:pPr>
      <w:r w:rsidRPr="00B00B12">
        <w:rPr>
          <w:lang w:val="en-US"/>
        </w:rPr>
        <w:t>Embase</w:t>
      </w:r>
      <w:r w:rsidR="009458E9">
        <w:rPr>
          <w:lang w:val="en-US"/>
        </w:rPr>
        <w:t xml:space="preserve"> (via HDAS):</w:t>
      </w:r>
      <w:r w:rsidRPr="00B00B12">
        <w:rPr>
          <w:lang w:val="en-US"/>
        </w:rPr>
        <w:t xml:space="preserve"> </w:t>
      </w:r>
      <w:r w:rsidR="00AE0ACC">
        <w:rPr>
          <w:lang w:val="en-US"/>
        </w:rPr>
        <w:t>[</w:t>
      </w:r>
      <w:r w:rsidR="004D3012" w:rsidRPr="004D3012">
        <w:rPr>
          <w:lang w:val="en-US"/>
        </w:rPr>
        <w:t>exp ANTITHROMBINS or exp "</w:t>
      </w:r>
      <w:r w:rsidR="004D3012">
        <w:rPr>
          <w:lang w:val="en-US"/>
        </w:rPr>
        <w:t>BLOOD CLOTTING FACTOR 10A INHIBITOR</w:t>
      </w:r>
      <w:r w:rsidR="004D3012" w:rsidRPr="004D3012">
        <w:rPr>
          <w:lang w:val="en-US"/>
        </w:rPr>
        <w:t>"</w:t>
      </w:r>
      <w:r w:rsidR="004D3012">
        <w:rPr>
          <w:lang w:val="en-US"/>
        </w:rPr>
        <w:t xml:space="preserve"> or </w:t>
      </w:r>
      <w:r w:rsidR="009458E9" w:rsidRPr="009458E9">
        <w:rPr>
          <w:lang w:val="en-US"/>
        </w:rPr>
        <w:t>exp "DABIGATRAN " or exp RIVAROXABAN or exp APIXABAN or exp EDOXABAN</w:t>
      </w:r>
      <w:r w:rsidR="00AE0ACC">
        <w:rPr>
          <w:lang w:val="en-US"/>
        </w:rPr>
        <w:t>]</w:t>
      </w:r>
      <w:r w:rsidR="009458E9" w:rsidRPr="009458E9">
        <w:rPr>
          <w:lang w:val="en-US"/>
        </w:rPr>
        <w:t xml:space="preserve"> and </w:t>
      </w:r>
      <w:r w:rsidR="00AE0ACC">
        <w:rPr>
          <w:lang w:val="en-US"/>
        </w:rPr>
        <w:t>[</w:t>
      </w:r>
      <w:r w:rsidR="009458E9" w:rsidRPr="009458E9">
        <w:rPr>
          <w:lang w:val="en-US"/>
        </w:rPr>
        <w:t>exp "HERBAL MEDICINE" or exp "DIET</w:t>
      </w:r>
      <w:r w:rsidR="004D3012">
        <w:rPr>
          <w:lang w:val="en-US"/>
        </w:rPr>
        <w:t>ARY</w:t>
      </w:r>
      <w:r w:rsidR="009458E9" w:rsidRPr="009458E9">
        <w:rPr>
          <w:lang w:val="en-US"/>
        </w:rPr>
        <w:t xml:space="preserve"> SUPPLEMENT"</w:t>
      </w:r>
      <w:r w:rsidR="00AE0ACC">
        <w:rPr>
          <w:lang w:val="en-US"/>
        </w:rPr>
        <w:t>]</w:t>
      </w:r>
    </w:p>
    <w:p w14:paraId="72D7B368" w14:textId="77777777" w:rsidR="00427F92" w:rsidRPr="00B1695F" w:rsidRDefault="00427F92" w:rsidP="009458E9">
      <w:pPr>
        <w:numPr>
          <w:ilvl w:val="0"/>
          <w:numId w:val="16"/>
        </w:numPr>
        <w:rPr>
          <w:lang w:val="en-US"/>
        </w:rPr>
      </w:pPr>
      <w:r w:rsidRPr="00B00B12">
        <w:rPr>
          <w:lang w:val="en-US"/>
        </w:rPr>
        <w:t>Medline</w:t>
      </w:r>
      <w:r w:rsidR="00453D9C">
        <w:rPr>
          <w:lang w:val="en-US"/>
        </w:rPr>
        <w:t>:</w:t>
      </w:r>
      <w:r w:rsidRPr="00B00B12">
        <w:rPr>
          <w:lang w:val="en-US"/>
        </w:rPr>
        <w:t xml:space="preserve"> </w:t>
      </w:r>
      <w:r w:rsidR="00AE0ACC">
        <w:rPr>
          <w:lang w:val="en-US"/>
        </w:rPr>
        <w:t>[</w:t>
      </w:r>
      <w:r w:rsidR="009458E9">
        <w:rPr>
          <w:lang w:val="en-US"/>
        </w:rPr>
        <w:t xml:space="preserve">exp </w:t>
      </w:r>
      <w:r w:rsidR="00453D9C" w:rsidRPr="00453D9C">
        <w:rPr>
          <w:lang w:val="en-US"/>
        </w:rPr>
        <w:t xml:space="preserve">ANTITHROMBINS or </w:t>
      </w:r>
      <w:r w:rsidR="009458E9">
        <w:rPr>
          <w:lang w:val="en-US"/>
        </w:rPr>
        <w:t xml:space="preserve">exp </w:t>
      </w:r>
      <w:r w:rsidR="00453D9C" w:rsidRPr="00453D9C">
        <w:rPr>
          <w:lang w:val="en-US"/>
        </w:rPr>
        <w:t xml:space="preserve">"FACTOR XA INHIBITORS" </w:t>
      </w:r>
      <w:r w:rsidR="009458E9">
        <w:rPr>
          <w:lang w:val="en-US"/>
        </w:rPr>
        <w:t xml:space="preserve">or exp </w:t>
      </w:r>
      <w:r w:rsidR="00453D9C" w:rsidRPr="00453D9C">
        <w:rPr>
          <w:lang w:val="en-US"/>
        </w:rPr>
        <w:t xml:space="preserve">DABIGATRAN or </w:t>
      </w:r>
      <w:r w:rsidR="009458E9">
        <w:rPr>
          <w:lang w:val="en-US"/>
        </w:rPr>
        <w:t xml:space="preserve">exp </w:t>
      </w:r>
      <w:r w:rsidR="00453D9C" w:rsidRPr="00453D9C">
        <w:rPr>
          <w:lang w:val="en-US"/>
        </w:rPr>
        <w:t>RIVAROXABAN or (edoxaban).ti,ab or (apixaban).ti,ab</w:t>
      </w:r>
      <w:r w:rsidR="00AE0ACC">
        <w:rPr>
          <w:lang w:val="en-US"/>
        </w:rPr>
        <w:t>]</w:t>
      </w:r>
      <w:r w:rsidR="00453D9C" w:rsidRPr="00453D9C">
        <w:rPr>
          <w:lang w:val="en-US"/>
        </w:rPr>
        <w:t xml:space="preserve"> and </w:t>
      </w:r>
      <w:r w:rsidR="00AE0ACC">
        <w:rPr>
          <w:lang w:val="en-US"/>
        </w:rPr>
        <w:t>[</w:t>
      </w:r>
      <w:r w:rsidR="009458E9">
        <w:rPr>
          <w:lang w:val="en-US"/>
        </w:rPr>
        <w:t xml:space="preserve">exp </w:t>
      </w:r>
      <w:r w:rsidR="00453D9C" w:rsidRPr="00453D9C">
        <w:rPr>
          <w:lang w:val="en-US"/>
        </w:rPr>
        <w:t xml:space="preserve">"HERBAL MEDICINE" or  </w:t>
      </w:r>
      <w:r w:rsidR="009458E9">
        <w:rPr>
          <w:lang w:val="en-US"/>
        </w:rPr>
        <w:t xml:space="preserve">exp </w:t>
      </w:r>
      <w:r w:rsidR="00453D9C" w:rsidRPr="00453D9C">
        <w:rPr>
          <w:lang w:val="en-US"/>
        </w:rPr>
        <w:t>"DIETARY SUPPLEMENTS"</w:t>
      </w:r>
      <w:r w:rsidR="00AE0ACC">
        <w:rPr>
          <w:lang w:val="en-US"/>
        </w:rPr>
        <w:t>]</w:t>
      </w:r>
      <w:r w:rsidR="00453D9C" w:rsidRPr="00453D9C">
        <w:rPr>
          <w:lang w:val="en-US"/>
        </w:rPr>
        <w:t xml:space="preserve"> </w:t>
      </w:r>
    </w:p>
    <w:p w14:paraId="580A9963" w14:textId="77777777" w:rsidR="004D3012" w:rsidRDefault="00427F92" w:rsidP="009458E9">
      <w:pPr>
        <w:numPr>
          <w:ilvl w:val="0"/>
          <w:numId w:val="16"/>
        </w:numPr>
        <w:rPr>
          <w:lang w:val="en-US"/>
        </w:rPr>
      </w:pPr>
      <w:r w:rsidRPr="00B00B12">
        <w:rPr>
          <w:lang w:val="en-US"/>
        </w:rPr>
        <w:t>In-house database/ resources</w:t>
      </w:r>
    </w:p>
    <w:p w14:paraId="29AB4781" w14:textId="77777777" w:rsidR="004D3012" w:rsidRPr="00323D8E" w:rsidRDefault="004D3012" w:rsidP="004D3012">
      <w:pPr>
        <w:pStyle w:val="ListParagraph"/>
        <w:numPr>
          <w:ilvl w:val="0"/>
          <w:numId w:val="17"/>
        </w:numPr>
      </w:pPr>
      <w:r w:rsidRPr="004D3012">
        <w:rPr>
          <w:lang w:val="en-US"/>
        </w:rPr>
        <w:t>Br</w:t>
      </w:r>
      <w:r>
        <w:rPr>
          <w:lang w:val="en-US"/>
        </w:rPr>
        <w:t xml:space="preserve">itish National Formulary online, </w:t>
      </w:r>
      <w:r w:rsidR="00D520CA">
        <w:rPr>
          <w:lang w:val="en-US"/>
        </w:rPr>
        <w:t xml:space="preserve">Martindale </w:t>
      </w:r>
      <w:r w:rsidRPr="004D3012">
        <w:rPr>
          <w:lang w:val="en-US"/>
        </w:rPr>
        <w:t>The Complete Drug Reference</w:t>
      </w:r>
      <w:r>
        <w:rPr>
          <w:lang w:val="en-US"/>
        </w:rPr>
        <w:t xml:space="preserve">, </w:t>
      </w:r>
      <w:r>
        <w:t>Herbal Medicines, Stockley’s Herbal Medicines Interactions:</w:t>
      </w:r>
      <w:r w:rsidRPr="00323D8E">
        <w:t xml:space="preserve"> </w:t>
      </w:r>
      <w:r>
        <w:t>a</w:t>
      </w:r>
      <w:r w:rsidRPr="00323D8E">
        <w:t xml:space="preserve">ccessed via </w:t>
      </w:r>
      <w:hyperlink r:id="rId22" w:history="1">
        <w:r w:rsidRPr="006766EF">
          <w:rPr>
            <w:rStyle w:val="Hyperlink"/>
          </w:rPr>
          <w:t>www.medicinescomplete.com</w:t>
        </w:r>
      </w:hyperlink>
      <w:r>
        <w:t>,</w:t>
      </w:r>
    </w:p>
    <w:p w14:paraId="2AE2DFDB" w14:textId="77777777" w:rsidR="000B5A79" w:rsidRPr="000B5A79" w:rsidRDefault="000B5A79" w:rsidP="000B5A79">
      <w:pPr>
        <w:pStyle w:val="ListParagraph"/>
        <w:numPr>
          <w:ilvl w:val="0"/>
          <w:numId w:val="16"/>
        </w:numPr>
        <w:rPr>
          <w:lang w:val="en-US"/>
        </w:rPr>
      </w:pPr>
      <w:r w:rsidRPr="000B5A79">
        <w:rPr>
          <w:lang w:val="en-US"/>
        </w:rPr>
        <w:t xml:space="preserve">Micromedex® 2.0, (electronic version). Truven Health Analytics, Greenwood Village, Colorado, USA. </w:t>
      </w:r>
    </w:p>
    <w:p w14:paraId="5CB28CAE" w14:textId="77777777" w:rsidR="004F475C" w:rsidRPr="00427F92" w:rsidRDefault="004F475C" w:rsidP="00427F92"/>
    <w:sectPr w:rsidR="004F475C" w:rsidRPr="00427F92" w:rsidSect="004F475C">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BD8D8" w14:textId="77777777" w:rsidR="00535F39" w:rsidRDefault="00535F39" w:rsidP="00B2372E">
      <w:pPr>
        <w:spacing w:after="0" w:line="240" w:lineRule="auto"/>
      </w:pPr>
      <w:r>
        <w:separator/>
      </w:r>
    </w:p>
  </w:endnote>
  <w:endnote w:type="continuationSeparator" w:id="0">
    <w:p w14:paraId="1AD3EEAE" w14:textId="77777777" w:rsidR="00535F39" w:rsidRDefault="00535F39" w:rsidP="00B2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7BE74" w14:textId="77777777" w:rsidR="005848D2" w:rsidRPr="006945F6" w:rsidRDefault="005848D2" w:rsidP="00B2372E">
    <w:pPr>
      <w:pStyle w:val="Footer"/>
      <w:ind w:right="360"/>
      <w:rPr>
        <w:color w:val="A6A6A6"/>
      </w:rPr>
    </w:pPr>
    <w:r w:rsidRPr="006945F6">
      <w:rPr>
        <w:color w:val="A6A6A6"/>
      </w:rPr>
      <w:t xml:space="preserve">Available through </w:t>
    </w:r>
    <w:r>
      <w:rPr>
        <w:color w:val="A6A6A6"/>
      </w:rPr>
      <w:t>Specialist Pharmacy Service</w:t>
    </w:r>
    <w:r w:rsidRPr="006945F6">
      <w:rPr>
        <w:color w:val="A6A6A6"/>
      </w:rPr>
      <w:t xml:space="preserve"> at </w:t>
    </w:r>
  </w:p>
  <w:p w14:paraId="72424499" w14:textId="77777777" w:rsidR="005848D2" w:rsidRPr="006945F6" w:rsidRDefault="006E2E34" w:rsidP="00B2372E">
    <w:pPr>
      <w:pStyle w:val="Footer"/>
      <w:ind w:right="360"/>
      <w:rPr>
        <w:color w:val="A6A6A6"/>
      </w:rPr>
    </w:pPr>
    <w:hyperlink r:id="rId1" w:history="1">
      <w:r w:rsidR="005848D2" w:rsidRPr="00AB2D91">
        <w:rPr>
          <w:rStyle w:val="Hyperlink"/>
        </w:rPr>
        <w:t>www.sps.nhs.uk</w:t>
      </w:r>
    </w:hyperlink>
    <w:r w:rsidR="005848D2">
      <w:rPr>
        <w:color w:val="A6A6A6"/>
      </w:rPr>
      <w:t xml:space="preserve"> </w:t>
    </w:r>
  </w:p>
  <w:p w14:paraId="734EA754" w14:textId="77777777" w:rsidR="005848D2" w:rsidRDefault="005848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6EB14" w14:textId="77777777" w:rsidR="00535F39" w:rsidRDefault="00535F39" w:rsidP="00B2372E">
      <w:pPr>
        <w:spacing w:after="0" w:line="240" w:lineRule="auto"/>
      </w:pPr>
      <w:r>
        <w:separator/>
      </w:r>
    </w:p>
  </w:footnote>
  <w:footnote w:type="continuationSeparator" w:id="0">
    <w:p w14:paraId="6F54C498" w14:textId="77777777" w:rsidR="00535F39" w:rsidRDefault="00535F39" w:rsidP="00B23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255CA" w14:textId="77777777" w:rsidR="005848D2" w:rsidRPr="00B1695F" w:rsidRDefault="005848D2" w:rsidP="003A21B9">
    <w:pPr>
      <w:pStyle w:val="Header"/>
      <w:tabs>
        <w:tab w:val="clear" w:pos="4513"/>
        <w:tab w:val="clear" w:pos="9026"/>
        <w:tab w:val="left" w:pos="7650"/>
      </w:tabs>
      <w:rPr>
        <w:b/>
        <w:color w:val="0070C0"/>
      </w:rPr>
    </w:pPr>
    <w:r>
      <w:rPr>
        <w:b/>
        <w:noProof/>
        <w:color w:val="0070C0"/>
        <w:sz w:val="24"/>
        <w:lang w:eastAsia="en-GB"/>
      </w:rPr>
      <w:drawing>
        <wp:anchor distT="0" distB="0" distL="114300" distR="114300" simplePos="0" relativeHeight="251661312" behindDoc="0" locked="0" layoutInCell="1" allowOverlap="1" wp14:anchorId="2C1EE54B" wp14:editId="384F3E32">
          <wp:simplePos x="0" y="0"/>
          <wp:positionH relativeFrom="column">
            <wp:posOffset>2867025</wp:posOffset>
          </wp:positionH>
          <wp:positionV relativeFrom="paragraph">
            <wp:posOffset>-182880</wp:posOffset>
          </wp:positionV>
          <wp:extent cx="2876550" cy="514350"/>
          <wp:effectExtent l="1905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876550" cy="514350"/>
                  </a:xfrm>
                  <a:prstGeom prst="rect">
                    <a:avLst/>
                  </a:prstGeom>
                  <a:noFill/>
                  <a:ln w="9525">
                    <a:noFill/>
                    <a:miter lim="800000"/>
                    <a:headEnd/>
                    <a:tailEnd/>
                  </a:ln>
                </pic:spPr>
              </pic:pic>
            </a:graphicData>
          </a:graphic>
        </wp:anchor>
      </w:drawing>
    </w:r>
    <w:r>
      <w:rPr>
        <w:b/>
        <w:noProof/>
        <w:color w:val="0070C0"/>
        <w:sz w:val="24"/>
        <w:lang w:eastAsia="en-GB"/>
      </w:rPr>
      <mc:AlternateContent>
        <mc:Choice Requires="wps">
          <w:drawing>
            <wp:anchor distT="0" distB="0" distL="114300" distR="114300" simplePos="0" relativeHeight="251663360" behindDoc="0" locked="0" layoutInCell="1" allowOverlap="1" wp14:anchorId="5311D6BC" wp14:editId="6E67CA94">
              <wp:simplePos x="0" y="0"/>
              <wp:positionH relativeFrom="column">
                <wp:posOffset>187960</wp:posOffset>
              </wp:positionH>
              <wp:positionV relativeFrom="paragraph">
                <wp:posOffset>-87630</wp:posOffset>
              </wp:positionV>
              <wp:extent cx="1393190" cy="2825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B59B8" w14:textId="77777777" w:rsidR="005848D2" w:rsidRPr="00B1695F" w:rsidRDefault="005848D2" w:rsidP="003A21B9">
                          <w:pPr>
                            <w:pStyle w:val="Header"/>
                            <w:tabs>
                              <w:tab w:val="clear" w:pos="4513"/>
                              <w:tab w:val="clear" w:pos="9026"/>
                              <w:tab w:val="left" w:pos="7650"/>
                            </w:tabs>
                            <w:rPr>
                              <w:b/>
                              <w:color w:val="0070C0"/>
                            </w:rPr>
                          </w:pPr>
                          <w:r w:rsidRPr="00B1695F">
                            <w:rPr>
                              <w:b/>
                              <w:color w:val="0070C0"/>
                              <w:sz w:val="24"/>
                            </w:rPr>
                            <w:t>Medicines Q&amp;As</w:t>
                          </w:r>
                        </w:p>
                        <w:p w14:paraId="1ADDDE02" w14:textId="77777777" w:rsidR="005848D2" w:rsidRDefault="005848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11D6BC" id="_x0000_t202" coordsize="21600,21600" o:spt="202" path="m,l,21600r21600,l21600,xe">
              <v:stroke joinstyle="miter"/>
              <v:path gradientshapeok="t" o:connecttype="rect"/>
            </v:shapetype>
            <v:shape id="Text Box 5" o:spid="_x0000_s1026" type="#_x0000_t202" style="position:absolute;margin-left:14.8pt;margin-top:-6.9pt;width:109.7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" filled="f" stroked="f">
              <v:textbox>
                <w:txbxContent>
                  <w:p w14:paraId="77EB59B8" w14:textId="77777777" w:rsidR="005848D2" w:rsidRPr="00B1695F" w:rsidRDefault="005848D2" w:rsidP="003A21B9">
                    <w:pPr>
                      <w:pStyle w:val="Header"/>
                      <w:tabs>
                        <w:tab w:val="clear" w:pos="4513"/>
                        <w:tab w:val="clear" w:pos="9026"/>
                        <w:tab w:val="left" w:pos="7650"/>
                      </w:tabs>
                      <w:rPr>
                        <w:b/>
                        <w:color w:val="0070C0"/>
                      </w:rPr>
                    </w:pPr>
                    <w:r w:rsidRPr="00B1695F">
                      <w:rPr>
                        <w:b/>
                        <w:color w:val="0070C0"/>
                        <w:sz w:val="24"/>
                      </w:rPr>
                      <w:t>Medicines Q&amp;As</w:t>
                    </w:r>
                  </w:p>
                  <w:p w14:paraId="1ADDDE02" w14:textId="77777777" w:rsidR="005848D2" w:rsidRDefault="005848D2"/>
                </w:txbxContent>
              </v:textbox>
            </v:shape>
          </w:pict>
        </mc:Fallback>
      </mc:AlternateContent>
    </w:r>
  </w:p>
  <w:p w14:paraId="4271DCB5" w14:textId="77777777" w:rsidR="005848D2" w:rsidRDefault="005848D2">
    <w:pPr>
      <w:pStyle w:val="Header"/>
    </w:pPr>
    <w:r>
      <w:rPr>
        <w:b/>
        <w:noProof/>
        <w:color w:val="0070C0"/>
        <w:sz w:val="24"/>
        <w:lang w:eastAsia="en-GB"/>
      </w:rPr>
      <mc:AlternateContent>
        <mc:Choice Requires="wps">
          <w:drawing>
            <wp:anchor distT="0" distB="0" distL="114300" distR="114300" simplePos="0" relativeHeight="251660288" behindDoc="0" locked="0" layoutInCell="1" allowOverlap="1" wp14:anchorId="1ED37944" wp14:editId="31DFF5F4">
              <wp:simplePos x="0" y="0"/>
              <wp:positionH relativeFrom="column">
                <wp:posOffset>6985</wp:posOffset>
              </wp:positionH>
              <wp:positionV relativeFrom="paragraph">
                <wp:posOffset>15875</wp:posOffset>
              </wp:positionV>
              <wp:extent cx="1762125" cy="0"/>
              <wp:effectExtent l="16510" t="15875" r="12065"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222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5F90A5"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5pt" to="13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" strokecolor="#0070c0"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1F42B4"/>
    <w:multiLevelType w:val="hybridMultilevel"/>
    <w:tmpl w:val="78D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4003DC"/>
    <w:multiLevelType w:val="hybridMultilevel"/>
    <w:tmpl w:val="0D8C266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E77185"/>
    <w:multiLevelType w:val="hybridMultilevel"/>
    <w:tmpl w:val="81FACF7E"/>
    <w:lvl w:ilvl="0" w:tplc="E3E43F9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9203502"/>
    <w:multiLevelType w:val="hybridMultilevel"/>
    <w:tmpl w:val="AFBE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A80C20"/>
    <w:multiLevelType w:val="hybridMultilevel"/>
    <w:tmpl w:val="AA1C9C1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8566E0"/>
    <w:multiLevelType w:val="hybridMultilevel"/>
    <w:tmpl w:val="12DCD2BE"/>
    <w:lvl w:ilvl="0" w:tplc="F174A60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CC3E1E"/>
    <w:multiLevelType w:val="hybridMultilevel"/>
    <w:tmpl w:val="43D81C38"/>
    <w:lvl w:ilvl="0" w:tplc="A4E8C888">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B153EF"/>
    <w:multiLevelType w:val="hybridMultilevel"/>
    <w:tmpl w:val="1E089134"/>
    <w:lvl w:ilvl="0" w:tplc="FD2E7078">
      <w:start w:val="1"/>
      <w:numFmt w:val="bullet"/>
      <w:lvlText w:val="§"/>
      <w:lvlJc w:val="left"/>
      <w:pPr>
        <w:ind w:left="720" w:hanging="360"/>
      </w:pPr>
      <w:rPr>
        <w:rFonts w:ascii="Wingdings" w:hAnsi="Wingdings"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853C53"/>
    <w:multiLevelType w:val="hybridMultilevel"/>
    <w:tmpl w:val="3F52AA20"/>
    <w:lvl w:ilvl="0" w:tplc="2F5EAC3E">
      <w:start w:val="1"/>
      <w:numFmt w:val="bullet"/>
      <w:lvlText w:val="§"/>
      <w:lvlJc w:val="left"/>
      <w:pPr>
        <w:ind w:left="720" w:hanging="360"/>
      </w:pPr>
      <w:rPr>
        <w:rFonts w:ascii="Wingdings" w:hAnsi="Wingdings"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437541"/>
    <w:multiLevelType w:val="hybridMultilevel"/>
    <w:tmpl w:val="2BF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B610C0"/>
    <w:multiLevelType w:val="hybridMultilevel"/>
    <w:tmpl w:val="7E666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8D64A8E"/>
    <w:multiLevelType w:val="hybridMultilevel"/>
    <w:tmpl w:val="9474A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99E4766"/>
    <w:multiLevelType w:val="hybridMultilevel"/>
    <w:tmpl w:val="9CC81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955D0D"/>
    <w:multiLevelType w:val="hybridMultilevel"/>
    <w:tmpl w:val="281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3E29E4"/>
    <w:multiLevelType w:val="hybridMultilevel"/>
    <w:tmpl w:val="9A2E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4510904"/>
    <w:multiLevelType w:val="hybridMultilevel"/>
    <w:tmpl w:val="15BC3F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4"/>
  </w:num>
  <w:num w:numId="3">
    <w:abstractNumId w:val="15"/>
  </w:num>
  <w:num w:numId="4">
    <w:abstractNumId w:val="3"/>
  </w:num>
  <w:num w:numId="5">
    <w:abstractNumId w:val="2"/>
  </w:num>
  <w:num w:numId="6">
    <w:abstractNumId w:val="11"/>
  </w:num>
  <w:num w:numId="7">
    <w:abstractNumId w:val="10"/>
  </w:num>
  <w:num w:numId="8">
    <w:abstractNumId w:val="1"/>
  </w:num>
  <w:num w:numId="9">
    <w:abstractNumId w:val="13"/>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7"/>
  </w:num>
  <w:num w:numId="12">
    <w:abstractNumId w:val="8"/>
  </w:num>
  <w:num w:numId="13">
    <w:abstractNumId w:val="9"/>
  </w:num>
  <w:num w:numId="14">
    <w:abstractNumId w:val="6"/>
  </w:num>
  <w:num w:numId="15">
    <w:abstractNumId w:val="12"/>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72E"/>
    <w:rsid w:val="00000D13"/>
    <w:rsid w:val="00001060"/>
    <w:rsid w:val="00007172"/>
    <w:rsid w:val="00010C3E"/>
    <w:rsid w:val="00021A4A"/>
    <w:rsid w:val="00027021"/>
    <w:rsid w:val="000308AF"/>
    <w:rsid w:val="000369B9"/>
    <w:rsid w:val="0004069D"/>
    <w:rsid w:val="00045A4C"/>
    <w:rsid w:val="000472B4"/>
    <w:rsid w:val="000541AA"/>
    <w:rsid w:val="00055CB0"/>
    <w:rsid w:val="00065826"/>
    <w:rsid w:val="00082FDF"/>
    <w:rsid w:val="00083EA9"/>
    <w:rsid w:val="000A7DDF"/>
    <w:rsid w:val="000B0077"/>
    <w:rsid w:val="000B4A73"/>
    <w:rsid w:val="000B5A79"/>
    <w:rsid w:val="000C5DDB"/>
    <w:rsid w:val="000C659D"/>
    <w:rsid w:val="000D25DF"/>
    <w:rsid w:val="000E5947"/>
    <w:rsid w:val="000E694F"/>
    <w:rsid w:val="000F057E"/>
    <w:rsid w:val="000F46E9"/>
    <w:rsid w:val="00113C79"/>
    <w:rsid w:val="00124EAA"/>
    <w:rsid w:val="001267AF"/>
    <w:rsid w:val="00131115"/>
    <w:rsid w:val="00143224"/>
    <w:rsid w:val="00144622"/>
    <w:rsid w:val="001539CF"/>
    <w:rsid w:val="0016340B"/>
    <w:rsid w:val="00173428"/>
    <w:rsid w:val="00182C57"/>
    <w:rsid w:val="001A4341"/>
    <w:rsid w:val="001B31E6"/>
    <w:rsid w:val="001D0142"/>
    <w:rsid w:val="001D6506"/>
    <w:rsid w:val="001D6798"/>
    <w:rsid w:val="001E5FC4"/>
    <w:rsid w:val="001F62E1"/>
    <w:rsid w:val="0020439F"/>
    <w:rsid w:val="00205C9C"/>
    <w:rsid w:val="002146F1"/>
    <w:rsid w:val="00217013"/>
    <w:rsid w:val="00217070"/>
    <w:rsid w:val="00220BDC"/>
    <w:rsid w:val="00230CBC"/>
    <w:rsid w:val="00232474"/>
    <w:rsid w:val="00235C88"/>
    <w:rsid w:val="00236FA3"/>
    <w:rsid w:val="00240267"/>
    <w:rsid w:val="0024102A"/>
    <w:rsid w:val="002421BA"/>
    <w:rsid w:val="002547AB"/>
    <w:rsid w:val="00256671"/>
    <w:rsid w:val="0026000A"/>
    <w:rsid w:val="0026167B"/>
    <w:rsid w:val="0026330F"/>
    <w:rsid w:val="002635BF"/>
    <w:rsid w:val="00267419"/>
    <w:rsid w:val="00273F43"/>
    <w:rsid w:val="002743D0"/>
    <w:rsid w:val="00274E15"/>
    <w:rsid w:val="0028701E"/>
    <w:rsid w:val="00290D27"/>
    <w:rsid w:val="00295489"/>
    <w:rsid w:val="002A6774"/>
    <w:rsid w:val="002B7414"/>
    <w:rsid w:val="002C1B33"/>
    <w:rsid w:val="002D3A47"/>
    <w:rsid w:val="002D7641"/>
    <w:rsid w:val="002E2E34"/>
    <w:rsid w:val="002F554A"/>
    <w:rsid w:val="002F7E92"/>
    <w:rsid w:val="0030179E"/>
    <w:rsid w:val="00305D44"/>
    <w:rsid w:val="00312D94"/>
    <w:rsid w:val="00322EFC"/>
    <w:rsid w:val="00335ED1"/>
    <w:rsid w:val="003363C5"/>
    <w:rsid w:val="0034777C"/>
    <w:rsid w:val="003530E9"/>
    <w:rsid w:val="00374851"/>
    <w:rsid w:val="00375C6E"/>
    <w:rsid w:val="00380C11"/>
    <w:rsid w:val="003958C0"/>
    <w:rsid w:val="00396BA7"/>
    <w:rsid w:val="00397BE7"/>
    <w:rsid w:val="003A21B9"/>
    <w:rsid w:val="003C00BD"/>
    <w:rsid w:val="003C0F9D"/>
    <w:rsid w:val="003C1074"/>
    <w:rsid w:val="003E691F"/>
    <w:rsid w:val="003F19D4"/>
    <w:rsid w:val="003F6787"/>
    <w:rsid w:val="003F69AF"/>
    <w:rsid w:val="0040292E"/>
    <w:rsid w:val="00416C64"/>
    <w:rsid w:val="004254E7"/>
    <w:rsid w:val="00425E06"/>
    <w:rsid w:val="004260AB"/>
    <w:rsid w:val="00427605"/>
    <w:rsid w:val="00427F92"/>
    <w:rsid w:val="00433475"/>
    <w:rsid w:val="00437EB6"/>
    <w:rsid w:val="00441082"/>
    <w:rsid w:val="00442BF1"/>
    <w:rsid w:val="004449B9"/>
    <w:rsid w:val="00447394"/>
    <w:rsid w:val="004473DC"/>
    <w:rsid w:val="0045263F"/>
    <w:rsid w:val="00453D9C"/>
    <w:rsid w:val="00462EC8"/>
    <w:rsid w:val="0046466A"/>
    <w:rsid w:val="0046474E"/>
    <w:rsid w:val="004753B5"/>
    <w:rsid w:val="004A6041"/>
    <w:rsid w:val="004C09C4"/>
    <w:rsid w:val="004D3012"/>
    <w:rsid w:val="004D6DBD"/>
    <w:rsid w:val="004E36F0"/>
    <w:rsid w:val="004E7A7B"/>
    <w:rsid w:val="004F475C"/>
    <w:rsid w:val="004F6538"/>
    <w:rsid w:val="004F65A6"/>
    <w:rsid w:val="005029E0"/>
    <w:rsid w:val="00515D43"/>
    <w:rsid w:val="00525960"/>
    <w:rsid w:val="00535F39"/>
    <w:rsid w:val="00557656"/>
    <w:rsid w:val="00560619"/>
    <w:rsid w:val="0056366E"/>
    <w:rsid w:val="00573950"/>
    <w:rsid w:val="00576B4F"/>
    <w:rsid w:val="00576D69"/>
    <w:rsid w:val="00584858"/>
    <w:rsid w:val="005848D2"/>
    <w:rsid w:val="00585BF6"/>
    <w:rsid w:val="00591704"/>
    <w:rsid w:val="005A0584"/>
    <w:rsid w:val="005A1295"/>
    <w:rsid w:val="005A1C40"/>
    <w:rsid w:val="005A3EB0"/>
    <w:rsid w:val="005C6B5F"/>
    <w:rsid w:val="005D01CF"/>
    <w:rsid w:val="005D38D6"/>
    <w:rsid w:val="005E3290"/>
    <w:rsid w:val="005F5D65"/>
    <w:rsid w:val="0060055E"/>
    <w:rsid w:val="00614B06"/>
    <w:rsid w:val="0061797B"/>
    <w:rsid w:val="00637B7C"/>
    <w:rsid w:val="00655BAC"/>
    <w:rsid w:val="0065691E"/>
    <w:rsid w:val="0066519B"/>
    <w:rsid w:val="00673D38"/>
    <w:rsid w:val="006770FD"/>
    <w:rsid w:val="006777FD"/>
    <w:rsid w:val="00683308"/>
    <w:rsid w:val="00694B44"/>
    <w:rsid w:val="006A2901"/>
    <w:rsid w:val="006B16E5"/>
    <w:rsid w:val="006B51D4"/>
    <w:rsid w:val="006C1FD1"/>
    <w:rsid w:val="006C3B7B"/>
    <w:rsid w:val="006C7BCF"/>
    <w:rsid w:val="006E00DA"/>
    <w:rsid w:val="006E2E34"/>
    <w:rsid w:val="006F07ED"/>
    <w:rsid w:val="006F4A47"/>
    <w:rsid w:val="00703065"/>
    <w:rsid w:val="00704C26"/>
    <w:rsid w:val="00707450"/>
    <w:rsid w:val="007100DC"/>
    <w:rsid w:val="00722595"/>
    <w:rsid w:val="00724E4B"/>
    <w:rsid w:val="00735E1D"/>
    <w:rsid w:val="00755386"/>
    <w:rsid w:val="00757C8D"/>
    <w:rsid w:val="00772964"/>
    <w:rsid w:val="00780E34"/>
    <w:rsid w:val="00784637"/>
    <w:rsid w:val="00787BEF"/>
    <w:rsid w:val="007900F5"/>
    <w:rsid w:val="00792733"/>
    <w:rsid w:val="007B5EC3"/>
    <w:rsid w:val="007C1025"/>
    <w:rsid w:val="007C1BF5"/>
    <w:rsid w:val="007C2D3B"/>
    <w:rsid w:val="007C4180"/>
    <w:rsid w:val="007D0040"/>
    <w:rsid w:val="007F0061"/>
    <w:rsid w:val="007F455F"/>
    <w:rsid w:val="007F55BB"/>
    <w:rsid w:val="00816068"/>
    <w:rsid w:val="008220FF"/>
    <w:rsid w:val="00825D48"/>
    <w:rsid w:val="00834C44"/>
    <w:rsid w:val="0084405C"/>
    <w:rsid w:val="008524A1"/>
    <w:rsid w:val="00854821"/>
    <w:rsid w:val="00854A60"/>
    <w:rsid w:val="008721BF"/>
    <w:rsid w:val="008A282E"/>
    <w:rsid w:val="008A6E40"/>
    <w:rsid w:val="008A6FA9"/>
    <w:rsid w:val="008B390C"/>
    <w:rsid w:val="008B72C5"/>
    <w:rsid w:val="008C6379"/>
    <w:rsid w:val="008D5258"/>
    <w:rsid w:val="008D73D6"/>
    <w:rsid w:val="008E0ED2"/>
    <w:rsid w:val="008E0FE1"/>
    <w:rsid w:val="008F3356"/>
    <w:rsid w:val="008F3B0D"/>
    <w:rsid w:val="008F4653"/>
    <w:rsid w:val="008F46F5"/>
    <w:rsid w:val="008F7721"/>
    <w:rsid w:val="0090168A"/>
    <w:rsid w:val="00905F92"/>
    <w:rsid w:val="0090705A"/>
    <w:rsid w:val="00912BD7"/>
    <w:rsid w:val="00914F89"/>
    <w:rsid w:val="0091688C"/>
    <w:rsid w:val="00925C20"/>
    <w:rsid w:val="0093077B"/>
    <w:rsid w:val="009458E9"/>
    <w:rsid w:val="00945D50"/>
    <w:rsid w:val="0094650A"/>
    <w:rsid w:val="00946DDB"/>
    <w:rsid w:val="00955AD8"/>
    <w:rsid w:val="00967CF1"/>
    <w:rsid w:val="00972555"/>
    <w:rsid w:val="0097727D"/>
    <w:rsid w:val="00977A07"/>
    <w:rsid w:val="009A0523"/>
    <w:rsid w:val="009A077D"/>
    <w:rsid w:val="009B4F66"/>
    <w:rsid w:val="009C1138"/>
    <w:rsid w:val="009C6D6D"/>
    <w:rsid w:val="009D3344"/>
    <w:rsid w:val="009E6BAE"/>
    <w:rsid w:val="009F0E89"/>
    <w:rsid w:val="009F115E"/>
    <w:rsid w:val="009F2A13"/>
    <w:rsid w:val="00A01EED"/>
    <w:rsid w:val="00A03D6B"/>
    <w:rsid w:val="00A15B26"/>
    <w:rsid w:val="00A17293"/>
    <w:rsid w:val="00A2296D"/>
    <w:rsid w:val="00A25089"/>
    <w:rsid w:val="00A344B6"/>
    <w:rsid w:val="00A5099A"/>
    <w:rsid w:val="00A62570"/>
    <w:rsid w:val="00A67535"/>
    <w:rsid w:val="00A764E8"/>
    <w:rsid w:val="00A76799"/>
    <w:rsid w:val="00A80A0A"/>
    <w:rsid w:val="00A87ADE"/>
    <w:rsid w:val="00A903BC"/>
    <w:rsid w:val="00A9105C"/>
    <w:rsid w:val="00AA09C0"/>
    <w:rsid w:val="00AA4E35"/>
    <w:rsid w:val="00AA6169"/>
    <w:rsid w:val="00AC6BF3"/>
    <w:rsid w:val="00AD3F38"/>
    <w:rsid w:val="00AE0ACC"/>
    <w:rsid w:val="00AE4264"/>
    <w:rsid w:val="00AE6D3B"/>
    <w:rsid w:val="00B12AFF"/>
    <w:rsid w:val="00B164F6"/>
    <w:rsid w:val="00B20883"/>
    <w:rsid w:val="00B218DA"/>
    <w:rsid w:val="00B23168"/>
    <w:rsid w:val="00B2372E"/>
    <w:rsid w:val="00B25827"/>
    <w:rsid w:val="00B31169"/>
    <w:rsid w:val="00B31B6B"/>
    <w:rsid w:val="00B32E0A"/>
    <w:rsid w:val="00B572D5"/>
    <w:rsid w:val="00B64D63"/>
    <w:rsid w:val="00B71A9A"/>
    <w:rsid w:val="00B733AE"/>
    <w:rsid w:val="00B73723"/>
    <w:rsid w:val="00B76CBC"/>
    <w:rsid w:val="00B773C7"/>
    <w:rsid w:val="00B9428F"/>
    <w:rsid w:val="00BB1CF5"/>
    <w:rsid w:val="00BB5341"/>
    <w:rsid w:val="00BB6882"/>
    <w:rsid w:val="00BC6C01"/>
    <w:rsid w:val="00BC6C69"/>
    <w:rsid w:val="00BD7D35"/>
    <w:rsid w:val="00BF01A8"/>
    <w:rsid w:val="00BF251E"/>
    <w:rsid w:val="00BF36DE"/>
    <w:rsid w:val="00C3584E"/>
    <w:rsid w:val="00C401DD"/>
    <w:rsid w:val="00C43877"/>
    <w:rsid w:val="00C50384"/>
    <w:rsid w:val="00C567E5"/>
    <w:rsid w:val="00C612D6"/>
    <w:rsid w:val="00C61521"/>
    <w:rsid w:val="00C7090E"/>
    <w:rsid w:val="00CB2867"/>
    <w:rsid w:val="00CB5422"/>
    <w:rsid w:val="00CB571D"/>
    <w:rsid w:val="00CC53FF"/>
    <w:rsid w:val="00CD190A"/>
    <w:rsid w:val="00CD78F2"/>
    <w:rsid w:val="00CE3B01"/>
    <w:rsid w:val="00CF0C53"/>
    <w:rsid w:val="00D0169C"/>
    <w:rsid w:val="00D03986"/>
    <w:rsid w:val="00D062C7"/>
    <w:rsid w:val="00D34577"/>
    <w:rsid w:val="00D46734"/>
    <w:rsid w:val="00D520CA"/>
    <w:rsid w:val="00D56AFE"/>
    <w:rsid w:val="00D742AC"/>
    <w:rsid w:val="00D9242D"/>
    <w:rsid w:val="00D9743B"/>
    <w:rsid w:val="00DA54A3"/>
    <w:rsid w:val="00DA69E7"/>
    <w:rsid w:val="00DB45CD"/>
    <w:rsid w:val="00DB470A"/>
    <w:rsid w:val="00DB4CFC"/>
    <w:rsid w:val="00DC1256"/>
    <w:rsid w:val="00DD6800"/>
    <w:rsid w:val="00DE01F2"/>
    <w:rsid w:val="00DE4DD6"/>
    <w:rsid w:val="00E010C5"/>
    <w:rsid w:val="00E0327C"/>
    <w:rsid w:val="00E0564E"/>
    <w:rsid w:val="00E2040A"/>
    <w:rsid w:val="00E227BC"/>
    <w:rsid w:val="00E367BC"/>
    <w:rsid w:val="00E54318"/>
    <w:rsid w:val="00E54DFF"/>
    <w:rsid w:val="00E62E8A"/>
    <w:rsid w:val="00E74DB9"/>
    <w:rsid w:val="00E76189"/>
    <w:rsid w:val="00E810A4"/>
    <w:rsid w:val="00E835C9"/>
    <w:rsid w:val="00E85F55"/>
    <w:rsid w:val="00E93AC9"/>
    <w:rsid w:val="00E96C66"/>
    <w:rsid w:val="00EA268F"/>
    <w:rsid w:val="00EA528B"/>
    <w:rsid w:val="00EA7D65"/>
    <w:rsid w:val="00EB085A"/>
    <w:rsid w:val="00EB1861"/>
    <w:rsid w:val="00EB4023"/>
    <w:rsid w:val="00EC26A7"/>
    <w:rsid w:val="00ED6968"/>
    <w:rsid w:val="00EE10A6"/>
    <w:rsid w:val="00EE34F7"/>
    <w:rsid w:val="00F07951"/>
    <w:rsid w:val="00F1011D"/>
    <w:rsid w:val="00F35ECC"/>
    <w:rsid w:val="00F552DE"/>
    <w:rsid w:val="00F64F80"/>
    <w:rsid w:val="00F74149"/>
    <w:rsid w:val="00F75367"/>
    <w:rsid w:val="00F7540F"/>
    <w:rsid w:val="00F75797"/>
    <w:rsid w:val="00F83A60"/>
    <w:rsid w:val="00FA7793"/>
    <w:rsid w:val="00FB1807"/>
    <w:rsid w:val="00FC70B9"/>
    <w:rsid w:val="00FD7347"/>
    <w:rsid w:val="00FE5BA8"/>
    <w:rsid w:val="00FF2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77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2E"/>
    <w:rPr>
      <w:rFonts w:ascii="Arial" w:eastAsia="Calibri" w:hAnsi="Arial" w:cs="Times New Roman"/>
      <w:sz w:val="20"/>
    </w:rPr>
  </w:style>
  <w:style w:type="paragraph" w:styleId="Heading1">
    <w:name w:val="heading 1"/>
    <w:basedOn w:val="Normal"/>
    <w:next w:val="Normal"/>
    <w:link w:val="Heading1Char"/>
    <w:uiPriority w:val="9"/>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uiPriority w:val="99"/>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character" w:styleId="FollowedHyperlink">
    <w:name w:val="FollowedHyperlink"/>
    <w:basedOn w:val="DefaultParagraphFont"/>
    <w:uiPriority w:val="99"/>
    <w:semiHidden/>
    <w:unhideWhenUsed/>
    <w:rsid w:val="00205C9C"/>
    <w:rPr>
      <w:color w:val="800080" w:themeColor="followedHyperlink"/>
      <w:u w:val="single"/>
    </w:rPr>
  </w:style>
  <w:style w:type="character" w:styleId="Emphasis">
    <w:name w:val="Emphasis"/>
    <w:basedOn w:val="DefaultParagraphFont"/>
    <w:uiPriority w:val="20"/>
    <w:qFormat/>
    <w:rsid w:val="0016340B"/>
    <w:rPr>
      <w:i/>
      <w:iCs/>
    </w:rPr>
  </w:style>
  <w:style w:type="character" w:styleId="CommentReference">
    <w:name w:val="annotation reference"/>
    <w:basedOn w:val="DefaultParagraphFont"/>
    <w:uiPriority w:val="99"/>
    <w:semiHidden/>
    <w:unhideWhenUsed/>
    <w:rsid w:val="00D9242D"/>
    <w:rPr>
      <w:sz w:val="16"/>
      <w:szCs w:val="16"/>
    </w:rPr>
  </w:style>
  <w:style w:type="paragraph" w:styleId="CommentText">
    <w:name w:val="annotation text"/>
    <w:basedOn w:val="Normal"/>
    <w:link w:val="CommentTextChar"/>
    <w:uiPriority w:val="99"/>
    <w:semiHidden/>
    <w:unhideWhenUsed/>
    <w:rsid w:val="00D9242D"/>
    <w:pPr>
      <w:spacing w:line="240" w:lineRule="auto"/>
    </w:pPr>
    <w:rPr>
      <w:szCs w:val="20"/>
    </w:rPr>
  </w:style>
  <w:style w:type="character" w:customStyle="1" w:styleId="CommentTextChar">
    <w:name w:val="Comment Text Char"/>
    <w:basedOn w:val="DefaultParagraphFont"/>
    <w:link w:val="CommentText"/>
    <w:uiPriority w:val="99"/>
    <w:semiHidden/>
    <w:rsid w:val="00D9242D"/>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D9242D"/>
    <w:rPr>
      <w:b/>
      <w:bCs/>
    </w:rPr>
  </w:style>
  <w:style w:type="character" w:customStyle="1" w:styleId="CommentSubjectChar">
    <w:name w:val="Comment Subject Char"/>
    <w:basedOn w:val="CommentTextChar"/>
    <w:link w:val="CommentSubject"/>
    <w:uiPriority w:val="99"/>
    <w:semiHidden/>
    <w:rsid w:val="00D9242D"/>
    <w:rPr>
      <w:rFonts w:ascii="Arial" w:eastAsia="Calibri" w:hAnsi="Arial" w:cs="Times New Roman"/>
      <w:b/>
      <w:bCs/>
      <w:sz w:val="20"/>
      <w:szCs w:val="20"/>
    </w:rPr>
  </w:style>
  <w:style w:type="character" w:customStyle="1" w:styleId="apple-converted-space">
    <w:name w:val="apple-converted-space"/>
    <w:basedOn w:val="DefaultParagraphFont"/>
    <w:rsid w:val="00B64D63"/>
  </w:style>
  <w:style w:type="paragraph" w:styleId="Revision">
    <w:name w:val="Revision"/>
    <w:hidden/>
    <w:uiPriority w:val="99"/>
    <w:semiHidden/>
    <w:rsid w:val="000308AF"/>
    <w:pPr>
      <w:spacing w:after="0" w:line="240" w:lineRule="auto"/>
    </w:pPr>
    <w:rPr>
      <w:rFonts w:ascii="Arial" w:eastAsia="Calibri" w:hAnsi="Arial" w:cs="Times New Roman"/>
      <w:sz w:val="20"/>
    </w:rPr>
  </w:style>
  <w:style w:type="character" w:customStyle="1" w:styleId="UnresolvedMention1">
    <w:name w:val="Unresolved Mention1"/>
    <w:basedOn w:val="DefaultParagraphFont"/>
    <w:uiPriority w:val="99"/>
    <w:semiHidden/>
    <w:unhideWhenUsed/>
    <w:rsid w:val="00A6753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2E"/>
    <w:rPr>
      <w:rFonts w:ascii="Arial" w:eastAsia="Calibri" w:hAnsi="Arial" w:cs="Times New Roman"/>
      <w:sz w:val="20"/>
    </w:rPr>
  </w:style>
  <w:style w:type="paragraph" w:styleId="Heading1">
    <w:name w:val="heading 1"/>
    <w:basedOn w:val="Normal"/>
    <w:next w:val="Normal"/>
    <w:link w:val="Heading1Char"/>
    <w:uiPriority w:val="9"/>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uiPriority w:val="99"/>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character" w:styleId="FollowedHyperlink">
    <w:name w:val="FollowedHyperlink"/>
    <w:basedOn w:val="DefaultParagraphFont"/>
    <w:uiPriority w:val="99"/>
    <w:semiHidden/>
    <w:unhideWhenUsed/>
    <w:rsid w:val="00205C9C"/>
    <w:rPr>
      <w:color w:val="800080" w:themeColor="followedHyperlink"/>
      <w:u w:val="single"/>
    </w:rPr>
  </w:style>
  <w:style w:type="character" w:styleId="Emphasis">
    <w:name w:val="Emphasis"/>
    <w:basedOn w:val="DefaultParagraphFont"/>
    <w:uiPriority w:val="20"/>
    <w:qFormat/>
    <w:rsid w:val="0016340B"/>
    <w:rPr>
      <w:i/>
      <w:iCs/>
    </w:rPr>
  </w:style>
  <w:style w:type="character" w:styleId="CommentReference">
    <w:name w:val="annotation reference"/>
    <w:basedOn w:val="DefaultParagraphFont"/>
    <w:uiPriority w:val="99"/>
    <w:semiHidden/>
    <w:unhideWhenUsed/>
    <w:rsid w:val="00D9242D"/>
    <w:rPr>
      <w:sz w:val="16"/>
      <w:szCs w:val="16"/>
    </w:rPr>
  </w:style>
  <w:style w:type="paragraph" w:styleId="CommentText">
    <w:name w:val="annotation text"/>
    <w:basedOn w:val="Normal"/>
    <w:link w:val="CommentTextChar"/>
    <w:uiPriority w:val="99"/>
    <w:semiHidden/>
    <w:unhideWhenUsed/>
    <w:rsid w:val="00D9242D"/>
    <w:pPr>
      <w:spacing w:line="240" w:lineRule="auto"/>
    </w:pPr>
    <w:rPr>
      <w:szCs w:val="20"/>
    </w:rPr>
  </w:style>
  <w:style w:type="character" w:customStyle="1" w:styleId="CommentTextChar">
    <w:name w:val="Comment Text Char"/>
    <w:basedOn w:val="DefaultParagraphFont"/>
    <w:link w:val="CommentText"/>
    <w:uiPriority w:val="99"/>
    <w:semiHidden/>
    <w:rsid w:val="00D9242D"/>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D9242D"/>
    <w:rPr>
      <w:b/>
      <w:bCs/>
    </w:rPr>
  </w:style>
  <w:style w:type="character" w:customStyle="1" w:styleId="CommentSubjectChar">
    <w:name w:val="Comment Subject Char"/>
    <w:basedOn w:val="CommentTextChar"/>
    <w:link w:val="CommentSubject"/>
    <w:uiPriority w:val="99"/>
    <w:semiHidden/>
    <w:rsid w:val="00D9242D"/>
    <w:rPr>
      <w:rFonts w:ascii="Arial" w:eastAsia="Calibri" w:hAnsi="Arial" w:cs="Times New Roman"/>
      <w:b/>
      <w:bCs/>
      <w:sz w:val="20"/>
      <w:szCs w:val="20"/>
    </w:rPr>
  </w:style>
  <w:style w:type="character" w:customStyle="1" w:styleId="apple-converted-space">
    <w:name w:val="apple-converted-space"/>
    <w:basedOn w:val="DefaultParagraphFont"/>
    <w:rsid w:val="00B64D63"/>
  </w:style>
  <w:style w:type="paragraph" w:styleId="Revision">
    <w:name w:val="Revision"/>
    <w:hidden/>
    <w:uiPriority w:val="99"/>
    <w:semiHidden/>
    <w:rsid w:val="000308AF"/>
    <w:pPr>
      <w:spacing w:after="0" w:line="240" w:lineRule="auto"/>
    </w:pPr>
    <w:rPr>
      <w:rFonts w:ascii="Arial" w:eastAsia="Calibri" w:hAnsi="Arial" w:cs="Times New Roman"/>
      <w:sz w:val="20"/>
    </w:rPr>
  </w:style>
  <w:style w:type="character" w:customStyle="1" w:styleId="UnresolvedMention1">
    <w:name w:val="Unresolved Mention1"/>
    <w:basedOn w:val="DefaultParagraphFont"/>
    <w:uiPriority w:val="99"/>
    <w:semiHidden/>
    <w:unhideWhenUsed/>
    <w:rsid w:val="00A67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cromedexsolutions.com/" TargetMode="External"/><Relationship Id="rId18" Type="http://schemas.openxmlformats.org/officeDocument/2006/relationships/hyperlink" Target="http://www.medicines.org.uk/em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aturalmedicinejournal.com/" TargetMode="External"/><Relationship Id="rId7" Type="http://schemas.openxmlformats.org/officeDocument/2006/relationships/footnotes" Target="footnotes.xml"/><Relationship Id="rId12" Type="http://schemas.openxmlformats.org/officeDocument/2006/relationships/hyperlink" Target="http://www.medicinescomplete.com/" TargetMode="External"/><Relationship Id="rId17" Type="http://schemas.openxmlformats.org/officeDocument/2006/relationships/hyperlink" Target="http://www.medicines.org.uk/em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dicines.org.uk/emc/" TargetMode="External"/><Relationship Id="rId20" Type="http://schemas.openxmlformats.org/officeDocument/2006/relationships/hyperlink" Target="https://www.medicinescomplet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016/j.blre.2017.02.001"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edicines.org.uk/emc/" TargetMode="External"/><Relationship Id="rId23" Type="http://schemas.openxmlformats.org/officeDocument/2006/relationships/header" Target="header1.xml"/><Relationship Id="rId10" Type="http://schemas.openxmlformats.org/officeDocument/2006/relationships/hyperlink" Target="http://www.medicinescomplete.com/" TargetMode="External"/><Relationship Id="rId19" Type="http://schemas.openxmlformats.org/officeDocument/2006/relationships/hyperlink" Target="https://www.mskcc.org/cancer-care/diagnosis-treatment/symptom-management/integrative-medicine/herbs/search" TargetMode="External"/><Relationship Id="rId4" Type="http://schemas.microsoft.com/office/2007/relationships/stylesWithEffects" Target="stylesWithEffects.xml"/><Relationship Id="rId9" Type="http://schemas.openxmlformats.org/officeDocument/2006/relationships/hyperlink" Target="https://www.sps.nhs.uk/articles/about-ukmi-medicines-qas/" TargetMode="External"/><Relationship Id="rId14" Type="http://schemas.openxmlformats.org/officeDocument/2006/relationships/hyperlink" Target="http://www.medicinescomplete.com/" TargetMode="External"/><Relationship Id="rId22" Type="http://schemas.openxmlformats.org/officeDocument/2006/relationships/hyperlink" Target="http://www.medicinescomplet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3CACB-A0B7-42E1-88F9-5C8F20B5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3552</Words>
  <Characters>20252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23757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Mckie, Joshua</dc:creator>
  <cp:lastModifiedBy>Lewis, Gillian</cp:lastModifiedBy>
  <cp:revision>4</cp:revision>
  <cp:lastPrinted>2020-03-10T14:47:00Z</cp:lastPrinted>
  <dcterms:created xsi:type="dcterms:W3CDTF">2020-04-27T10:09:00Z</dcterms:created>
  <dcterms:modified xsi:type="dcterms:W3CDTF">2020-11-18T10:13:00Z</dcterms:modified>
</cp:coreProperties>
</file>