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32" w:rsidRDefault="00425932" w:rsidP="00425932">
      <w:pPr>
        <w:ind w:left="284"/>
      </w:pPr>
      <w:bookmarkStart w:id="0" w:name="_GoBack"/>
      <w:bookmarkEnd w:id="0"/>
    </w:p>
    <w:p w:rsidR="00D7165F" w:rsidRDefault="00D7165F" w:rsidP="00425932">
      <w:pPr>
        <w:ind w:left="284"/>
      </w:pPr>
    </w:p>
    <w:tbl>
      <w:tblPr>
        <w:tblStyle w:val="TableGrid"/>
        <w:tblW w:w="0" w:type="auto"/>
        <w:jc w:val="center"/>
        <w:tblBorders>
          <w:top w:val="single" w:sz="6" w:space="0" w:color="0070C0"/>
          <w:left w:val="none" w:sz="0" w:space="0" w:color="auto"/>
          <w:bottom w:val="none" w:sz="0" w:space="0" w:color="auto"/>
          <w:right w:val="none" w:sz="0" w:space="0" w:color="auto"/>
          <w:insideH w:val="single" w:sz="6" w:space="0" w:color="0070C0"/>
          <w:insideV w:val="single" w:sz="6" w:space="0" w:color="0070C0"/>
        </w:tblBorders>
        <w:tblLook w:val="04A0" w:firstRow="1" w:lastRow="0" w:firstColumn="1" w:lastColumn="0" w:noHBand="0" w:noVBand="1"/>
      </w:tblPr>
      <w:tblGrid>
        <w:gridCol w:w="73"/>
        <w:gridCol w:w="10609"/>
      </w:tblGrid>
      <w:tr w:rsidR="006A6EFD" w:rsidTr="00CC0A0B">
        <w:trPr>
          <w:jc w:val="center"/>
        </w:trPr>
        <w:tc>
          <w:tcPr>
            <w:tcW w:w="10682" w:type="dxa"/>
            <w:gridSpan w:val="2"/>
            <w:tcBorders>
              <w:top w:val="single" w:sz="6" w:space="0" w:color="0070C0"/>
            </w:tcBorders>
            <w:shd w:val="clear" w:color="auto" w:fill="0072C6"/>
          </w:tcPr>
          <w:p w:rsidR="006A6EFD" w:rsidRPr="004606B0" w:rsidRDefault="00AF0D4B" w:rsidP="00D7165F">
            <w:pPr>
              <w:pStyle w:val="SPSTitle"/>
              <w:suppressAutoHyphens/>
              <w:spacing w:before="60" w:after="60"/>
              <w:contextualSpacing/>
              <w:rPr>
                <w:b w:val="0"/>
                <w:color w:val="auto"/>
                <w:sz w:val="22"/>
                <w:szCs w:val="22"/>
              </w:rPr>
            </w:pPr>
            <w:r w:rsidRPr="004606B0">
              <w:rPr>
                <w:color w:val="FFFFFF" w:themeColor="background1"/>
                <w:sz w:val="22"/>
                <w:szCs w:val="22"/>
              </w:rPr>
              <w:t>Purpose</w:t>
            </w:r>
            <w:r w:rsidR="004606B0" w:rsidRPr="004606B0">
              <w:rPr>
                <w:color w:val="FFFFFF" w:themeColor="background1"/>
                <w:sz w:val="22"/>
                <w:szCs w:val="22"/>
              </w:rPr>
              <w:tab/>
            </w:r>
          </w:p>
        </w:tc>
      </w:tr>
      <w:tr w:rsidR="006A6EFD" w:rsidTr="00341B4D">
        <w:trPr>
          <w:jc w:val="center"/>
        </w:trPr>
        <w:tc>
          <w:tcPr>
            <w:tcW w:w="10682" w:type="dxa"/>
            <w:gridSpan w:val="2"/>
          </w:tcPr>
          <w:p w:rsidR="00AF0D4B" w:rsidRPr="00B93430" w:rsidRDefault="00AF0D4B" w:rsidP="008D20B4">
            <w:pPr>
              <w:pStyle w:val="SPSTitle"/>
              <w:suppressAutoHyphens/>
              <w:spacing w:before="60" w:after="60"/>
              <w:contextualSpacing/>
              <w:rPr>
                <w:b w:val="0"/>
                <w:color w:val="auto"/>
                <w:sz w:val="16"/>
                <w:szCs w:val="16"/>
              </w:rPr>
            </w:pPr>
          </w:p>
          <w:p w:rsidR="00AF0D4B" w:rsidRDefault="00AF0D4B" w:rsidP="007109F8">
            <w:pPr>
              <w:spacing w:before="60" w:after="60"/>
              <w:jc w:val="both"/>
              <w:rPr>
                <w:rFonts w:eastAsiaTheme="minorHAnsi" w:cs="Arial"/>
                <w:sz w:val="20"/>
                <w:szCs w:val="20"/>
              </w:rPr>
            </w:pPr>
            <w:r w:rsidRPr="008D20B4">
              <w:rPr>
                <w:rFonts w:eastAsiaTheme="minorHAnsi" w:cs="Arial"/>
                <w:sz w:val="20"/>
                <w:szCs w:val="20"/>
              </w:rPr>
              <w:t>This document</w:t>
            </w:r>
            <w:r w:rsidR="00F254C8">
              <w:rPr>
                <w:rFonts w:eastAsiaTheme="minorHAnsi" w:cs="Arial"/>
                <w:sz w:val="20"/>
                <w:szCs w:val="20"/>
              </w:rPr>
              <w:t xml:space="preserve"> was developed to support </w:t>
            </w:r>
            <w:r w:rsidR="00E1182A">
              <w:rPr>
                <w:rFonts w:eastAsiaTheme="minorHAnsi" w:cs="Arial"/>
                <w:sz w:val="20"/>
                <w:szCs w:val="20"/>
              </w:rPr>
              <w:t xml:space="preserve">best practice in supply of </w:t>
            </w:r>
            <w:r w:rsidR="0032036C">
              <w:rPr>
                <w:rFonts w:eastAsiaTheme="minorHAnsi" w:cs="Arial"/>
                <w:sz w:val="20"/>
                <w:szCs w:val="20"/>
              </w:rPr>
              <w:t>medicines. It</w:t>
            </w:r>
            <w:r w:rsidRPr="008D20B4">
              <w:rPr>
                <w:rFonts w:eastAsiaTheme="minorHAnsi" w:cs="Arial"/>
                <w:sz w:val="20"/>
                <w:szCs w:val="20"/>
              </w:rPr>
              <w:t xml:space="preserve"> is intended to support </w:t>
            </w:r>
            <w:r w:rsidR="00F254C8">
              <w:rPr>
                <w:rFonts w:eastAsiaTheme="minorHAnsi" w:cs="Arial"/>
                <w:sz w:val="20"/>
                <w:szCs w:val="20"/>
              </w:rPr>
              <w:t xml:space="preserve">acute </w:t>
            </w:r>
            <w:r w:rsidRPr="008D20B4">
              <w:rPr>
                <w:rFonts w:eastAsiaTheme="minorHAnsi" w:cs="Arial"/>
                <w:sz w:val="20"/>
                <w:szCs w:val="20"/>
              </w:rPr>
              <w:t>trusts when considering the benefits and disadvantages of various supply routes for high cost medicines; highlighting areas where such supply routes have been established and providing contact details for individuals who are willing to share their experiences.</w:t>
            </w:r>
          </w:p>
          <w:p w:rsidR="008D20B4" w:rsidRPr="008D20B4" w:rsidRDefault="008D20B4" w:rsidP="008D20B4">
            <w:pPr>
              <w:spacing w:before="60" w:after="60"/>
              <w:rPr>
                <w:rFonts w:eastAsiaTheme="minorHAnsi" w:cs="Arial"/>
                <w:sz w:val="18"/>
                <w:szCs w:val="18"/>
              </w:rPr>
            </w:pPr>
          </w:p>
          <w:p w:rsidR="008D20B4" w:rsidRPr="008D20B4" w:rsidRDefault="00AF0D4B" w:rsidP="008D20B4">
            <w:pPr>
              <w:spacing w:before="60" w:after="60"/>
              <w:rPr>
                <w:rFonts w:eastAsiaTheme="minorHAnsi" w:cs="Arial"/>
                <w:sz w:val="20"/>
                <w:szCs w:val="20"/>
              </w:rPr>
            </w:pPr>
            <w:r w:rsidRPr="008D20B4">
              <w:rPr>
                <w:rFonts w:eastAsiaTheme="minorHAnsi" w:cs="Arial"/>
                <w:sz w:val="20"/>
                <w:szCs w:val="20"/>
              </w:rPr>
              <w:t>The following areas are not within the scope of this document:</w:t>
            </w:r>
          </w:p>
          <w:p w:rsidR="00AF0D4B" w:rsidRPr="008D20B4" w:rsidRDefault="00AF0D4B" w:rsidP="008D20B4">
            <w:pPr>
              <w:numPr>
                <w:ilvl w:val="0"/>
                <w:numId w:val="4"/>
              </w:numPr>
              <w:spacing w:before="60" w:after="60"/>
              <w:ind w:left="714" w:hanging="357"/>
              <w:contextualSpacing/>
              <w:rPr>
                <w:rFonts w:eastAsiaTheme="minorHAnsi" w:cs="Arial"/>
                <w:sz w:val="20"/>
                <w:szCs w:val="20"/>
              </w:rPr>
            </w:pPr>
            <w:r w:rsidRPr="008D20B4">
              <w:rPr>
                <w:rFonts w:eastAsiaTheme="minorHAnsi" w:cs="Arial"/>
                <w:sz w:val="20"/>
                <w:szCs w:val="20"/>
              </w:rPr>
              <w:t>Detailed decision-making support on suitability of out-sourced supply routes within a trust</w:t>
            </w:r>
          </w:p>
          <w:p w:rsidR="00AF0D4B" w:rsidRPr="008D20B4" w:rsidRDefault="00AF0D4B" w:rsidP="008D20B4">
            <w:pPr>
              <w:numPr>
                <w:ilvl w:val="0"/>
                <w:numId w:val="4"/>
              </w:numPr>
              <w:spacing w:before="60" w:after="60"/>
              <w:ind w:left="714" w:hanging="357"/>
              <w:contextualSpacing/>
              <w:rPr>
                <w:rFonts w:eastAsiaTheme="minorHAnsi" w:cs="Arial"/>
                <w:sz w:val="20"/>
                <w:szCs w:val="20"/>
              </w:rPr>
            </w:pPr>
            <w:r w:rsidRPr="008D20B4">
              <w:rPr>
                <w:rFonts w:eastAsiaTheme="minorHAnsi" w:cs="Arial"/>
                <w:sz w:val="20"/>
                <w:szCs w:val="20"/>
              </w:rPr>
              <w:t>Administration of medicines</w:t>
            </w:r>
          </w:p>
          <w:p w:rsidR="00C7284B" w:rsidRPr="00B93430" w:rsidRDefault="00C7284B" w:rsidP="009132B5">
            <w:pPr>
              <w:pStyle w:val="SPSTitle"/>
              <w:suppressAutoHyphens/>
              <w:spacing w:before="60" w:after="60"/>
              <w:contextualSpacing/>
              <w:rPr>
                <w:b w:val="0"/>
                <w:color w:val="auto"/>
                <w:sz w:val="16"/>
                <w:szCs w:val="16"/>
              </w:rPr>
            </w:pPr>
          </w:p>
        </w:tc>
      </w:tr>
      <w:tr w:rsidR="006A6EFD" w:rsidTr="00CC0A0B">
        <w:trPr>
          <w:jc w:val="center"/>
        </w:trPr>
        <w:tc>
          <w:tcPr>
            <w:tcW w:w="10682" w:type="dxa"/>
            <w:gridSpan w:val="2"/>
            <w:shd w:val="clear" w:color="auto" w:fill="0072C6"/>
          </w:tcPr>
          <w:p w:rsidR="006A6EFD" w:rsidRPr="004606B0" w:rsidRDefault="002B3DC0" w:rsidP="009132B5">
            <w:pPr>
              <w:pStyle w:val="SPSTitle"/>
              <w:spacing w:before="60" w:after="60"/>
              <w:rPr>
                <w:color w:val="auto"/>
                <w:sz w:val="22"/>
                <w:szCs w:val="22"/>
              </w:rPr>
            </w:pPr>
            <w:r w:rsidRPr="004606B0">
              <w:rPr>
                <w:color w:val="FFFFFF" w:themeColor="background1"/>
                <w:sz w:val="22"/>
                <w:szCs w:val="22"/>
              </w:rPr>
              <w:t>Introduction</w:t>
            </w:r>
          </w:p>
        </w:tc>
      </w:tr>
      <w:tr w:rsidR="006A6EFD" w:rsidTr="00341B4D">
        <w:trPr>
          <w:jc w:val="center"/>
        </w:trPr>
        <w:tc>
          <w:tcPr>
            <w:tcW w:w="10682" w:type="dxa"/>
            <w:gridSpan w:val="2"/>
          </w:tcPr>
          <w:p w:rsidR="00C7284B" w:rsidRPr="00B93430" w:rsidRDefault="00C7284B" w:rsidP="009132B5">
            <w:pPr>
              <w:pStyle w:val="SPSTitle"/>
              <w:spacing w:before="60" w:after="60"/>
              <w:contextualSpacing/>
              <w:rPr>
                <w:b w:val="0"/>
                <w:color w:val="auto"/>
                <w:sz w:val="16"/>
                <w:szCs w:val="16"/>
              </w:rPr>
            </w:pPr>
          </w:p>
          <w:p w:rsidR="002B3DC0" w:rsidRDefault="002B3DC0" w:rsidP="007109F8">
            <w:pPr>
              <w:spacing w:before="60" w:after="60"/>
              <w:jc w:val="both"/>
              <w:rPr>
                <w:rFonts w:eastAsiaTheme="minorHAnsi" w:cs="Arial"/>
                <w:sz w:val="20"/>
                <w:szCs w:val="20"/>
              </w:rPr>
            </w:pPr>
            <w:r w:rsidRPr="008D20B4">
              <w:rPr>
                <w:rFonts w:eastAsiaTheme="minorHAnsi" w:cs="Arial"/>
                <w:sz w:val="20"/>
                <w:szCs w:val="20"/>
              </w:rPr>
              <w:t>The NHS spends approximately £18 billion on medicines annually. This represents a significant proportion of the NHS budget and an area where efficiencies can and should be delivered with minimal impact upon patient care or experience.</w:t>
            </w:r>
          </w:p>
          <w:p w:rsidR="008D20B4" w:rsidRPr="00B93430" w:rsidRDefault="008D20B4" w:rsidP="00CC0A0B">
            <w:pPr>
              <w:spacing w:before="60" w:after="60"/>
              <w:rPr>
                <w:rFonts w:eastAsiaTheme="minorHAnsi" w:cs="Arial"/>
                <w:sz w:val="16"/>
                <w:szCs w:val="16"/>
              </w:rPr>
            </w:pPr>
          </w:p>
          <w:p w:rsidR="002B3DC0" w:rsidRPr="008D20B4" w:rsidRDefault="002B3DC0" w:rsidP="00A814E4">
            <w:pPr>
              <w:spacing w:before="60" w:after="60"/>
              <w:jc w:val="both"/>
              <w:rPr>
                <w:rFonts w:eastAsiaTheme="minorHAnsi" w:cs="Arial"/>
                <w:sz w:val="20"/>
                <w:szCs w:val="20"/>
              </w:rPr>
            </w:pPr>
            <w:r w:rsidRPr="008D20B4">
              <w:rPr>
                <w:rFonts w:eastAsiaTheme="minorHAnsi" w:cs="Arial"/>
                <w:sz w:val="20"/>
                <w:szCs w:val="20"/>
              </w:rPr>
              <w:t>Simple changes to the supply routes for certain medicines may improve productivity and efficiency within acute trust providers and support the patient experience by:</w:t>
            </w:r>
          </w:p>
          <w:p w:rsidR="002B3DC0" w:rsidRPr="008D20B4" w:rsidRDefault="002B3DC0" w:rsidP="00900C4F">
            <w:pPr>
              <w:numPr>
                <w:ilvl w:val="0"/>
                <w:numId w:val="5"/>
              </w:numPr>
              <w:spacing w:before="60" w:after="60"/>
              <w:ind w:left="714" w:hanging="357"/>
              <w:contextualSpacing/>
              <w:rPr>
                <w:rFonts w:eastAsiaTheme="minorHAnsi" w:cs="Arial"/>
                <w:sz w:val="20"/>
                <w:szCs w:val="20"/>
              </w:rPr>
            </w:pPr>
            <w:r w:rsidRPr="008D20B4">
              <w:rPr>
                <w:rFonts w:eastAsiaTheme="minorHAnsi" w:cs="Arial"/>
                <w:sz w:val="20"/>
                <w:szCs w:val="20"/>
              </w:rPr>
              <w:t>Enabling patient choice</w:t>
            </w:r>
          </w:p>
          <w:p w:rsidR="002B3DC0" w:rsidRPr="008D20B4" w:rsidRDefault="002B3DC0" w:rsidP="00900C4F">
            <w:pPr>
              <w:numPr>
                <w:ilvl w:val="0"/>
                <w:numId w:val="5"/>
              </w:numPr>
              <w:spacing w:before="60" w:after="60"/>
              <w:ind w:left="714" w:hanging="357"/>
              <w:contextualSpacing/>
              <w:rPr>
                <w:rFonts w:eastAsiaTheme="minorHAnsi" w:cs="Arial"/>
                <w:sz w:val="20"/>
                <w:szCs w:val="20"/>
              </w:rPr>
            </w:pPr>
            <w:r w:rsidRPr="008D20B4">
              <w:rPr>
                <w:rFonts w:eastAsiaTheme="minorHAnsi" w:cs="Arial"/>
                <w:sz w:val="20"/>
                <w:szCs w:val="20"/>
              </w:rPr>
              <w:t>Ensuring patients have access to appropriate pharmaceutical advice as required</w:t>
            </w:r>
          </w:p>
          <w:p w:rsidR="002B3DC0" w:rsidRPr="008D20B4" w:rsidRDefault="002B3DC0" w:rsidP="00900C4F">
            <w:pPr>
              <w:numPr>
                <w:ilvl w:val="0"/>
                <w:numId w:val="5"/>
              </w:numPr>
              <w:spacing w:before="60" w:after="60"/>
              <w:ind w:left="714" w:hanging="357"/>
              <w:contextualSpacing/>
              <w:rPr>
                <w:rFonts w:eastAsiaTheme="minorHAnsi" w:cs="Arial"/>
                <w:sz w:val="20"/>
                <w:szCs w:val="20"/>
              </w:rPr>
            </w:pPr>
            <w:r w:rsidRPr="008D20B4">
              <w:rPr>
                <w:rFonts w:eastAsiaTheme="minorHAnsi" w:cs="Arial"/>
                <w:sz w:val="20"/>
                <w:szCs w:val="20"/>
              </w:rPr>
              <w:t>Access to medicines at a time and site suitable to the patient</w:t>
            </w:r>
          </w:p>
          <w:p w:rsidR="002B3DC0" w:rsidRPr="008D20B4" w:rsidRDefault="002B3DC0" w:rsidP="00900C4F">
            <w:pPr>
              <w:numPr>
                <w:ilvl w:val="0"/>
                <w:numId w:val="5"/>
              </w:numPr>
              <w:spacing w:before="60" w:after="60"/>
              <w:ind w:left="714" w:hanging="357"/>
              <w:contextualSpacing/>
              <w:rPr>
                <w:rFonts w:eastAsiaTheme="minorHAnsi" w:cs="Arial"/>
                <w:sz w:val="20"/>
                <w:szCs w:val="20"/>
              </w:rPr>
            </w:pPr>
            <w:r w:rsidRPr="008D20B4">
              <w:rPr>
                <w:rFonts w:eastAsiaTheme="minorHAnsi" w:cs="Arial"/>
                <w:sz w:val="20"/>
                <w:szCs w:val="20"/>
              </w:rPr>
              <w:t>Reduced associated costs for patients due to less travel time and parking requirements</w:t>
            </w:r>
          </w:p>
          <w:p w:rsidR="002B3DC0" w:rsidRPr="008D20B4" w:rsidRDefault="002B3DC0" w:rsidP="00900C4F">
            <w:pPr>
              <w:numPr>
                <w:ilvl w:val="0"/>
                <w:numId w:val="5"/>
              </w:numPr>
              <w:spacing w:before="60" w:after="60"/>
              <w:ind w:left="714" w:hanging="357"/>
              <w:contextualSpacing/>
              <w:rPr>
                <w:rFonts w:eastAsiaTheme="minorHAnsi" w:cs="Arial"/>
                <w:sz w:val="20"/>
                <w:szCs w:val="20"/>
              </w:rPr>
            </w:pPr>
            <w:r w:rsidRPr="008D20B4">
              <w:rPr>
                <w:rFonts w:eastAsiaTheme="minorHAnsi" w:cs="Arial"/>
                <w:sz w:val="20"/>
                <w:szCs w:val="20"/>
              </w:rPr>
              <w:t xml:space="preserve">Reducing patient waiting times by focusing on sole or limited supply routes </w:t>
            </w:r>
            <w:r w:rsidR="0023172D" w:rsidRPr="008D20B4">
              <w:rPr>
                <w:rFonts w:eastAsiaTheme="minorHAnsi" w:cs="Arial"/>
                <w:sz w:val="20"/>
                <w:szCs w:val="20"/>
              </w:rPr>
              <w:t>e.g.</w:t>
            </w:r>
            <w:r w:rsidRPr="008D20B4">
              <w:rPr>
                <w:rFonts w:eastAsiaTheme="minorHAnsi" w:cs="Arial"/>
                <w:sz w:val="20"/>
                <w:szCs w:val="20"/>
              </w:rPr>
              <w:t xml:space="preserve"> outpatients only rather than inpatient, </w:t>
            </w:r>
            <w:r w:rsidR="0023172D">
              <w:rPr>
                <w:rFonts w:eastAsiaTheme="minorHAnsi" w:cs="Arial"/>
                <w:sz w:val="20"/>
                <w:szCs w:val="20"/>
              </w:rPr>
              <w:t>outpatient and discharge routes</w:t>
            </w:r>
          </w:p>
          <w:p w:rsidR="002B3DC0" w:rsidRPr="008D20B4" w:rsidRDefault="002B3DC0" w:rsidP="00900C4F">
            <w:pPr>
              <w:numPr>
                <w:ilvl w:val="0"/>
                <w:numId w:val="5"/>
              </w:numPr>
              <w:spacing w:before="60" w:after="60"/>
              <w:ind w:left="714" w:hanging="357"/>
              <w:contextualSpacing/>
              <w:rPr>
                <w:rFonts w:eastAsiaTheme="minorHAnsi" w:cs="Arial"/>
                <w:sz w:val="20"/>
                <w:szCs w:val="20"/>
              </w:rPr>
            </w:pPr>
            <w:r w:rsidRPr="008D20B4">
              <w:rPr>
                <w:rFonts w:eastAsiaTheme="minorHAnsi" w:cs="Arial"/>
                <w:sz w:val="20"/>
                <w:szCs w:val="20"/>
              </w:rPr>
              <w:t>Delivering new facilities e.g. by investment in new dispensaries and or retail premises</w:t>
            </w:r>
          </w:p>
          <w:p w:rsidR="002B3DC0" w:rsidRPr="008D20B4" w:rsidRDefault="002B3DC0" w:rsidP="00900C4F">
            <w:pPr>
              <w:numPr>
                <w:ilvl w:val="0"/>
                <w:numId w:val="5"/>
              </w:numPr>
              <w:spacing w:before="60" w:after="60"/>
              <w:ind w:left="714" w:hanging="357"/>
              <w:contextualSpacing/>
              <w:rPr>
                <w:rFonts w:eastAsiaTheme="minorHAnsi" w:cs="Arial"/>
                <w:sz w:val="20"/>
                <w:szCs w:val="20"/>
              </w:rPr>
            </w:pPr>
            <w:r w:rsidRPr="008D20B4">
              <w:rPr>
                <w:rFonts w:eastAsiaTheme="minorHAnsi" w:cs="Arial"/>
                <w:sz w:val="20"/>
                <w:szCs w:val="20"/>
              </w:rPr>
              <w:t>Tying into services offered by the wider network of pharmacies offered by the outsourced provider</w:t>
            </w:r>
          </w:p>
          <w:p w:rsidR="002B3DC0" w:rsidRPr="00B93430" w:rsidRDefault="002B3DC0" w:rsidP="002B3DC0">
            <w:pPr>
              <w:spacing w:before="60" w:after="60"/>
              <w:rPr>
                <w:rFonts w:eastAsiaTheme="minorHAnsi" w:cs="Arial"/>
                <w:sz w:val="16"/>
                <w:szCs w:val="16"/>
              </w:rPr>
            </w:pPr>
          </w:p>
          <w:p w:rsidR="002B3DC0" w:rsidRPr="008D20B4" w:rsidRDefault="002B3DC0" w:rsidP="00A814E4">
            <w:pPr>
              <w:spacing w:before="60" w:after="60"/>
              <w:jc w:val="both"/>
              <w:rPr>
                <w:rFonts w:eastAsiaTheme="minorHAnsi" w:cs="Arial"/>
                <w:sz w:val="20"/>
                <w:szCs w:val="20"/>
              </w:rPr>
            </w:pPr>
            <w:r w:rsidRPr="008D20B4">
              <w:rPr>
                <w:rFonts w:eastAsiaTheme="minorHAnsi" w:cs="Arial"/>
                <w:sz w:val="20"/>
                <w:szCs w:val="20"/>
              </w:rPr>
              <w:t xml:space="preserve">An additional advantage of  the use of non-NHS providers of dispensing services is that NHS employed staff may be released to directly focus on more clinical aspects of their role, while allowing the non-NHS provider to have a clear focus on delivering the best possible patient experience. This may therefore enable improvement in two of the key parameters of clinical quality, in the context of patient safety and patient experience.  It should also be noted that use of an outsourced supply route will provide an additional benefit of supply of medicines at zero rate VAT, however this should not be the primary reason for supply via an outsourced route. </w:t>
            </w:r>
          </w:p>
          <w:p w:rsidR="00D57E93" w:rsidRDefault="00D57E93" w:rsidP="002B3DC0">
            <w:pPr>
              <w:spacing w:before="60" w:after="60"/>
              <w:rPr>
                <w:rFonts w:eastAsiaTheme="minorHAnsi" w:cs="Arial"/>
                <w:sz w:val="16"/>
                <w:szCs w:val="16"/>
              </w:rPr>
            </w:pPr>
          </w:p>
          <w:p w:rsidR="00D7165F" w:rsidRDefault="00D7165F" w:rsidP="002B3DC0">
            <w:pPr>
              <w:spacing w:before="60" w:after="60"/>
              <w:rPr>
                <w:rFonts w:eastAsiaTheme="minorHAnsi" w:cs="Arial"/>
                <w:sz w:val="16"/>
                <w:szCs w:val="16"/>
              </w:rPr>
            </w:pPr>
          </w:p>
          <w:p w:rsidR="00D7165F" w:rsidRPr="00B93430" w:rsidRDefault="00D7165F" w:rsidP="002B3DC0">
            <w:pPr>
              <w:spacing w:before="60" w:after="60"/>
              <w:rPr>
                <w:rFonts w:eastAsiaTheme="minorHAnsi" w:cs="Arial"/>
                <w:sz w:val="16"/>
                <w:szCs w:val="16"/>
              </w:rPr>
            </w:pPr>
          </w:p>
          <w:p w:rsidR="002B3DC0" w:rsidRPr="008D20B4" w:rsidRDefault="002B3DC0" w:rsidP="00A814E4">
            <w:pPr>
              <w:spacing w:before="60" w:after="60"/>
              <w:jc w:val="both"/>
              <w:rPr>
                <w:rFonts w:eastAsiaTheme="minorHAnsi" w:cs="Arial"/>
                <w:sz w:val="20"/>
                <w:szCs w:val="20"/>
              </w:rPr>
            </w:pPr>
            <w:r w:rsidRPr="008D20B4">
              <w:rPr>
                <w:rFonts w:eastAsiaTheme="minorHAnsi" w:cs="Arial"/>
                <w:sz w:val="20"/>
                <w:szCs w:val="20"/>
              </w:rPr>
              <w:t xml:space="preserve">This approach was noted in the report of Lord Carter “Operational productivity and performance in English NHS acute hospitals: Unwarranted variations”, available at: </w:t>
            </w:r>
            <w:hyperlink r:id="rId9" w:history="1">
              <w:r w:rsidRPr="008D20B4">
                <w:rPr>
                  <w:rFonts w:eastAsiaTheme="minorHAnsi" w:cs="Arial"/>
                  <w:color w:val="0000FF" w:themeColor="hyperlink"/>
                  <w:sz w:val="20"/>
                  <w:szCs w:val="20"/>
                  <w:u w:val="single"/>
                </w:rPr>
                <w:t>https://www.gov.uk/government/publications/productivity-in-nhs-hospitals</w:t>
              </w:r>
            </w:hyperlink>
            <w:r w:rsidRPr="008D20B4">
              <w:rPr>
                <w:rFonts w:eastAsiaTheme="minorHAnsi" w:cs="Arial"/>
                <w:sz w:val="20"/>
                <w:szCs w:val="20"/>
              </w:rPr>
              <w:t>; which included the following advice “</w:t>
            </w:r>
            <w:r w:rsidRPr="008D20B4">
              <w:rPr>
                <w:rFonts w:eastAsiaTheme="minorHAnsi" w:cs="Arial"/>
                <w:i/>
                <w:sz w:val="20"/>
                <w:szCs w:val="20"/>
              </w:rPr>
              <w:t>Trusts that have not currently outsourced their outpatient dispensing services should ensure their HPTP plans include a review of these services and have a plan in place for improving productivity and efficiency, including consideration of alternative supply routes, such as homecare providers or community pharmacies</w:t>
            </w:r>
            <w:r w:rsidRPr="008D20B4">
              <w:rPr>
                <w:rFonts w:eastAsiaTheme="minorHAnsi" w:cs="Arial"/>
                <w:sz w:val="20"/>
                <w:szCs w:val="20"/>
              </w:rPr>
              <w:t>.”</w:t>
            </w:r>
          </w:p>
          <w:p w:rsidR="002B3DC0" w:rsidRPr="00B93430" w:rsidRDefault="002B3DC0" w:rsidP="00900C4F">
            <w:pPr>
              <w:spacing w:before="60" w:after="60"/>
              <w:rPr>
                <w:rFonts w:eastAsiaTheme="minorHAnsi" w:cs="Arial"/>
                <w:sz w:val="16"/>
                <w:szCs w:val="16"/>
              </w:rPr>
            </w:pPr>
          </w:p>
          <w:p w:rsidR="002B3DC0" w:rsidRPr="008D20B4" w:rsidRDefault="002B3DC0" w:rsidP="00A814E4">
            <w:pPr>
              <w:spacing w:before="60" w:after="60"/>
              <w:jc w:val="both"/>
              <w:rPr>
                <w:rFonts w:eastAsiaTheme="minorHAnsi" w:cs="Arial"/>
                <w:sz w:val="20"/>
                <w:szCs w:val="20"/>
              </w:rPr>
            </w:pPr>
            <w:r w:rsidRPr="008D20B4">
              <w:rPr>
                <w:rFonts w:eastAsiaTheme="minorHAnsi" w:cs="Arial"/>
                <w:sz w:val="20"/>
                <w:szCs w:val="20"/>
              </w:rPr>
              <w:t>The Royal Pharmaceutical Society Professional (RPS) Standards for Homecare Services in England recommend that Homecare pharmacists should work collaboratively with commissioners</w:t>
            </w:r>
            <w:r w:rsidR="00213AAD">
              <w:rPr>
                <w:rFonts w:eastAsiaTheme="minorHAnsi" w:cs="Arial"/>
                <w:sz w:val="20"/>
                <w:szCs w:val="20"/>
              </w:rPr>
              <w:t xml:space="preserve"> </w:t>
            </w:r>
            <w:r w:rsidRPr="008D20B4">
              <w:rPr>
                <w:rFonts w:eastAsiaTheme="minorHAnsi" w:cs="Arial"/>
                <w:sz w:val="20"/>
                <w:szCs w:val="20"/>
              </w:rPr>
              <w:t>/</w:t>
            </w:r>
            <w:r w:rsidR="00213AAD">
              <w:rPr>
                <w:rFonts w:eastAsiaTheme="minorHAnsi" w:cs="Arial"/>
                <w:sz w:val="20"/>
                <w:szCs w:val="20"/>
              </w:rPr>
              <w:t xml:space="preserve"> </w:t>
            </w:r>
            <w:r w:rsidRPr="008D20B4">
              <w:rPr>
                <w:rFonts w:eastAsiaTheme="minorHAnsi" w:cs="Arial"/>
                <w:sz w:val="20"/>
                <w:szCs w:val="20"/>
              </w:rPr>
              <w:t>purchasers and primary care clinicians to ensure prescribing delivers value from the investment in medicines across the health community. The Medicines Optimisation (MO) CRG extends this recommendation to include the use of cost effective dispensing routes for all outpatient medicines.</w:t>
            </w:r>
          </w:p>
          <w:p w:rsidR="00900C4F" w:rsidRPr="00B93430" w:rsidRDefault="00900C4F" w:rsidP="00900C4F">
            <w:pPr>
              <w:spacing w:before="60" w:after="60"/>
              <w:rPr>
                <w:rFonts w:eastAsiaTheme="minorHAnsi" w:cs="Arial"/>
                <w:sz w:val="16"/>
                <w:szCs w:val="16"/>
              </w:rPr>
            </w:pPr>
          </w:p>
          <w:p w:rsidR="00EB2C13" w:rsidRDefault="002B3DC0" w:rsidP="00B93430">
            <w:pPr>
              <w:spacing w:before="60" w:after="60"/>
              <w:jc w:val="both"/>
              <w:rPr>
                <w:rFonts w:eastAsiaTheme="minorHAnsi" w:cs="Arial"/>
                <w:sz w:val="20"/>
                <w:szCs w:val="20"/>
              </w:rPr>
            </w:pPr>
            <w:r w:rsidRPr="008D20B4">
              <w:rPr>
                <w:rFonts w:eastAsiaTheme="minorHAnsi" w:cs="Arial"/>
                <w:sz w:val="20"/>
                <w:szCs w:val="20"/>
              </w:rPr>
              <w:t>In order to support trusts in determining the best means of achieving cost-effective dispensing the MO CRG has reviewed the current options available, while recognising that local conditions may affect the option chosen. This document is intended to support trusts when considering the benefits and disadvantages of various supply routes; highlight areas where such supply routes have been established and provide contact details for individuals who are willing to share their experiences.</w:t>
            </w:r>
          </w:p>
          <w:p w:rsidR="006D79CA" w:rsidRPr="00F66617" w:rsidRDefault="006D79CA" w:rsidP="00B93430">
            <w:pPr>
              <w:spacing w:before="60" w:after="60"/>
              <w:jc w:val="both"/>
              <w:rPr>
                <w:b/>
                <w:sz w:val="20"/>
                <w:szCs w:val="20"/>
              </w:rPr>
            </w:pPr>
          </w:p>
        </w:tc>
      </w:tr>
      <w:tr w:rsidR="006A6EFD" w:rsidTr="00CC0A0B">
        <w:trPr>
          <w:jc w:val="center"/>
        </w:trPr>
        <w:tc>
          <w:tcPr>
            <w:tcW w:w="10682" w:type="dxa"/>
            <w:gridSpan w:val="2"/>
            <w:tcBorders>
              <w:bottom w:val="nil"/>
            </w:tcBorders>
            <w:shd w:val="clear" w:color="auto" w:fill="0072C6"/>
          </w:tcPr>
          <w:p w:rsidR="006A6EFD" w:rsidRPr="004606B0" w:rsidRDefault="002B3DC0" w:rsidP="009132B5">
            <w:pPr>
              <w:pStyle w:val="SPSTitle"/>
              <w:spacing w:before="60" w:after="60"/>
              <w:jc w:val="both"/>
              <w:rPr>
                <w:color w:val="auto"/>
                <w:sz w:val="22"/>
                <w:szCs w:val="22"/>
              </w:rPr>
            </w:pPr>
            <w:r w:rsidRPr="004606B0">
              <w:rPr>
                <w:color w:val="FFFFFF" w:themeColor="background1"/>
                <w:sz w:val="22"/>
                <w:szCs w:val="22"/>
              </w:rPr>
              <w:lastRenderedPageBreak/>
              <w:t>Potential suppl</w:t>
            </w:r>
            <w:r w:rsidR="00AA61CD" w:rsidRPr="004606B0">
              <w:rPr>
                <w:color w:val="FFFFFF" w:themeColor="background1"/>
                <w:sz w:val="22"/>
                <w:szCs w:val="22"/>
              </w:rPr>
              <w:t>y routes</w:t>
            </w:r>
          </w:p>
        </w:tc>
      </w:tr>
      <w:tr w:rsidR="006A6EFD" w:rsidTr="00B93430">
        <w:trPr>
          <w:gridBefore w:val="1"/>
          <w:wBefore w:w="73" w:type="dxa"/>
          <w:jc w:val="center"/>
        </w:trPr>
        <w:tc>
          <w:tcPr>
            <w:tcW w:w="10609" w:type="dxa"/>
            <w:tcBorders>
              <w:top w:val="nil"/>
              <w:bottom w:val="nil"/>
            </w:tcBorders>
            <w:shd w:val="clear" w:color="auto" w:fill="FFFFFF" w:themeFill="background1"/>
          </w:tcPr>
          <w:p w:rsidR="00926D24" w:rsidRPr="00EB1579" w:rsidRDefault="00926D24" w:rsidP="002B3DC0">
            <w:pPr>
              <w:pStyle w:val="SPSTitle"/>
              <w:spacing w:before="60" w:after="60"/>
              <w:ind w:left="357"/>
              <w:contextualSpacing/>
              <w:rPr>
                <w:rStyle w:val="Emphasis"/>
              </w:rPr>
            </w:pP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621"/>
              <w:gridCol w:w="4621"/>
            </w:tblGrid>
            <w:tr w:rsidR="002B3DC0" w:rsidRPr="002B3DC0" w:rsidTr="002B3DC0">
              <w:trPr>
                <w:jc w:val="center"/>
              </w:trPr>
              <w:tc>
                <w:tcPr>
                  <w:tcW w:w="4621" w:type="dxa"/>
                  <w:tcMar>
                    <w:top w:w="57" w:type="dxa"/>
                    <w:left w:w="57" w:type="dxa"/>
                    <w:bottom w:w="57" w:type="dxa"/>
                    <w:right w:w="57" w:type="dxa"/>
                  </w:tcMar>
                </w:tcPr>
                <w:p w:rsidR="002B3DC0" w:rsidRPr="002B3DC0" w:rsidRDefault="00040E9A" w:rsidP="00AD1B6C">
                  <w:pPr>
                    <w:rPr>
                      <w:rFonts w:cs="Arial"/>
                      <w:b/>
                      <w:color w:val="0070C0"/>
                      <w:sz w:val="22"/>
                      <w:szCs w:val="22"/>
                    </w:rPr>
                  </w:pPr>
                  <w:r>
                    <w:rPr>
                      <w:rFonts w:cs="Arial"/>
                      <w:b/>
                      <w:color w:val="0070C0"/>
                      <w:sz w:val="22"/>
                      <w:szCs w:val="22"/>
                    </w:rPr>
                    <w:t>Service t</w:t>
                  </w:r>
                  <w:r w:rsidR="002B3DC0" w:rsidRPr="002B3DC0">
                    <w:rPr>
                      <w:rFonts w:cs="Arial"/>
                      <w:b/>
                      <w:color w:val="0070C0"/>
                      <w:sz w:val="22"/>
                      <w:szCs w:val="22"/>
                    </w:rPr>
                    <w:t>ype</w:t>
                  </w:r>
                </w:p>
              </w:tc>
              <w:tc>
                <w:tcPr>
                  <w:tcW w:w="4621" w:type="dxa"/>
                  <w:tcMar>
                    <w:top w:w="57" w:type="dxa"/>
                    <w:left w:w="57" w:type="dxa"/>
                    <w:bottom w:w="57" w:type="dxa"/>
                    <w:right w:w="57" w:type="dxa"/>
                  </w:tcMar>
                </w:tcPr>
                <w:p w:rsidR="002B3DC0" w:rsidRPr="002B3DC0" w:rsidRDefault="00040E9A" w:rsidP="00AD1B6C">
                  <w:pPr>
                    <w:rPr>
                      <w:rFonts w:cs="Arial"/>
                      <w:b/>
                      <w:color w:val="0070C0"/>
                      <w:sz w:val="22"/>
                      <w:szCs w:val="22"/>
                    </w:rPr>
                  </w:pPr>
                  <w:r>
                    <w:rPr>
                      <w:rFonts w:cs="Arial"/>
                      <w:b/>
                      <w:color w:val="0070C0"/>
                      <w:sz w:val="22"/>
                      <w:szCs w:val="22"/>
                    </w:rPr>
                    <w:t>Brief d</w:t>
                  </w:r>
                  <w:r w:rsidR="002B3DC0" w:rsidRPr="002B3DC0">
                    <w:rPr>
                      <w:rFonts w:cs="Arial"/>
                      <w:b/>
                      <w:color w:val="0070C0"/>
                      <w:sz w:val="22"/>
                      <w:szCs w:val="22"/>
                    </w:rPr>
                    <w:t>escription</w:t>
                  </w:r>
                </w:p>
              </w:tc>
            </w:tr>
            <w:tr w:rsidR="002B3DC0" w:rsidRPr="002B3DC0" w:rsidTr="002B3DC0">
              <w:trPr>
                <w:jc w:val="center"/>
              </w:trPr>
              <w:tc>
                <w:tcPr>
                  <w:tcW w:w="4621" w:type="dxa"/>
                  <w:tcMar>
                    <w:top w:w="57" w:type="dxa"/>
                    <w:left w:w="57" w:type="dxa"/>
                    <w:bottom w:w="57" w:type="dxa"/>
                    <w:right w:w="57" w:type="dxa"/>
                  </w:tcMar>
                </w:tcPr>
                <w:p w:rsidR="002B3DC0" w:rsidRPr="00FC1F44" w:rsidRDefault="002B3DC0" w:rsidP="00AD1B6C">
                  <w:pPr>
                    <w:rPr>
                      <w:rFonts w:cs="Arial"/>
                      <w:sz w:val="20"/>
                      <w:szCs w:val="20"/>
                    </w:rPr>
                  </w:pPr>
                  <w:r w:rsidRPr="00FC1F44">
                    <w:rPr>
                      <w:rFonts w:cs="Arial"/>
                      <w:sz w:val="20"/>
                      <w:szCs w:val="20"/>
                    </w:rPr>
                    <w:t>In-house pharmacy</w:t>
                  </w:r>
                </w:p>
              </w:tc>
              <w:tc>
                <w:tcPr>
                  <w:tcW w:w="4621" w:type="dxa"/>
                  <w:tcMar>
                    <w:top w:w="57" w:type="dxa"/>
                    <w:left w:w="57" w:type="dxa"/>
                    <w:bottom w:w="57" w:type="dxa"/>
                    <w:right w:w="57" w:type="dxa"/>
                  </w:tcMar>
                </w:tcPr>
                <w:p w:rsidR="002B3DC0" w:rsidRPr="00FC1F44" w:rsidRDefault="002B3DC0" w:rsidP="00AD1B6C">
                  <w:pPr>
                    <w:rPr>
                      <w:rFonts w:cs="Arial"/>
                      <w:sz w:val="20"/>
                      <w:szCs w:val="20"/>
                    </w:rPr>
                  </w:pPr>
                  <w:r w:rsidRPr="00FC1F44">
                    <w:rPr>
                      <w:rFonts w:cs="Arial"/>
                      <w:sz w:val="20"/>
                      <w:szCs w:val="20"/>
                    </w:rPr>
                    <w:t>Out-patient prescriptions are dispensed by the NHS Trust pharmacy department</w:t>
                  </w:r>
                </w:p>
              </w:tc>
            </w:tr>
            <w:tr w:rsidR="002B3DC0" w:rsidRPr="002B3DC0" w:rsidTr="002B3DC0">
              <w:trPr>
                <w:jc w:val="center"/>
              </w:trPr>
              <w:tc>
                <w:tcPr>
                  <w:tcW w:w="4621" w:type="dxa"/>
                  <w:tcMar>
                    <w:top w:w="57" w:type="dxa"/>
                    <w:left w:w="57" w:type="dxa"/>
                    <w:bottom w:w="57" w:type="dxa"/>
                    <w:right w:w="57" w:type="dxa"/>
                  </w:tcMar>
                </w:tcPr>
                <w:p w:rsidR="002B3DC0" w:rsidRPr="00FC1F44" w:rsidRDefault="002B3DC0" w:rsidP="00AD1B6C">
                  <w:pPr>
                    <w:rPr>
                      <w:rFonts w:cs="Arial"/>
                      <w:sz w:val="20"/>
                      <w:szCs w:val="20"/>
                    </w:rPr>
                  </w:pPr>
                  <w:r w:rsidRPr="00FC1F44">
                    <w:rPr>
                      <w:rFonts w:cs="Arial"/>
                      <w:sz w:val="20"/>
                      <w:szCs w:val="20"/>
                    </w:rPr>
                    <w:t>Outsourced Out-Patient Dispensing (OOPD): private company</w:t>
                  </w:r>
                </w:p>
              </w:tc>
              <w:tc>
                <w:tcPr>
                  <w:tcW w:w="4621" w:type="dxa"/>
                  <w:tcMar>
                    <w:top w:w="57" w:type="dxa"/>
                    <w:left w:w="57" w:type="dxa"/>
                    <w:bottom w:w="57" w:type="dxa"/>
                    <w:right w:w="57" w:type="dxa"/>
                  </w:tcMar>
                </w:tcPr>
                <w:p w:rsidR="002B3DC0" w:rsidRPr="00FC1F44" w:rsidRDefault="002B3DC0" w:rsidP="00AD1B6C">
                  <w:pPr>
                    <w:rPr>
                      <w:rFonts w:cs="Arial"/>
                      <w:sz w:val="20"/>
                      <w:szCs w:val="20"/>
                    </w:rPr>
                  </w:pPr>
                  <w:r w:rsidRPr="00FC1F44">
                    <w:rPr>
                      <w:rFonts w:cs="Arial"/>
                      <w:sz w:val="20"/>
                      <w:szCs w:val="20"/>
                    </w:rPr>
                    <w:t>Out-patient prescriptions are dispensed by a separate entity (private compa</w:t>
                  </w:r>
                  <w:r w:rsidR="00912F3B">
                    <w:rPr>
                      <w:rFonts w:cs="Arial"/>
                      <w:sz w:val="20"/>
                      <w:szCs w:val="20"/>
                    </w:rPr>
                    <w:t>ny) contracted by the NHS trust</w:t>
                  </w:r>
                </w:p>
              </w:tc>
            </w:tr>
            <w:tr w:rsidR="002B3DC0" w:rsidRPr="002B3DC0" w:rsidTr="002B3DC0">
              <w:trPr>
                <w:jc w:val="center"/>
              </w:trPr>
              <w:tc>
                <w:tcPr>
                  <w:tcW w:w="4621" w:type="dxa"/>
                  <w:tcMar>
                    <w:top w:w="57" w:type="dxa"/>
                    <w:left w:w="57" w:type="dxa"/>
                    <w:bottom w:w="57" w:type="dxa"/>
                    <w:right w:w="57" w:type="dxa"/>
                  </w:tcMar>
                </w:tcPr>
                <w:p w:rsidR="002B3DC0" w:rsidRPr="00FC1F44" w:rsidRDefault="002B3DC0" w:rsidP="00AD1B6C">
                  <w:pPr>
                    <w:rPr>
                      <w:rFonts w:cs="Arial"/>
                      <w:sz w:val="20"/>
                      <w:szCs w:val="20"/>
                    </w:rPr>
                  </w:pPr>
                  <w:r w:rsidRPr="00FC1F44">
                    <w:rPr>
                      <w:rFonts w:cs="Arial"/>
                      <w:sz w:val="20"/>
                      <w:szCs w:val="20"/>
                    </w:rPr>
                    <w:t>OOPD: wholly owned subsidiary (WOS)</w:t>
                  </w:r>
                </w:p>
              </w:tc>
              <w:tc>
                <w:tcPr>
                  <w:tcW w:w="4621" w:type="dxa"/>
                  <w:tcMar>
                    <w:top w:w="57" w:type="dxa"/>
                    <w:left w:w="57" w:type="dxa"/>
                    <w:bottom w:w="57" w:type="dxa"/>
                    <w:right w:w="57" w:type="dxa"/>
                  </w:tcMar>
                </w:tcPr>
                <w:p w:rsidR="002B3DC0" w:rsidRPr="00FC1F44" w:rsidRDefault="002B3DC0" w:rsidP="00AD1B6C">
                  <w:pPr>
                    <w:rPr>
                      <w:rFonts w:cs="Arial"/>
                      <w:sz w:val="20"/>
                      <w:szCs w:val="20"/>
                    </w:rPr>
                  </w:pPr>
                  <w:r w:rsidRPr="00FC1F44">
                    <w:rPr>
                      <w:rFonts w:cs="Arial"/>
                      <w:sz w:val="20"/>
                      <w:szCs w:val="20"/>
                    </w:rPr>
                    <w:t>Out-patient prescriptions are dispensed by a separate entity (private company) which is owned by the NHS Trust</w:t>
                  </w:r>
                </w:p>
              </w:tc>
            </w:tr>
            <w:tr w:rsidR="002B3DC0" w:rsidRPr="002B3DC0" w:rsidTr="002B3DC0">
              <w:trPr>
                <w:jc w:val="center"/>
              </w:trPr>
              <w:tc>
                <w:tcPr>
                  <w:tcW w:w="4621" w:type="dxa"/>
                  <w:tcMar>
                    <w:top w:w="57" w:type="dxa"/>
                    <w:left w:w="57" w:type="dxa"/>
                    <w:bottom w:w="57" w:type="dxa"/>
                    <w:right w:w="57" w:type="dxa"/>
                  </w:tcMar>
                </w:tcPr>
                <w:p w:rsidR="002B3DC0" w:rsidRPr="00FC1F44" w:rsidRDefault="002B3DC0" w:rsidP="00AD1B6C">
                  <w:pPr>
                    <w:rPr>
                      <w:rFonts w:cs="Arial"/>
                      <w:sz w:val="20"/>
                      <w:szCs w:val="20"/>
                    </w:rPr>
                  </w:pPr>
                  <w:r w:rsidRPr="00FC1F44">
                    <w:rPr>
                      <w:rFonts w:cs="Arial"/>
                      <w:sz w:val="20"/>
                      <w:szCs w:val="20"/>
                    </w:rPr>
                    <w:t>Homecare Medicines Services via Homecare Provider*</w:t>
                  </w:r>
                </w:p>
              </w:tc>
              <w:tc>
                <w:tcPr>
                  <w:tcW w:w="4621" w:type="dxa"/>
                  <w:tcMar>
                    <w:top w:w="57" w:type="dxa"/>
                    <w:left w:w="57" w:type="dxa"/>
                    <w:bottom w:w="57" w:type="dxa"/>
                    <w:right w:w="57" w:type="dxa"/>
                  </w:tcMar>
                </w:tcPr>
                <w:p w:rsidR="002B3DC0" w:rsidRPr="00FC1F44" w:rsidRDefault="002B3DC0" w:rsidP="00AD1B6C">
                  <w:pPr>
                    <w:rPr>
                      <w:rFonts w:cs="Arial"/>
                      <w:sz w:val="20"/>
                      <w:szCs w:val="20"/>
                    </w:rPr>
                  </w:pPr>
                  <w:r w:rsidRPr="00FC1F44">
                    <w:rPr>
                      <w:rFonts w:cs="Arial"/>
                      <w:sz w:val="20"/>
                      <w:szCs w:val="20"/>
                    </w:rPr>
                    <w:t>Homecare prescriptions are dispensed by a commercial Homecare Provider and delivered direct to patients residential (or other nominated) address</w:t>
                  </w:r>
                </w:p>
              </w:tc>
            </w:tr>
            <w:tr w:rsidR="002B3DC0" w:rsidRPr="002B3DC0" w:rsidTr="002B3DC0">
              <w:trPr>
                <w:jc w:val="center"/>
              </w:trPr>
              <w:tc>
                <w:tcPr>
                  <w:tcW w:w="4621" w:type="dxa"/>
                  <w:tcMar>
                    <w:top w:w="57" w:type="dxa"/>
                    <w:left w:w="57" w:type="dxa"/>
                    <w:bottom w:w="57" w:type="dxa"/>
                    <w:right w:w="57" w:type="dxa"/>
                  </w:tcMar>
                </w:tcPr>
                <w:p w:rsidR="002B3DC0" w:rsidRPr="00FC1F44" w:rsidRDefault="002B3DC0" w:rsidP="00AD1B6C">
                  <w:pPr>
                    <w:rPr>
                      <w:rFonts w:cs="Arial"/>
                      <w:sz w:val="20"/>
                      <w:szCs w:val="20"/>
                    </w:rPr>
                  </w:pPr>
                  <w:r w:rsidRPr="00FC1F44">
                    <w:rPr>
                      <w:rFonts w:eastAsia="Times New Roman" w:cs="Arial"/>
                      <w:bCs/>
                      <w:sz w:val="20"/>
                      <w:szCs w:val="20"/>
                    </w:rPr>
                    <w:t>Hub and spoke model (including “click and collect”)</w:t>
                  </w:r>
                </w:p>
              </w:tc>
              <w:tc>
                <w:tcPr>
                  <w:tcW w:w="4621" w:type="dxa"/>
                  <w:tcMar>
                    <w:top w:w="57" w:type="dxa"/>
                    <w:left w:w="57" w:type="dxa"/>
                    <w:bottom w:w="57" w:type="dxa"/>
                    <w:right w:w="57" w:type="dxa"/>
                  </w:tcMar>
                </w:tcPr>
                <w:p w:rsidR="002B3DC0" w:rsidRPr="00FC1F44" w:rsidRDefault="002B3DC0" w:rsidP="00AD1B6C">
                  <w:pPr>
                    <w:rPr>
                      <w:rFonts w:cs="Arial"/>
                      <w:sz w:val="20"/>
                      <w:szCs w:val="20"/>
                    </w:rPr>
                  </w:pPr>
                  <w:r w:rsidRPr="00FC1F44">
                    <w:rPr>
                      <w:rFonts w:cs="Arial"/>
                      <w:sz w:val="20"/>
                      <w:szCs w:val="20"/>
                    </w:rPr>
                    <w:t>Prescriptions are dispensed by one main pharmacy and medicines are then delivered to a pharmacy nearer to the patient’s home for collection</w:t>
                  </w:r>
                </w:p>
              </w:tc>
            </w:tr>
            <w:tr w:rsidR="002B3DC0" w:rsidRPr="002B3DC0" w:rsidTr="002B3DC0">
              <w:trPr>
                <w:jc w:val="center"/>
              </w:trPr>
              <w:tc>
                <w:tcPr>
                  <w:tcW w:w="4621" w:type="dxa"/>
                  <w:tcMar>
                    <w:top w:w="57" w:type="dxa"/>
                    <w:left w:w="57" w:type="dxa"/>
                    <w:bottom w:w="57" w:type="dxa"/>
                    <w:right w:w="57" w:type="dxa"/>
                  </w:tcMar>
                </w:tcPr>
                <w:p w:rsidR="002B3DC0" w:rsidRPr="00FC1F44" w:rsidRDefault="002B3DC0" w:rsidP="00AD1B6C">
                  <w:pPr>
                    <w:rPr>
                      <w:rFonts w:cs="Arial"/>
                      <w:sz w:val="20"/>
                      <w:szCs w:val="20"/>
                    </w:rPr>
                  </w:pPr>
                  <w:r w:rsidRPr="00FC1F44">
                    <w:rPr>
                      <w:rFonts w:cs="Arial"/>
                      <w:sz w:val="20"/>
                      <w:szCs w:val="20"/>
                    </w:rPr>
                    <w:t xml:space="preserve">FP10 via </w:t>
                  </w:r>
                  <w:r w:rsidR="00912F3B">
                    <w:rPr>
                      <w:rFonts w:eastAsia="Times New Roman" w:cs="Arial"/>
                      <w:bCs/>
                      <w:sz w:val="20"/>
                      <w:szCs w:val="20"/>
                    </w:rPr>
                    <w:t>c</w:t>
                  </w:r>
                  <w:r w:rsidRPr="00FC1F44">
                    <w:rPr>
                      <w:rFonts w:eastAsia="Times New Roman" w:cs="Arial"/>
                      <w:bCs/>
                      <w:sz w:val="20"/>
                      <w:szCs w:val="20"/>
                    </w:rPr>
                    <w:t>ommunity pharmacy</w:t>
                  </w:r>
                </w:p>
              </w:tc>
              <w:tc>
                <w:tcPr>
                  <w:tcW w:w="4621" w:type="dxa"/>
                  <w:tcMar>
                    <w:top w:w="57" w:type="dxa"/>
                    <w:left w:w="57" w:type="dxa"/>
                    <w:bottom w:w="57" w:type="dxa"/>
                    <w:right w:w="57" w:type="dxa"/>
                  </w:tcMar>
                </w:tcPr>
                <w:p w:rsidR="002B3DC0" w:rsidRPr="00FC1F44" w:rsidRDefault="002B3DC0" w:rsidP="00AD1B6C">
                  <w:pPr>
                    <w:rPr>
                      <w:rFonts w:cs="Arial"/>
                      <w:sz w:val="20"/>
                      <w:szCs w:val="20"/>
                    </w:rPr>
                  </w:pPr>
                  <w:r w:rsidRPr="00FC1F44">
                    <w:rPr>
                      <w:rFonts w:cs="Arial"/>
                      <w:sz w:val="20"/>
                      <w:szCs w:val="20"/>
                    </w:rPr>
                    <w:t>FP10HP prescriptions are dispensed by community pharmacies. This supply ro</w:t>
                  </w:r>
                  <w:r w:rsidR="00912F3B">
                    <w:rPr>
                      <w:rFonts w:cs="Arial"/>
                      <w:sz w:val="20"/>
                      <w:szCs w:val="20"/>
                    </w:rPr>
                    <w:t>ute is less often used nowadays</w:t>
                  </w:r>
                </w:p>
              </w:tc>
            </w:tr>
          </w:tbl>
          <w:p w:rsidR="006A6EFD" w:rsidRPr="00FC1F44" w:rsidRDefault="006A6EFD" w:rsidP="009132B5">
            <w:pPr>
              <w:pStyle w:val="SPSTitle"/>
              <w:spacing w:before="60" w:after="60"/>
              <w:rPr>
                <w:b w:val="0"/>
                <w:color w:val="auto"/>
                <w:sz w:val="20"/>
                <w:szCs w:val="20"/>
              </w:rPr>
            </w:pPr>
          </w:p>
          <w:p w:rsidR="002B3DC0" w:rsidRPr="00FC1F44" w:rsidRDefault="002B3DC0" w:rsidP="00EB2C13">
            <w:pPr>
              <w:spacing w:before="60" w:after="60"/>
              <w:rPr>
                <w:rFonts w:eastAsiaTheme="minorHAnsi" w:cs="Arial"/>
                <w:sz w:val="20"/>
                <w:szCs w:val="20"/>
              </w:rPr>
            </w:pPr>
            <w:r w:rsidRPr="00FC1F44">
              <w:rPr>
                <w:rFonts w:eastAsiaTheme="minorHAnsi" w:cs="Arial"/>
                <w:sz w:val="20"/>
                <w:szCs w:val="20"/>
              </w:rPr>
              <w:t>In practice an acute trust provider may use a combination of the above service types.</w:t>
            </w:r>
          </w:p>
          <w:p w:rsidR="00EB2C13" w:rsidRPr="00FC1F44" w:rsidRDefault="00EB2C13" w:rsidP="00EB2C13">
            <w:pPr>
              <w:spacing w:before="60" w:after="60"/>
              <w:rPr>
                <w:rFonts w:eastAsiaTheme="minorHAnsi" w:cs="Arial"/>
                <w:sz w:val="20"/>
                <w:szCs w:val="20"/>
              </w:rPr>
            </w:pPr>
          </w:p>
          <w:p w:rsidR="002B3DC0" w:rsidRPr="00FC1F44" w:rsidRDefault="002B3DC0" w:rsidP="00A814E4">
            <w:pPr>
              <w:spacing w:before="60" w:after="60"/>
              <w:jc w:val="both"/>
              <w:rPr>
                <w:rFonts w:eastAsiaTheme="minorHAnsi" w:cs="Arial"/>
                <w:sz w:val="20"/>
                <w:szCs w:val="20"/>
              </w:rPr>
            </w:pPr>
            <w:r w:rsidRPr="00FC1F44">
              <w:rPr>
                <w:rFonts w:eastAsiaTheme="minorHAnsi" w:cs="Arial"/>
                <w:sz w:val="20"/>
                <w:szCs w:val="20"/>
              </w:rPr>
              <w:t xml:space="preserve">*Homecare medicines service contracts can be broadly classified into 2 types: NHS contracted homecare medicines services and Pharma funded homecare medicines services. Please refer to the table below for a brief description of these service types. Detailed information comparing the relative merits of each type of service is outside of the scope of this document. For further information please contact Chair of the National Homecare Medicines Committee (NHMC): </w:t>
            </w:r>
            <w:hyperlink r:id="rId10" w:history="1">
              <w:r w:rsidRPr="00FC1F44">
                <w:rPr>
                  <w:rFonts w:eastAsiaTheme="minorHAnsi" w:cs="Arial"/>
                  <w:color w:val="0000FF" w:themeColor="hyperlink"/>
                  <w:sz w:val="20"/>
                  <w:szCs w:val="20"/>
                  <w:u w:val="single"/>
                </w:rPr>
                <w:t>susan.gibert@berkshire.nhs.uk</w:t>
              </w:r>
            </w:hyperlink>
            <w:r w:rsidR="00335F7B" w:rsidRPr="00335F7B">
              <w:rPr>
                <w:rFonts w:eastAsiaTheme="minorHAnsi" w:cs="Arial"/>
                <w:color w:val="000000" w:themeColor="text1"/>
                <w:sz w:val="20"/>
                <w:szCs w:val="20"/>
              </w:rPr>
              <w:t>.</w:t>
            </w:r>
          </w:p>
          <w:p w:rsidR="00335F7B" w:rsidRDefault="00335F7B" w:rsidP="009132B5">
            <w:pPr>
              <w:pStyle w:val="SPSTitle"/>
              <w:spacing w:before="60" w:after="60"/>
              <w:rPr>
                <w:b w:val="0"/>
                <w:color w:val="auto"/>
                <w:sz w:val="20"/>
                <w:szCs w:val="20"/>
              </w:rPr>
            </w:pP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621"/>
              <w:gridCol w:w="4621"/>
            </w:tblGrid>
            <w:tr w:rsidR="00EB2C13" w:rsidRPr="00EB2C13" w:rsidTr="00EB2C13">
              <w:trPr>
                <w:jc w:val="center"/>
              </w:trPr>
              <w:tc>
                <w:tcPr>
                  <w:tcW w:w="4621" w:type="dxa"/>
                </w:tcPr>
                <w:p w:rsidR="00EB2C13" w:rsidRPr="00FC1F44" w:rsidRDefault="00EB2C13" w:rsidP="00EB2C13">
                  <w:pPr>
                    <w:spacing w:before="60" w:after="60"/>
                    <w:rPr>
                      <w:rFonts w:cs="Arial"/>
                      <w:b/>
                      <w:color w:val="0070C0"/>
                      <w:sz w:val="20"/>
                      <w:szCs w:val="20"/>
                    </w:rPr>
                  </w:pPr>
                  <w:r w:rsidRPr="00FC1F44">
                    <w:rPr>
                      <w:rFonts w:cs="Arial"/>
                      <w:b/>
                      <w:color w:val="0070C0"/>
                      <w:sz w:val="20"/>
                      <w:szCs w:val="20"/>
                    </w:rPr>
                    <w:t>NHS contracted homecare medicines services</w:t>
                  </w:r>
                </w:p>
              </w:tc>
              <w:tc>
                <w:tcPr>
                  <w:tcW w:w="4621" w:type="dxa"/>
                </w:tcPr>
                <w:p w:rsidR="00EB2C13" w:rsidRPr="00FC1F44" w:rsidRDefault="00EB2C13" w:rsidP="00EB2C13">
                  <w:pPr>
                    <w:spacing w:before="60" w:after="60"/>
                    <w:rPr>
                      <w:rFonts w:cs="Arial"/>
                      <w:b/>
                      <w:color w:val="0070C0"/>
                      <w:sz w:val="20"/>
                      <w:szCs w:val="20"/>
                    </w:rPr>
                  </w:pPr>
                  <w:r w:rsidRPr="00FC1F44">
                    <w:rPr>
                      <w:rFonts w:cs="Arial"/>
                      <w:b/>
                      <w:color w:val="0070C0"/>
                      <w:sz w:val="20"/>
                      <w:szCs w:val="20"/>
                    </w:rPr>
                    <w:t>Pharma funded homecare medicines services</w:t>
                  </w:r>
                </w:p>
              </w:tc>
            </w:tr>
            <w:tr w:rsidR="00EB2C13" w:rsidRPr="00EB2C13" w:rsidTr="00EB2C13">
              <w:trPr>
                <w:jc w:val="center"/>
              </w:trPr>
              <w:tc>
                <w:tcPr>
                  <w:tcW w:w="4621" w:type="dxa"/>
                </w:tcPr>
                <w:p w:rsidR="00EB2C13" w:rsidRPr="00FC1F44" w:rsidRDefault="00EB2C13" w:rsidP="00EB2C13">
                  <w:pPr>
                    <w:spacing w:before="60" w:after="60"/>
                    <w:rPr>
                      <w:rFonts w:cs="Arial"/>
                      <w:sz w:val="20"/>
                      <w:szCs w:val="20"/>
                    </w:rPr>
                  </w:pPr>
                  <w:r w:rsidRPr="00FC1F44">
                    <w:rPr>
                      <w:rFonts w:cs="Arial"/>
                      <w:sz w:val="20"/>
                      <w:szCs w:val="20"/>
                    </w:rPr>
                    <w:t>Medicine prescribed and funded by NHS</w:t>
                  </w:r>
                </w:p>
              </w:tc>
              <w:tc>
                <w:tcPr>
                  <w:tcW w:w="4621" w:type="dxa"/>
                </w:tcPr>
                <w:p w:rsidR="00EB2C13" w:rsidRPr="00FC1F44" w:rsidRDefault="00EB2C13" w:rsidP="00EB2C13">
                  <w:pPr>
                    <w:spacing w:before="60" w:after="60"/>
                    <w:rPr>
                      <w:rFonts w:cs="Arial"/>
                      <w:sz w:val="20"/>
                      <w:szCs w:val="20"/>
                    </w:rPr>
                  </w:pPr>
                  <w:r w:rsidRPr="00FC1F44">
                    <w:rPr>
                      <w:rFonts w:cs="Arial"/>
                      <w:sz w:val="20"/>
                      <w:szCs w:val="20"/>
                    </w:rPr>
                    <w:t>Medicine prescribed and funded by NHS</w:t>
                  </w:r>
                </w:p>
              </w:tc>
            </w:tr>
            <w:tr w:rsidR="00EB2C13" w:rsidRPr="00EB2C13" w:rsidTr="00EB2C13">
              <w:trPr>
                <w:jc w:val="center"/>
              </w:trPr>
              <w:tc>
                <w:tcPr>
                  <w:tcW w:w="4621" w:type="dxa"/>
                </w:tcPr>
                <w:p w:rsidR="00EB2C13" w:rsidRPr="00FC1F44" w:rsidRDefault="00EB2C13" w:rsidP="00EB2C13">
                  <w:pPr>
                    <w:spacing w:before="60" w:after="60"/>
                    <w:rPr>
                      <w:rFonts w:cs="Arial"/>
                      <w:sz w:val="20"/>
                      <w:szCs w:val="20"/>
                    </w:rPr>
                  </w:pPr>
                  <w:r w:rsidRPr="00FC1F44">
                    <w:rPr>
                      <w:rFonts w:cs="Arial"/>
                      <w:sz w:val="20"/>
                      <w:szCs w:val="20"/>
                    </w:rPr>
                    <w:t>Medicine delivery costs and associated nursing services funded by NHS</w:t>
                  </w:r>
                </w:p>
              </w:tc>
              <w:tc>
                <w:tcPr>
                  <w:tcW w:w="4621" w:type="dxa"/>
                </w:tcPr>
                <w:p w:rsidR="00EB2C13" w:rsidRPr="00FC1F44" w:rsidRDefault="00EB2C13" w:rsidP="00EB2C13">
                  <w:pPr>
                    <w:spacing w:before="60" w:after="60"/>
                    <w:rPr>
                      <w:rFonts w:cs="Arial"/>
                      <w:sz w:val="20"/>
                      <w:szCs w:val="20"/>
                    </w:rPr>
                  </w:pPr>
                  <w:r w:rsidRPr="00FC1F44">
                    <w:rPr>
                      <w:rFonts w:cs="Arial"/>
                      <w:sz w:val="20"/>
                      <w:szCs w:val="20"/>
                    </w:rPr>
                    <w:t>Medicine delivery costs and associated nursing services funded by the manufacturer of the pharmaceutical product</w:t>
                  </w:r>
                </w:p>
              </w:tc>
            </w:tr>
            <w:tr w:rsidR="00EB2C13" w:rsidRPr="00EB2C13" w:rsidTr="00EB2C13">
              <w:trPr>
                <w:jc w:val="center"/>
              </w:trPr>
              <w:tc>
                <w:tcPr>
                  <w:tcW w:w="4621" w:type="dxa"/>
                </w:tcPr>
                <w:p w:rsidR="00EB2C13" w:rsidRPr="00FC1F44" w:rsidRDefault="00EB2C13" w:rsidP="00EB2C13">
                  <w:pPr>
                    <w:spacing w:before="60" w:after="60"/>
                    <w:rPr>
                      <w:rFonts w:cs="Arial"/>
                      <w:sz w:val="20"/>
                      <w:szCs w:val="20"/>
                    </w:rPr>
                  </w:pPr>
                  <w:r w:rsidRPr="00FC1F44">
                    <w:rPr>
                      <w:rFonts w:cs="Arial"/>
                      <w:sz w:val="20"/>
                      <w:szCs w:val="20"/>
                    </w:rPr>
                    <w:t>Subject to EU Procurement Regulations which requires a full tender process to be followed for the majority of contracts</w:t>
                  </w:r>
                </w:p>
              </w:tc>
              <w:tc>
                <w:tcPr>
                  <w:tcW w:w="4621" w:type="dxa"/>
                </w:tcPr>
                <w:p w:rsidR="00EB2C13" w:rsidRPr="00FC1F44" w:rsidRDefault="00EB2C13" w:rsidP="00EB2C13">
                  <w:pPr>
                    <w:spacing w:before="60" w:after="60"/>
                    <w:rPr>
                      <w:rFonts w:cs="Arial"/>
                      <w:sz w:val="20"/>
                      <w:szCs w:val="20"/>
                    </w:rPr>
                  </w:pPr>
                  <w:r w:rsidRPr="00FC1F44">
                    <w:rPr>
                      <w:rFonts w:cs="Arial"/>
                      <w:sz w:val="20"/>
                      <w:szCs w:val="20"/>
                    </w:rPr>
                    <w:t>Not subject to full tender process. Manufacturers assign a suitable homecare provider and the NHS must access the medicine via the chosen provider(s)</w:t>
                  </w:r>
                </w:p>
              </w:tc>
            </w:tr>
            <w:tr w:rsidR="00EB2C13" w:rsidRPr="00EB2C13" w:rsidTr="00EB2C13">
              <w:trPr>
                <w:jc w:val="center"/>
              </w:trPr>
              <w:tc>
                <w:tcPr>
                  <w:tcW w:w="4621" w:type="dxa"/>
                </w:tcPr>
                <w:p w:rsidR="00EB2C13" w:rsidRPr="00FC1F44" w:rsidRDefault="00EB2C13" w:rsidP="00EB2C13">
                  <w:pPr>
                    <w:spacing w:before="60" w:after="60"/>
                    <w:rPr>
                      <w:rFonts w:cs="Arial"/>
                      <w:sz w:val="20"/>
                      <w:szCs w:val="20"/>
                    </w:rPr>
                  </w:pPr>
                  <w:r w:rsidRPr="00FC1F44">
                    <w:rPr>
                      <w:rFonts w:cs="Arial"/>
                      <w:sz w:val="20"/>
                      <w:szCs w:val="20"/>
                    </w:rPr>
                    <w:t>NHS funds any additional patient support</w:t>
                  </w:r>
                </w:p>
              </w:tc>
              <w:tc>
                <w:tcPr>
                  <w:tcW w:w="4621" w:type="dxa"/>
                </w:tcPr>
                <w:p w:rsidR="00EB2C13" w:rsidRPr="00FC1F44" w:rsidRDefault="00EB2C13" w:rsidP="00EB2C13">
                  <w:pPr>
                    <w:spacing w:before="60" w:after="60"/>
                    <w:rPr>
                      <w:rFonts w:cs="Arial"/>
                      <w:sz w:val="20"/>
                      <w:szCs w:val="20"/>
                    </w:rPr>
                  </w:pPr>
                  <w:r w:rsidRPr="00FC1F44">
                    <w:rPr>
                      <w:rFonts w:cs="Arial"/>
                      <w:sz w:val="20"/>
                      <w:szCs w:val="20"/>
                    </w:rPr>
                    <w:t>Many pharma funded services are accompanied by a Patient Support Programme (PSP). The benefits of PSPs to patients are outside</w:t>
                  </w:r>
                  <w:r w:rsidR="00BA43D7">
                    <w:rPr>
                      <w:rFonts w:cs="Arial"/>
                      <w:sz w:val="20"/>
                      <w:szCs w:val="20"/>
                    </w:rPr>
                    <w:t xml:space="preserve"> of the scope of this document</w:t>
                  </w:r>
                </w:p>
              </w:tc>
            </w:tr>
          </w:tbl>
          <w:p w:rsidR="00B93430" w:rsidRDefault="00B93430" w:rsidP="009132B5">
            <w:pPr>
              <w:pStyle w:val="SPSTitle"/>
              <w:spacing w:before="60" w:after="60"/>
              <w:rPr>
                <w:b w:val="0"/>
                <w:color w:val="auto"/>
                <w:sz w:val="20"/>
                <w:szCs w:val="20"/>
              </w:rPr>
            </w:pPr>
          </w:p>
          <w:p w:rsidR="00D57E93" w:rsidRPr="00FC1F44" w:rsidRDefault="00D57E93" w:rsidP="00A814E4">
            <w:pPr>
              <w:spacing w:before="60" w:after="60"/>
              <w:jc w:val="both"/>
              <w:rPr>
                <w:rFonts w:eastAsiaTheme="minorHAnsi" w:cs="Arial"/>
                <w:sz w:val="20"/>
                <w:szCs w:val="20"/>
              </w:rPr>
            </w:pPr>
            <w:r w:rsidRPr="00FC1F44">
              <w:rPr>
                <w:rFonts w:eastAsiaTheme="minorHAnsi" w:cs="Arial"/>
                <w:sz w:val="20"/>
                <w:szCs w:val="20"/>
              </w:rPr>
              <w:t>All routes of medicine supply require management and monitoring of service standards, this is especially pertinent to outsourced supply routes; these services are outside of the direct control of the NHS and therefore contracts need to be well managed, with accompanying supplier performance and careful financial monitoring. It is therefore vital to ensure that safe working systems are in place, communication channels are clear and robust, clinical pharmacy access and engagement is maintained, and that performance management incorporates a specific focus on patient safety and patient experience.</w:t>
            </w:r>
          </w:p>
          <w:p w:rsidR="00D57E93" w:rsidRPr="00FC1F44" w:rsidRDefault="00D57E93" w:rsidP="00D57E93">
            <w:pPr>
              <w:spacing w:before="60" w:after="60"/>
              <w:rPr>
                <w:rFonts w:eastAsiaTheme="minorHAnsi" w:cs="Arial"/>
                <w:sz w:val="20"/>
                <w:szCs w:val="20"/>
              </w:rPr>
            </w:pPr>
          </w:p>
          <w:p w:rsidR="00D57E93" w:rsidRPr="00FC1F44" w:rsidRDefault="00D57E93" w:rsidP="00A814E4">
            <w:pPr>
              <w:spacing w:before="60" w:after="60"/>
              <w:jc w:val="both"/>
              <w:rPr>
                <w:rFonts w:eastAsiaTheme="minorHAnsi" w:cs="Arial"/>
                <w:sz w:val="20"/>
                <w:szCs w:val="20"/>
              </w:rPr>
            </w:pPr>
            <w:r w:rsidRPr="00FC1F44">
              <w:rPr>
                <w:rFonts w:eastAsiaTheme="minorHAnsi" w:cs="Arial"/>
                <w:sz w:val="20"/>
                <w:szCs w:val="20"/>
              </w:rPr>
              <w:t>Appendix 1 compares some of the service standards that should be taken into account when considering the most appropriate route for the supply of medicines. Attributes for each service that may be considered as advantageous are highlighted in green text.</w:t>
            </w:r>
          </w:p>
          <w:p w:rsidR="00D57E93" w:rsidRPr="00FC1F44" w:rsidRDefault="00D57E93" w:rsidP="00D57E93">
            <w:pPr>
              <w:spacing w:before="60" w:after="60"/>
              <w:rPr>
                <w:rFonts w:eastAsiaTheme="minorHAnsi" w:cs="Arial"/>
                <w:sz w:val="20"/>
                <w:szCs w:val="20"/>
              </w:rPr>
            </w:pPr>
          </w:p>
          <w:p w:rsidR="00D57E93" w:rsidRPr="00FC1F44" w:rsidRDefault="00D57E93" w:rsidP="00A814E4">
            <w:pPr>
              <w:spacing w:before="60" w:after="60"/>
              <w:jc w:val="both"/>
              <w:rPr>
                <w:rFonts w:eastAsiaTheme="minorHAnsi" w:cs="Arial"/>
                <w:sz w:val="20"/>
                <w:szCs w:val="20"/>
              </w:rPr>
            </w:pPr>
            <w:r w:rsidRPr="00FC1F44">
              <w:rPr>
                <w:rFonts w:eastAsiaTheme="minorHAnsi" w:cs="Arial"/>
                <w:sz w:val="20"/>
                <w:szCs w:val="20"/>
              </w:rPr>
              <w:t>There has been significant work undertaken in implementing a range of outsourced supply routes throughout acute trusts in England, which has provided a variety of resources to mitigate a number of the risks</w:t>
            </w:r>
            <w:r w:rsidR="00213AAD">
              <w:rPr>
                <w:rFonts w:eastAsiaTheme="minorHAnsi" w:cs="Arial"/>
                <w:sz w:val="20"/>
                <w:szCs w:val="20"/>
              </w:rPr>
              <w:t xml:space="preserve"> </w:t>
            </w:r>
            <w:r w:rsidRPr="00FC1F44">
              <w:rPr>
                <w:rFonts w:eastAsiaTheme="minorHAnsi" w:cs="Arial"/>
                <w:sz w:val="20"/>
                <w:szCs w:val="20"/>
              </w:rPr>
              <w:t>/</w:t>
            </w:r>
            <w:r w:rsidR="00213AAD">
              <w:rPr>
                <w:rFonts w:eastAsiaTheme="minorHAnsi" w:cs="Arial"/>
                <w:sz w:val="20"/>
                <w:szCs w:val="20"/>
              </w:rPr>
              <w:t xml:space="preserve"> </w:t>
            </w:r>
            <w:r w:rsidRPr="00FC1F44">
              <w:rPr>
                <w:rFonts w:eastAsiaTheme="minorHAnsi" w:cs="Arial"/>
                <w:sz w:val="20"/>
                <w:szCs w:val="20"/>
              </w:rPr>
              <w:t>disadvantages associated with the outsourced routes above; please see appendix 3.</w:t>
            </w:r>
          </w:p>
          <w:p w:rsidR="00EB2C13" w:rsidRDefault="00EB2C13" w:rsidP="009132B5">
            <w:pPr>
              <w:pStyle w:val="SPSTitle"/>
              <w:spacing w:before="60" w:after="60"/>
              <w:rPr>
                <w:b w:val="0"/>
                <w:color w:val="auto"/>
                <w:sz w:val="20"/>
                <w:szCs w:val="20"/>
              </w:rPr>
            </w:pPr>
          </w:p>
          <w:p w:rsidR="00D7165F" w:rsidRDefault="00D7165F" w:rsidP="009132B5">
            <w:pPr>
              <w:pStyle w:val="SPSTitle"/>
              <w:spacing w:before="60" w:after="60"/>
              <w:rPr>
                <w:b w:val="0"/>
                <w:color w:val="auto"/>
                <w:sz w:val="20"/>
                <w:szCs w:val="20"/>
              </w:rPr>
            </w:pPr>
          </w:p>
          <w:tbl>
            <w:tblPr>
              <w:tblStyle w:val="TableGrid"/>
              <w:tblW w:w="0" w:type="auto"/>
              <w:jc w:val="center"/>
              <w:tblBorders>
                <w:top w:val="single" w:sz="6" w:space="0" w:color="0070C0"/>
                <w:left w:val="none" w:sz="0" w:space="0" w:color="auto"/>
                <w:bottom w:val="none" w:sz="0" w:space="0" w:color="auto"/>
                <w:right w:val="none" w:sz="0" w:space="0" w:color="auto"/>
                <w:insideH w:val="single" w:sz="6" w:space="0" w:color="0070C0"/>
                <w:insideV w:val="single" w:sz="6" w:space="0" w:color="0070C0"/>
              </w:tblBorders>
              <w:tblLook w:val="04A0" w:firstRow="1" w:lastRow="0" w:firstColumn="1" w:lastColumn="0" w:noHBand="0" w:noVBand="1"/>
            </w:tblPr>
            <w:tblGrid>
              <w:gridCol w:w="10393"/>
            </w:tblGrid>
            <w:tr w:rsidR="009E028C" w:rsidTr="006C2FCF">
              <w:trPr>
                <w:jc w:val="center"/>
              </w:trPr>
              <w:tc>
                <w:tcPr>
                  <w:tcW w:w="10676" w:type="dxa"/>
                  <w:tcBorders>
                    <w:top w:val="single" w:sz="6" w:space="0" w:color="0070C0"/>
                  </w:tcBorders>
                  <w:shd w:val="clear" w:color="auto" w:fill="0072C6"/>
                  <w:vAlign w:val="center"/>
                </w:tcPr>
                <w:p w:rsidR="009E028C" w:rsidRPr="004606B0" w:rsidRDefault="009E028C" w:rsidP="006C2FCF">
                  <w:pPr>
                    <w:pStyle w:val="SPSTitle"/>
                    <w:spacing w:before="60" w:after="60"/>
                    <w:contextualSpacing/>
                    <w:rPr>
                      <w:color w:val="FFFFFF" w:themeColor="background1"/>
                      <w:sz w:val="22"/>
                      <w:szCs w:val="22"/>
                    </w:rPr>
                  </w:pPr>
                  <w:r w:rsidRPr="004606B0">
                    <w:rPr>
                      <w:color w:val="FFFFFF" w:themeColor="background1"/>
                      <w:sz w:val="22"/>
                      <w:szCs w:val="22"/>
                    </w:rPr>
                    <w:t>Wholly Owned Subsidiaries</w:t>
                  </w:r>
                </w:p>
              </w:tc>
            </w:tr>
          </w:tbl>
          <w:p w:rsidR="00EB2C13" w:rsidRDefault="00EB2C13" w:rsidP="009132B5">
            <w:pPr>
              <w:pStyle w:val="SPSTitle"/>
              <w:spacing w:before="60" w:after="60"/>
              <w:rPr>
                <w:b w:val="0"/>
                <w:color w:val="auto"/>
                <w:sz w:val="20"/>
                <w:szCs w:val="20"/>
              </w:rPr>
            </w:pPr>
          </w:p>
          <w:p w:rsidR="009E028C" w:rsidRPr="00FC1F44" w:rsidRDefault="009E028C" w:rsidP="00A814E4">
            <w:pPr>
              <w:spacing w:before="60" w:after="60"/>
              <w:jc w:val="both"/>
              <w:rPr>
                <w:rFonts w:eastAsiaTheme="minorHAnsi" w:cs="Arial"/>
                <w:sz w:val="20"/>
                <w:szCs w:val="20"/>
              </w:rPr>
            </w:pPr>
            <w:r w:rsidRPr="00FC1F44">
              <w:rPr>
                <w:rFonts w:eastAsiaTheme="minorHAnsi" w:cs="Arial"/>
                <w:sz w:val="20"/>
                <w:szCs w:val="20"/>
              </w:rPr>
              <w:t>The DHSC Accounting Officer System Statement (July 2018) section 9.9 states ‘The intention is that during 2018-19, the proposed creation of subsidiary companies will now become a reportable transaction to NHS Improvement under the Transactions Guidance, irrespective of size. This would ensure that transactions are visible to NHS Improvement and that assurance could be sought that NHS trusts had properly identified and reviewed associated risks.’ (</w:t>
            </w:r>
            <w:hyperlink r:id="rId11" w:history="1">
              <w:r w:rsidRPr="00FC1F44">
                <w:rPr>
                  <w:rFonts w:eastAsiaTheme="minorHAnsi" w:cs="Arial"/>
                  <w:color w:val="0000FF" w:themeColor="hyperlink"/>
                  <w:sz w:val="20"/>
                  <w:szCs w:val="20"/>
                  <w:u w:val="single"/>
                </w:rPr>
                <w:t>https://assets.publishing.service.gov.uk/government/uploads/system/uploads/attachment_data/file/725446/DHSC_Accounting_Officer_System_Statement_July_2018.pdf</w:t>
              </w:r>
            </w:hyperlink>
            <w:r w:rsidRPr="00FC1F44">
              <w:rPr>
                <w:rFonts w:eastAsiaTheme="minorHAnsi" w:cs="Arial"/>
                <w:sz w:val="20"/>
                <w:szCs w:val="20"/>
              </w:rPr>
              <w:t xml:space="preserve">) </w:t>
            </w:r>
          </w:p>
          <w:p w:rsidR="00341B4D" w:rsidRPr="00FC1F44" w:rsidRDefault="00341B4D" w:rsidP="009E028C">
            <w:pPr>
              <w:spacing w:before="60" w:after="60"/>
              <w:rPr>
                <w:rFonts w:eastAsiaTheme="minorHAnsi" w:cs="Arial"/>
                <w:sz w:val="20"/>
                <w:szCs w:val="20"/>
              </w:rPr>
            </w:pPr>
          </w:p>
          <w:p w:rsidR="009E028C" w:rsidRPr="00FC1F44" w:rsidRDefault="009E028C" w:rsidP="00A814E4">
            <w:pPr>
              <w:spacing w:before="60" w:after="60"/>
              <w:jc w:val="both"/>
              <w:rPr>
                <w:rFonts w:eastAsiaTheme="minorHAnsi" w:cs="Arial"/>
                <w:sz w:val="20"/>
                <w:szCs w:val="20"/>
              </w:rPr>
            </w:pPr>
            <w:r w:rsidRPr="00FC1F44">
              <w:rPr>
                <w:rFonts w:eastAsiaTheme="minorHAnsi" w:cs="Arial"/>
                <w:sz w:val="20"/>
                <w:szCs w:val="20"/>
              </w:rPr>
              <w:t>NHS Improvement has undertaken a consultation exercise in the context of the above statement and has published a response ‘Proposed extension to the review of subsidiaries: consultation response’ (N</w:t>
            </w:r>
            <w:r w:rsidR="00FC1F44">
              <w:rPr>
                <w:rFonts w:eastAsiaTheme="minorHAnsi" w:cs="Arial"/>
                <w:sz w:val="20"/>
                <w:szCs w:val="20"/>
              </w:rPr>
              <w:t xml:space="preserve">ovember 2018). </w:t>
            </w:r>
            <w:r w:rsidR="00FC1F44">
              <w:rPr>
                <w:rFonts w:eastAsiaTheme="minorHAnsi" w:cs="Arial"/>
                <w:sz w:val="20"/>
                <w:szCs w:val="20"/>
              </w:rPr>
              <w:br/>
            </w:r>
            <w:hyperlink r:id="rId12" w:history="1">
              <w:r w:rsidRPr="00FC1F44">
                <w:rPr>
                  <w:rFonts w:eastAsiaTheme="minorHAnsi" w:cs="Arial"/>
                  <w:color w:val="0000FF" w:themeColor="hyperlink"/>
                  <w:sz w:val="20"/>
                  <w:szCs w:val="20"/>
                  <w:u w:val="single"/>
                </w:rPr>
                <w:t>https://engage.improvement.nhs.uk/subsidiary-companies-review/extension-to-review-of-subsidiary-companies/results/consultationresponse-subsidiarycompanies.pdf</w:t>
              </w:r>
            </w:hyperlink>
            <w:r w:rsidRPr="00FC1F44">
              <w:rPr>
                <w:rFonts w:eastAsiaTheme="minorHAnsi" w:cs="Arial"/>
                <w:sz w:val="20"/>
                <w:szCs w:val="20"/>
              </w:rPr>
              <w:t>).</w:t>
            </w:r>
          </w:p>
          <w:p w:rsidR="009E028C" w:rsidRPr="00FC1F44" w:rsidRDefault="009E028C" w:rsidP="009E028C">
            <w:pPr>
              <w:spacing w:before="60" w:after="60"/>
              <w:rPr>
                <w:rFonts w:eastAsiaTheme="minorHAnsi" w:cs="Arial"/>
                <w:sz w:val="20"/>
                <w:szCs w:val="20"/>
              </w:rPr>
            </w:pPr>
          </w:p>
          <w:p w:rsidR="009E028C" w:rsidRPr="00FC1F44" w:rsidRDefault="009E028C" w:rsidP="00A814E4">
            <w:pPr>
              <w:spacing w:before="60" w:after="60"/>
              <w:rPr>
                <w:rFonts w:eastAsiaTheme="minorHAnsi" w:cs="Arial"/>
                <w:sz w:val="20"/>
                <w:szCs w:val="20"/>
              </w:rPr>
            </w:pPr>
            <w:r w:rsidRPr="00FC1F44">
              <w:rPr>
                <w:rFonts w:eastAsiaTheme="minorHAnsi" w:cs="Arial"/>
                <w:sz w:val="20"/>
                <w:szCs w:val="20"/>
              </w:rPr>
              <w:t>Alongside the consultation, NHS Improvement has published an ‘Addendum to the transactions guidance – for trusts forming or changing a subsidiary’ (November 201</w:t>
            </w:r>
            <w:r w:rsidR="00FC1F44">
              <w:rPr>
                <w:rFonts w:eastAsiaTheme="minorHAnsi" w:cs="Arial"/>
                <w:sz w:val="20"/>
                <w:szCs w:val="20"/>
              </w:rPr>
              <w:t xml:space="preserve">8). </w:t>
            </w:r>
            <w:r w:rsidRPr="00FC1F44">
              <w:rPr>
                <w:rFonts w:eastAsiaTheme="minorHAnsi" w:cs="Arial"/>
                <w:sz w:val="20"/>
                <w:szCs w:val="20"/>
              </w:rPr>
              <w:t>(</w:t>
            </w:r>
            <w:hyperlink r:id="rId13" w:history="1">
              <w:r w:rsidRPr="00FC1F44">
                <w:rPr>
                  <w:rFonts w:eastAsiaTheme="minorHAnsi" w:cs="Arial"/>
                  <w:color w:val="0000FF" w:themeColor="hyperlink"/>
                  <w:sz w:val="20"/>
                  <w:szCs w:val="20"/>
                  <w:u w:val="single"/>
                </w:rPr>
                <w:t>https://improvement.nhs.uk/documents/3509/Addendum_to_transactions_guidance_FINAL_CORRECTED.pdf</w:t>
              </w:r>
            </w:hyperlink>
            <w:r w:rsidRPr="00FC1F44">
              <w:rPr>
                <w:rFonts w:eastAsiaTheme="minorHAnsi" w:cs="Arial"/>
                <w:sz w:val="20"/>
                <w:szCs w:val="20"/>
              </w:rPr>
              <w:t>).</w:t>
            </w:r>
          </w:p>
          <w:p w:rsidR="009E028C" w:rsidRDefault="009E028C" w:rsidP="009E028C">
            <w:pPr>
              <w:spacing w:before="60" w:after="60"/>
              <w:rPr>
                <w:rFonts w:eastAsiaTheme="minorHAnsi" w:cs="Arial"/>
                <w:sz w:val="20"/>
                <w:szCs w:val="20"/>
              </w:rPr>
            </w:pPr>
          </w:p>
          <w:p w:rsidR="00D7165F" w:rsidRPr="00FC1F44" w:rsidRDefault="00D7165F" w:rsidP="009E028C">
            <w:pPr>
              <w:spacing w:before="60" w:after="60"/>
              <w:rPr>
                <w:rFonts w:eastAsiaTheme="minorHAnsi" w:cs="Arial"/>
                <w:sz w:val="20"/>
                <w:szCs w:val="20"/>
              </w:rPr>
            </w:pPr>
          </w:p>
          <w:p w:rsidR="009E028C" w:rsidRPr="00FC1F44" w:rsidRDefault="009E028C" w:rsidP="00A814E4">
            <w:pPr>
              <w:spacing w:before="60" w:after="60"/>
              <w:jc w:val="both"/>
              <w:rPr>
                <w:rFonts w:eastAsiaTheme="minorHAnsi" w:cs="Arial"/>
                <w:sz w:val="20"/>
                <w:szCs w:val="20"/>
              </w:rPr>
            </w:pPr>
            <w:r w:rsidRPr="00FC1F44">
              <w:rPr>
                <w:rFonts w:eastAsiaTheme="minorHAnsi" w:cs="Arial"/>
                <w:sz w:val="20"/>
                <w:szCs w:val="20"/>
              </w:rPr>
              <w:lastRenderedPageBreak/>
              <w:t>These documents therefore outline a new framework which clarifies the required approval process before trusts can implement plans for subsidiaries, but it is noted that it does not affect the trusts’ legal ability to develop such plans.</w:t>
            </w:r>
          </w:p>
          <w:p w:rsidR="009E028C" w:rsidRPr="00FC1F44" w:rsidRDefault="009E028C" w:rsidP="009E028C">
            <w:pPr>
              <w:spacing w:before="60" w:after="60"/>
              <w:rPr>
                <w:rFonts w:eastAsiaTheme="minorHAnsi" w:cs="Arial"/>
                <w:sz w:val="20"/>
                <w:szCs w:val="20"/>
              </w:rPr>
            </w:pPr>
          </w:p>
          <w:p w:rsidR="009E028C" w:rsidRPr="00FC1F44" w:rsidRDefault="009E028C" w:rsidP="00A814E4">
            <w:pPr>
              <w:spacing w:before="60" w:after="60"/>
              <w:jc w:val="both"/>
              <w:rPr>
                <w:rFonts w:eastAsiaTheme="minorHAnsi" w:cs="Arial"/>
                <w:sz w:val="20"/>
                <w:szCs w:val="20"/>
              </w:rPr>
            </w:pPr>
            <w:r w:rsidRPr="00FC1F44">
              <w:rPr>
                <w:rFonts w:eastAsiaTheme="minorHAnsi" w:cs="Arial"/>
                <w:sz w:val="20"/>
                <w:szCs w:val="20"/>
              </w:rPr>
              <w:t>This area is therefore a subject of recent policy review, so any proposed commencement of a Wholly Owned Subsidiary service requires consideration of the above policy documents and dialogue with NHS Improvement at an early stage.</w:t>
            </w:r>
          </w:p>
          <w:p w:rsidR="009E028C" w:rsidRPr="00FC1F44" w:rsidRDefault="009E028C" w:rsidP="009E028C">
            <w:pPr>
              <w:spacing w:before="60" w:after="60"/>
              <w:rPr>
                <w:rFonts w:eastAsiaTheme="minorHAnsi" w:cs="Arial"/>
                <w:sz w:val="20"/>
                <w:szCs w:val="20"/>
              </w:rPr>
            </w:pPr>
          </w:p>
          <w:p w:rsidR="009E028C" w:rsidRDefault="009E028C" w:rsidP="00A814E4">
            <w:pPr>
              <w:spacing w:before="60" w:after="60"/>
              <w:jc w:val="both"/>
              <w:rPr>
                <w:rFonts w:eastAsiaTheme="minorHAnsi" w:cs="Arial"/>
                <w:sz w:val="20"/>
                <w:szCs w:val="20"/>
              </w:rPr>
            </w:pPr>
            <w:r w:rsidRPr="00FC1F44">
              <w:rPr>
                <w:rFonts w:eastAsiaTheme="minorHAnsi" w:cs="Arial"/>
                <w:sz w:val="20"/>
                <w:szCs w:val="20"/>
              </w:rPr>
              <w:t xml:space="preserve">The September 2017 Department of Health letter ‘Tax Avoidance Issues in the NHS’ in appendix 4 should also be considered.   </w:t>
            </w:r>
          </w:p>
          <w:p w:rsidR="00D7165F" w:rsidRPr="00FC1F44" w:rsidRDefault="00D7165F" w:rsidP="00A814E4">
            <w:pPr>
              <w:spacing w:before="60" w:after="60"/>
              <w:jc w:val="both"/>
              <w:rPr>
                <w:rFonts w:eastAsiaTheme="minorHAnsi" w:cs="Arial"/>
                <w:sz w:val="20"/>
                <w:szCs w:val="20"/>
              </w:rPr>
            </w:pPr>
          </w:p>
          <w:p w:rsidR="00FB6550" w:rsidRDefault="00FB6550" w:rsidP="009E028C">
            <w:pPr>
              <w:spacing w:before="60" w:after="60"/>
              <w:rPr>
                <w:rFonts w:eastAsiaTheme="minorHAnsi" w:cs="Arial"/>
                <w:sz w:val="22"/>
                <w:szCs w:val="22"/>
              </w:rPr>
            </w:pPr>
          </w:p>
          <w:p w:rsidR="00FB6550" w:rsidRPr="004606B0" w:rsidRDefault="00FB6550" w:rsidP="00FB6550">
            <w:pPr>
              <w:shd w:val="clear" w:color="auto" w:fill="0070C0"/>
              <w:spacing w:before="60" w:after="60"/>
              <w:rPr>
                <w:rFonts w:eastAsiaTheme="minorHAnsi" w:cs="Arial"/>
                <w:color w:val="FFFFFF" w:themeColor="background1"/>
                <w:sz w:val="22"/>
                <w:szCs w:val="22"/>
              </w:rPr>
            </w:pPr>
            <w:r w:rsidRPr="004606B0">
              <w:rPr>
                <w:rFonts w:eastAsiaTheme="minorHAnsi" w:cs="Arial"/>
                <w:b/>
                <w:color w:val="FFFFFF" w:themeColor="background1"/>
                <w:sz w:val="22"/>
                <w:szCs w:val="22"/>
              </w:rPr>
              <w:t>Principles guiding choice of cost effective supply routes</w:t>
            </w:r>
          </w:p>
          <w:p w:rsidR="009F36EA" w:rsidRDefault="009F36EA" w:rsidP="009F36EA">
            <w:pPr>
              <w:spacing w:before="60" w:after="60"/>
              <w:rPr>
                <w:rFonts w:eastAsiaTheme="minorHAnsi" w:cs="Arial"/>
                <w:sz w:val="20"/>
                <w:szCs w:val="20"/>
              </w:rPr>
            </w:pPr>
          </w:p>
          <w:p w:rsidR="009F36EA" w:rsidRPr="009F36EA" w:rsidRDefault="009F36EA" w:rsidP="009F36EA">
            <w:pPr>
              <w:spacing w:before="60" w:after="60"/>
              <w:jc w:val="both"/>
              <w:rPr>
                <w:rFonts w:eastAsiaTheme="minorHAnsi" w:cs="Arial"/>
                <w:sz w:val="20"/>
                <w:szCs w:val="20"/>
              </w:rPr>
            </w:pPr>
            <w:r w:rsidRPr="009F36EA">
              <w:rPr>
                <w:rFonts w:eastAsiaTheme="minorHAnsi" w:cs="Arial"/>
                <w:sz w:val="20"/>
                <w:szCs w:val="20"/>
              </w:rPr>
              <w:t>The Royal Pharmaceutical Society (RPS) has published guidance and a framework for Medicines Optimisation. In the RPS guidance there are 3 overarching global dimensions and 4 principles. The cost effective supply routes principles below have been mapped to the 4 principles but when considering the scheme the following global dimensions should be considered first:</w:t>
            </w:r>
          </w:p>
          <w:p w:rsidR="009F36EA" w:rsidRPr="009F36EA" w:rsidRDefault="009F36EA" w:rsidP="009F36EA">
            <w:pPr>
              <w:spacing w:before="60" w:after="60"/>
              <w:rPr>
                <w:rFonts w:eastAsiaTheme="minorHAnsi" w:cs="Arial"/>
                <w:sz w:val="20"/>
                <w:szCs w:val="20"/>
              </w:rPr>
            </w:pPr>
            <w:r w:rsidRPr="009F36EA">
              <w:rPr>
                <w:rFonts w:eastAsiaTheme="minorHAnsi" w:cs="Arial"/>
                <w:sz w:val="20"/>
                <w:szCs w:val="20"/>
              </w:rPr>
              <w:t>•</w:t>
            </w:r>
            <w:r w:rsidRPr="009F36EA">
              <w:rPr>
                <w:rFonts w:eastAsiaTheme="minorHAnsi" w:cs="Arial"/>
                <w:sz w:val="20"/>
                <w:szCs w:val="20"/>
              </w:rPr>
              <w:tab/>
              <w:t>The scheme mus</w:t>
            </w:r>
            <w:r w:rsidR="00BE1BC6">
              <w:rPr>
                <w:rFonts w:eastAsiaTheme="minorHAnsi" w:cs="Arial"/>
                <w:sz w:val="20"/>
                <w:szCs w:val="20"/>
              </w:rPr>
              <w:t>t have patient centred approach</w:t>
            </w:r>
          </w:p>
          <w:p w:rsidR="009F36EA" w:rsidRPr="009F36EA" w:rsidRDefault="009F36EA" w:rsidP="009F36EA">
            <w:pPr>
              <w:spacing w:before="60" w:after="60"/>
              <w:rPr>
                <w:rFonts w:eastAsiaTheme="minorHAnsi" w:cs="Arial"/>
                <w:sz w:val="20"/>
                <w:szCs w:val="20"/>
              </w:rPr>
            </w:pPr>
            <w:r w:rsidRPr="009F36EA">
              <w:rPr>
                <w:rFonts w:eastAsiaTheme="minorHAnsi" w:cs="Arial"/>
                <w:sz w:val="20"/>
                <w:szCs w:val="20"/>
              </w:rPr>
              <w:t>•</w:t>
            </w:r>
            <w:r w:rsidRPr="009F36EA">
              <w:rPr>
                <w:rFonts w:eastAsiaTheme="minorHAnsi" w:cs="Arial"/>
                <w:sz w:val="20"/>
                <w:szCs w:val="20"/>
              </w:rPr>
              <w:tab/>
              <w:t>The scheme should have the ai</w:t>
            </w:r>
            <w:r w:rsidR="00BE1BC6">
              <w:rPr>
                <w:rFonts w:eastAsiaTheme="minorHAnsi" w:cs="Arial"/>
                <w:sz w:val="20"/>
                <w:szCs w:val="20"/>
              </w:rPr>
              <w:t>m of improving patient outcomes</w:t>
            </w:r>
          </w:p>
          <w:p w:rsidR="00EF2B24" w:rsidRPr="009F36EA" w:rsidRDefault="009F36EA" w:rsidP="009F36EA">
            <w:pPr>
              <w:spacing w:before="60" w:after="60"/>
              <w:rPr>
                <w:rFonts w:eastAsiaTheme="minorHAnsi" w:cs="Arial"/>
                <w:sz w:val="20"/>
                <w:szCs w:val="20"/>
              </w:rPr>
            </w:pPr>
            <w:r w:rsidRPr="009F36EA">
              <w:rPr>
                <w:rFonts w:eastAsiaTheme="minorHAnsi" w:cs="Arial"/>
                <w:sz w:val="20"/>
                <w:szCs w:val="20"/>
              </w:rPr>
              <w:t>•</w:t>
            </w:r>
            <w:r w:rsidRPr="009F36EA">
              <w:rPr>
                <w:rFonts w:eastAsiaTheme="minorHAnsi" w:cs="Arial"/>
                <w:sz w:val="20"/>
                <w:szCs w:val="20"/>
              </w:rPr>
              <w:tab/>
              <w:t>The scheme should be measured and monitored against the 4 principles of medicines optimisation below</w:t>
            </w:r>
          </w:p>
          <w:p w:rsidR="00EF2B24" w:rsidRDefault="00EF2B24" w:rsidP="009E028C">
            <w:pPr>
              <w:spacing w:before="60" w:after="60"/>
              <w:rPr>
                <w:rFonts w:eastAsiaTheme="minorHAnsi" w:cs="Arial"/>
                <w:sz w:val="22"/>
                <w:szCs w:val="22"/>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36"/>
              <w:gridCol w:w="4187"/>
              <w:gridCol w:w="3660"/>
            </w:tblGrid>
            <w:tr w:rsidR="009E028C" w:rsidRPr="00FC1F44" w:rsidTr="00213AAD">
              <w:tc>
                <w:tcPr>
                  <w:tcW w:w="2536" w:type="dxa"/>
                  <w:shd w:val="clear" w:color="auto" w:fill="C6D9F1" w:themeFill="text2" w:themeFillTint="33"/>
                  <w:tcMar>
                    <w:top w:w="57" w:type="dxa"/>
                    <w:left w:w="57" w:type="dxa"/>
                    <w:bottom w:w="57" w:type="dxa"/>
                    <w:right w:w="57" w:type="dxa"/>
                  </w:tcMar>
                </w:tcPr>
                <w:p w:rsidR="009E028C" w:rsidRPr="00FC1F44" w:rsidRDefault="009E028C" w:rsidP="00130717">
                  <w:pPr>
                    <w:spacing w:before="60" w:after="60"/>
                    <w:rPr>
                      <w:rFonts w:cs="Arial"/>
                      <w:b/>
                      <w:color w:val="0070C0"/>
                      <w:sz w:val="20"/>
                      <w:szCs w:val="20"/>
                    </w:rPr>
                  </w:pPr>
                  <w:r w:rsidRPr="00FC1F44">
                    <w:rPr>
                      <w:rFonts w:cs="Arial"/>
                      <w:b/>
                      <w:color w:val="0070C0"/>
                      <w:sz w:val="20"/>
                      <w:szCs w:val="20"/>
                    </w:rPr>
                    <w:t>Medicines Optimisation Principle:</w:t>
                  </w:r>
                </w:p>
              </w:tc>
              <w:tc>
                <w:tcPr>
                  <w:tcW w:w="4187" w:type="dxa"/>
                  <w:shd w:val="clear" w:color="auto" w:fill="C6D9F1" w:themeFill="text2" w:themeFillTint="33"/>
                  <w:tcMar>
                    <w:top w:w="57" w:type="dxa"/>
                    <w:left w:w="57" w:type="dxa"/>
                    <w:bottom w:w="57" w:type="dxa"/>
                    <w:right w:w="57" w:type="dxa"/>
                  </w:tcMar>
                </w:tcPr>
                <w:p w:rsidR="009E028C" w:rsidRPr="00FC1F44" w:rsidRDefault="009E028C" w:rsidP="00130717">
                  <w:pPr>
                    <w:spacing w:before="60" w:after="60"/>
                    <w:rPr>
                      <w:rFonts w:cs="Arial"/>
                      <w:b/>
                      <w:color w:val="0070C0"/>
                      <w:sz w:val="20"/>
                      <w:szCs w:val="20"/>
                    </w:rPr>
                  </w:pPr>
                  <w:r w:rsidRPr="00FC1F44">
                    <w:rPr>
                      <w:rFonts w:cs="Arial"/>
                      <w:b/>
                      <w:color w:val="0070C0"/>
                      <w:sz w:val="20"/>
                      <w:szCs w:val="20"/>
                    </w:rPr>
                    <w:t>Cost effective supply route principle:</w:t>
                  </w:r>
                </w:p>
              </w:tc>
              <w:tc>
                <w:tcPr>
                  <w:tcW w:w="3660" w:type="dxa"/>
                  <w:shd w:val="clear" w:color="auto" w:fill="C6D9F1" w:themeFill="text2" w:themeFillTint="33"/>
                  <w:tcMar>
                    <w:top w:w="57" w:type="dxa"/>
                    <w:left w:w="57" w:type="dxa"/>
                    <w:bottom w:w="57" w:type="dxa"/>
                    <w:right w:w="57" w:type="dxa"/>
                  </w:tcMar>
                </w:tcPr>
                <w:p w:rsidR="009E028C" w:rsidRPr="00FC1F44" w:rsidRDefault="009E028C" w:rsidP="00130717">
                  <w:pPr>
                    <w:spacing w:before="60" w:after="60"/>
                    <w:rPr>
                      <w:rFonts w:cs="Arial"/>
                      <w:b/>
                      <w:color w:val="0070C0"/>
                      <w:sz w:val="20"/>
                      <w:szCs w:val="20"/>
                    </w:rPr>
                  </w:pPr>
                  <w:r w:rsidRPr="00FC1F44">
                    <w:rPr>
                      <w:rFonts w:cs="Arial"/>
                      <w:b/>
                      <w:color w:val="0070C0"/>
                      <w:sz w:val="20"/>
                      <w:szCs w:val="20"/>
                    </w:rPr>
                    <w:t>Additional information:</w:t>
                  </w:r>
                </w:p>
                <w:p w:rsidR="009E028C" w:rsidRPr="00FC1F44" w:rsidRDefault="009E028C" w:rsidP="00130717">
                  <w:pPr>
                    <w:spacing w:before="60" w:after="60"/>
                    <w:rPr>
                      <w:rFonts w:cs="Arial"/>
                      <w:b/>
                      <w:color w:val="0070C0"/>
                      <w:sz w:val="20"/>
                      <w:szCs w:val="20"/>
                    </w:rPr>
                  </w:pPr>
                </w:p>
              </w:tc>
            </w:tr>
            <w:tr w:rsidR="00213AAD" w:rsidRPr="00FC1F44" w:rsidTr="00213AAD">
              <w:tc>
                <w:tcPr>
                  <w:tcW w:w="2536" w:type="dxa"/>
                  <w:vMerge w:val="restart"/>
                  <w:tcMar>
                    <w:top w:w="57" w:type="dxa"/>
                    <w:left w:w="57" w:type="dxa"/>
                    <w:bottom w:w="57" w:type="dxa"/>
                    <w:right w:w="57" w:type="dxa"/>
                  </w:tcMar>
                </w:tcPr>
                <w:p w:rsidR="00213AAD" w:rsidRPr="00FC1F44" w:rsidRDefault="00213AAD" w:rsidP="00130717">
                  <w:pPr>
                    <w:pStyle w:val="ListParagraph"/>
                    <w:numPr>
                      <w:ilvl w:val="0"/>
                      <w:numId w:val="6"/>
                    </w:numPr>
                    <w:spacing w:before="60" w:after="60"/>
                    <w:ind w:left="291" w:hanging="284"/>
                    <w:rPr>
                      <w:rFonts w:cs="Arial"/>
                      <w:b/>
                      <w:sz w:val="20"/>
                      <w:szCs w:val="20"/>
                    </w:rPr>
                  </w:pPr>
                  <w:r w:rsidRPr="00FC1F44">
                    <w:rPr>
                      <w:rFonts w:cs="Arial"/>
                      <w:b/>
                      <w:sz w:val="20"/>
                      <w:szCs w:val="20"/>
                    </w:rPr>
                    <w:t>Aim to understand the patient’s experience</w:t>
                  </w:r>
                </w:p>
              </w:tc>
              <w:tc>
                <w:tcPr>
                  <w:tcW w:w="4187" w:type="dxa"/>
                  <w:shd w:val="clear" w:color="auto" w:fill="C6D9F1" w:themeFill="text2" w:themeFillTint="33"/>
                  <w:tcMar>
                    <w:top w:w="57" w:type="dxa"/>
                    <w:left w:w="57" w:type="dxa"/>
                    <w:bottom w:w="57" w:type="dxa"/>
                    <w:right w:w="57" w:type="dxa"/>
                  </w:tcMar>
                </w:tcPr>
                <w:p w:rsidR="00213AAD" w:rsidRPr="00213AAD" w:rsidRDefault="00213AAD" w:rsidP="00130717">
                  <w:pPr>
                    <w:spacing w:before="60" w:after="60"/>
                    <w:rPr>
                      <w:rFonts w:cs="Arial"/>
                      <w:b/>
                      <w:sz w:val="20"/>
                      <w:szCs w:val="20"/>
                    </w:rPr>
                  </w:pPr>
                  <w:r w:rsidRPr="00213AAD">
                    <w:rPr>
                      <w:rFonts w:cs="Arial"/>
                      <w:b/>
                      <w:sz w:val="20"/>
                      <w:szCs w:val="20"/>
                    </w:rPr>
                    <w:t>Engagement and shared decision making:</w:t>
                  </w:r>
                </w:p>
                <w:p w:rsidR="00213AAD" w:rsidRPr="00FC1F44" w:rsidRDefault="00213AAD" w:rsidP="00130717">
                  <w:pPr>
                    <w:pStyle w:val="ListParagraph"/>
                    <w:numPr>
                      <w:ilvl w:val="0"/>
                      <w:numId w:val="7"/>
                    </w:numPr>
                    <w:spacing w:before="60" w:after="60"/>
                    <w:ind w:left="459"/>
                    <w:rPr>
                      <w:rFonts w:cs="Arial"/>
                      <w:sz w:val="20"/>
                      <w:szCs w:val="20"/>
                      <w:u w:val="single"/>
                    </w:rPr>
                  </w:pPr>
                  <w:r w:rsidRPr="00FC1F44">
                    <w:rPr>
                      <w:rFonts w:cs="Arial"/>
                      <w:sz w:val="20"/>
                      <w:szCs w:val="20"/>
                    </w:rPr>
                    <w:t>Patients should be involved in discussions regarding the most appropriate supply route for their required medicines; this may result in a choice between a selection of available outsourced routes, for example between a homecare provider and a WOS OOPD</w:t>
                  </w:r>
                </w:p>
                <w:p w:rsidR="00213AAD" w:rsidRPr="00FC1F44" w:rsidRDefault="00213AAD" w:rsidP="00130717">
                  <w:pPr>
                    <w:spacing w:before="60" w:after="60"/>
                    <w:rPr>
                      <w:rFonts w:cs="Arial"/>
                      <w:sz w:val="20"/>
                      <w:szCs w:val="20"/>
                      <w:u w:val="single"/>
                    </w:rPr>
                  </w:pPr>
                </w:p>
              </w:tc>
              <w:tc>
                <w:tcPr>
                  <w:tcW w:w="3660" w:type="dxa"/>
                  <w:shd w:val="clear" w:color="auto" w:fill="C6D9F1" w:themeFill="text2" w:themeFillTint="33"/>
                  <w:tcMar>
                    <w:top w:w="57" w:type="dxa"/>
                    <w:left w:w="57" w:type="dxa"/>
                    <w:bottom w:w="57" w:type="dxa"/>
                    <w:right w:w="57" w:type="dxa"/>
                  </w:tcMar>
                </w:tcPr>
                <w:p w:rsidR="00213AAD" w:rsidRPr="00FC1F44" w:rsidRDefault="00213AAD" w:rsidP="00130717">
                  <w:pPr>
                    <w:pStyle w:val="ListParagraph"/>
                    <w:numPr>
                      <w:ilvl w:val="0"/>
                      <w:numId w:val="7"/>
                    </w:numPr>
                    <w:spacing w:before="60" w:after="60"/>
                    <w:ind w:left="332" w:hanging="332"/>
                    <w:rPr>
                      <w:rFonts w:cs="Arial"/>
                      <w:sz w:val="20"/>
                      <w:szCs w:val="20"/>
                    </w:rPr>
                  </w:pPr>
                  <w:r w:rsidRPr="00FC1F44">
                    <w:rPr>
                      <w:rFonts w:cs="Arial"/>
                      <w:color w:val="0E0E0E"/>
                      <w:sz w:val="20"/>
                      <w:szCs w:val="20"/>
                    </w:rPr>
                    <w:t>Clinical outcomes and patient satisfaction are likely to be better when decisions about medicines are made jointly between the person taking the medicine and the prescriber</w:t>
                  </w:r>
                </w:p>
                <w:p w:rsidR="00213AAD" w:rsidRPr="00FC1F44" w:rsidRDefault="00213AAD" w:rsidP="00130717">
                  <w:pPr>
                    <w:pStyle w:val="ListParagraph"/>
                    <w:numPr>
                      <w:ilvl w:val="0"/>
                      <w:numId w:val="7"/>
                    </w:numPr>
                    <w:spacing w:before="60" w:after="60"/>
                    <w:ind w:left="332" w:hanging="332"/>
                    <w:rPr>
                      <w:rFonts w:cs="Arial"/>
                      <w:sz w:val="20"/>
                      <w:szCs w:val="20"/>
                    </w:rPr>
                  </w:pPr>
                  <w:r w:rsidRPr="00FC1F44">
                    <w:rPr>
                      <w:rFonts w:cs="Arial"/>
                      <w:sz w:val="20"/>
                      <w:szCs w:val="20"/>
                    </w:rPr>
                    <w:t>The decision of the most suitable supply route should be made both for the patient’s benefit and to optimise the use of available cost effective supply routes</w:t>
                  </w:r>
                </w:p>
              </w:tc>
            </w:tr>
            <w:tr w:rsidR="00213AAD" w:rsidRPr="00FC1F44" w:rsidTr="00213AAD">
              <w:tc>
                <w:tcPr>
                  <w:tcW w:w="2536" w:type="dxa"/>
                  <w:vMerge/>
                  <w:tcMar>
                    <w:top w:w="57" w:type="dxa"/>
                    <w:left w:w="57" w:type="dxa"/>
                    <w:bottom w:w="57" w:type="dxa"/>
                    <w:right w:w="57" w:type="dxa"/>
                  </w:tcMar>
                </w:tcPr>
                <w:p w:rsidR="00213AAD" w:rsidRPr="00FC1F44" w:rsidRDefault="00213AAD" w:rsidP="00130717">
                  <w:pPr>
                    <w:spacing w:before="60" w:after="60"/>
                    <w:rPr>
                      <w:rFonts w:cs="Arial"/>
                      <w:sz w:val="20"/>
                      <w:szCs w:val="20"/>
                    </w:rPr>
                  </w:pPr>
                </w:p>
              </w:tc>
              <w:tc>
                <w:tcPr>
                  <w:tcW w:w="4187" w:type="dxa"/>
                  <w:tcMar>
                    <w:top w:w="57" w:type="dxa"/>
                    <w:left w:w="57" w:type="dxa"/>
                    <w:bottom w:w="57" w:type="dxa"/>
                    <w:right w:w="57" w:type="dxa"/>
                  </w:tcMar>
                </w:tcPr>
                <w:p w:rsidR="00213AAD" w:rsidRPr="00213AAD" w:rsidRDefault="00213AAD" w:rsidP="00130717">
                  <w:pPr>
                    <w:spacing w:before="60" w:after="60"/>
                    <w:rPr>
                      <w:rFonts w:cs="Arial"/>
                      <w:b/>
                      <w:sz w:val="20"/>
                      <w:szCs w:val="20"/>
                    </w:rPr>
                  </w:pPr>
                  <w:r w:rsidRPr="00213AAD">
                    <w:rPr>
                      <w:rFonts w:cs="Arial"/>
                      <w:b/>
                      <w:sz w:val="20"/>
                      <w:szCs w:val="20"/>
                    </w:rPr>
                    <w:t>Choice:</w:t>
                  </w:r>
                </w:p>
                <w:p w:rsidR="00213AAD" w:rsidRPr="00FC1F44" w:rsidRDefault="00213AAD" w:rsidP="00130717">
                  <w:pPr>
                    <w:pStyle w:val="ListParagraph"/>
                    <w:numPr>
                      <w:ilvl w:val="0"/>
                      <w:numId w:val="7"/>
                    </w:numPr>
                    <w:spacing w:before="60" w:after="60"/>
                    <w:ind w:left="459"/>
                    <w:rPr>
                      <w:rFonts w:cs="Arial"/>
                      <w:sz w:val="20"/>
                      <w:szCs w:val="20"/>
                      <w:u w:val="single"/>
                    </w:rPr>
                  </w:pPr>
                  <w:r w:rsidRPr="00FC1F44">
                    <w:rPr>
                      <w:rFonts w:cs="Arial"/>
                      <w:sz w:val="20"/>
                      <w:szCs w:val="20"/>
                    </w:rPr>
                    <w:t>One supply route may not be appropriate for all patients; an individual’s circumstances should be considered</w:t>
                  </w:r>
                </w:p>
                <w:p w:rsidR="00213AAD" w:rsidRPr="00FC1F44" w:rsidRDefault="00213AAD" w:rsidP="00130717">
                  <w:pPr>
                    <w:spacing w:before="60" w:after="60"/>
                    <w:ind w:left="99"/>
                    <w:rPr>
                      <w:rFonts w:cs="Arial"/>
                      <w:sz w:val="20"/>
                      <w:szCs w:val="20"/>
                      <w:u w:val="single"/>
                    </w:rPr>
                  </w:pPr>
                </w:p>
                <w:p w:rsidR="00213AAD" w:rsidRPr="00FC1F44" w:rsidRDefault="00213AAD" w:rsidP="00130717">
                  <w:pPr>
                    <w:spacing w:before="60" w:after="60"/>
                    <w:rPr>
                      <w:rFonts w:cs="Arial"/>
                      <w:sz w:val="20"/>
                      <w:szCs w:val="20"/>
                    </w:rPr>
                  </w:pPr>
                </w:p>
              </w:tc>
              <w:tc>
                <w:tcPr>
                  <w:tcW w:w="3660" w:type="dxa"/>
                  <w:tcMar>
                    <w:top w:w="57" w:type="dxa"/>
                    <w:left w:w="57" w:type="dxa"/>
                    <w:bottom w:w="57" w:type="dxa"/>
                    <w:right w:w="57" w:type="dxa"/>
                  </w:tcMar>
                </w:tcPr>
                <w:p w:rsidR="00213AAD" w:rsidRPr="00FC1F44" w:rsidRDefault="00213AAD" w:rsidP="00130717">
                  <w:pPr>
                    <w:pStyle w:val="ListParagraph"/>
                    <w:numPr>
                      <w:ilvl w:val="0"/>
                      <w:numId w:val="7"/>
                    </w:numPr>
                    <w:spacing w:before="60" w:after="60"/>
                    <w:ind w:left="332" w:hanging="332"/>
                    <w:rPr>
                      <w:rFonts w:cs="Arial"/>
                      <w:sz w:val="20"/>
                      <w:szCs w:val="20"/>
                    </w:rPr>
                  </w:pPr>
                  <w:r w:rsidRPr="00FC1F44">
                    <w:rPr>
                      <w:rFonts w:cs="Arial"/>
                      <w:sz w:val="20"/>
                      <w:szCs w:val="20"/>
                    </w:rPr>
                    <w:t>Some patient groups</w:t>
                  </w:r>
                  <w:r>
                    <w:rPr>
                      <w:rFonts w:cs="Arial"/>
                      <w:sz w:val="20"/>
                      <w:szCs w:val="20"/>
                    </w:rPr>
                    <w:t xml:space="preserve"> </w:t>
                  </w:r>
                  <w:r w:rsidRPr="00FC1F44">
                    <w:rPr>
                      <w:rFonts w:cs="Arial"/>
                      <w:sz w:val="20"/>
                      <w:szCs w:val="20"/>
                    </w:rPr>
                    <w:t>/</w:t>
                  </w:r>
                  <w:r>
                    <w:rPr>
                      <w:rFonts w:cs="Arial"/>
                      <w:sz w:val="20"/>
                      <w:szCs w:val="20"/>
                    </w:rPr>
                    <w:t xml:space="preserve"> </w:t>
                  </w:r>
                  <w:r w:rsidRPr="00FC1F44">
                    <w:rPr>
                      <w:rFonts w:cs="Arial"/>
                      <w:sz w:val="20"/>
                      <w:szCs w:val="20"/>
                    </w:rPr>
                    <w:t xml:space="preserve">medicines may not be suitable for specific supply routes; for example, homecare supply may be less suitable for homeless people, working individuals, treatment where there is an increased risk of waste, such as hepatitis C and treatment dependent on blood results, e.g. some chemotherapy </w:t>
                  </w:r>
                </w:p>
              </w:tc>
            </w:tr>
          </w:tbl>
          <w:p w:rsidR="00D7165F" w:rsidRDefault="00D7165F"/>
          <w:p w:rsidR="00D7165F" w:rsidRDefault="00D7165F"/>
          <w:p w:rsidR="00D7165F" w:rsidRDefault="00D7165F"/>
          <w:p w:rsidR="00D7165F" w:rsidRDefault="00D7165F"/>
          <w:p w:rsidR="00D7165F" w:rsidRDefault="00D7165F"/>
          <w:p w:rsidR="00D7165F" w:rsidRDefault="00D7165F"/>
          <w:p w:rsidR="00D7165F" w:rsidRDefault="00D7165F"/>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35"/>
              <w:gridCol w:w="4188"/>
              <w:gridCol w:w="3660"/>
            </w:tblGrid>
            <w:tr w:rsidR="00213AAD" w:rsidRPr="009E028C" w:rsidTr="00D7165F">
              <w:tc>
                <w:tcPr>
                  <w:tcW w:w="2535" w:type="dxa"/>
                  <w:vMerge w:val="restart"/>
                  <w:tcMar>
                    <w:top w:w="57" w:type="dxa"/>
                    <w:left w:w="57" w:type="dxa"/>
                    <w:bottom w:w="57" w:type="dxa"/>
                    <w:right w:w="57" w:type="dxa"/>
                  </w:tcMar>
                </w:tcPr>
                <w:p w:rsidR="00213AAD" w:rsidRPr="009E028C" w:rsidRDefault="00213AAD" w:rsidP="00130717">
                  <w:pPr>
                    <w:spacing w:before="60" w:after="60"/>
                    <w:rPr>
                      <w:rFonts w:cs="Arial"/>
                      <w:sz w:val="22"/>
                      <w:szCs w:val="22"/>
                    </w:rPr>
                  </w:pPr>
                </w:p>
              </w:tc>
              <w:tc>
                <w:tcPr>
                  <w:tcW w:w="4188" w:type="dxa"/>
                  <w:shd w:val="clear" w:color="auto" w:fill="C6D9F1" w:themeFill="text2" w:themeFillTint="33"/>
                  <w:tcMar>
                    <w:top w:w="57" w:type="dxa"/>
                    <w:left w:w="57" w:type="dxa"/>
                    <w:bottom w:w="57" w:type="dxa"/>
                    <w:right w:w="57" w:type="dxa"/>
                  </w:tcMar>
                </w:tcPr>
                <w:p w:rsidR="00213AAD" w:rsidRPr="00130717" w:rsidRDefault="00213AAD" w:rsidP="00130717">
                  <w:pPr>
                    <w:pStyle w:val="ListParagraph"/>
                    <w:numPr>
                      <w:ilvl w:val="0"/>
                      <w:numId w:val="7"/>
                    </w:numPr>
                    <w:spacing w:before="60" w:after="60"/>
                    <w:ind w:left="459"/>
                    <w:rPr>
                      <w:rFonts w:cs="Arial"/>
                      <w:sz w:val="20"/>
                      <w:szCs w:val="20"/>
                    </w:rPr>
                  </w:pPr>
                  <w:r w:rsidRPr="00130717">
                    <w:rPr>
                      <w:rFonts w:cs="Arial"/>
                      <w:sz w:val="20"/>
                      <w:szCs w:val="20"/>
                    </w:rPr>
                    <w:t>On-going supply via a specific route should be reviewed based on patient experience and feedback</w:t>
                  </w:r>
                </w:p>
              </w:tc>
              <w:tc>
                <w:tcPr>
                  <w:tcW w:w="3660" w:type="dxa"/>
                  <w:shd w:val="clear" w:color="auto" w:fill="C6D9F1" w:themeFill="text2" w:themeFillTint="33"/>
                  <w:tcMar>
                    <w:top w:w="57" w:type="dxa"/>
                    <w:left w:w="57" w:type="dxa"/>
                    <w:bottom w:w="57" w:type="dxa"/>
                    <w:right w:w="57" w:type="dxa"/>
                  </w:tcMar>
                </w:tcPr>
                <w:p w:rsidR="00213AAD" w:rsidRPr="00130717" w:rsidRDefault="00213AAD" w:rsidP="00130717">
                  <w:pPr>
                    <w:pStyle w:val="ListParagraph"/>
                    <w:numPr>
                      <w:ilvl w:val="0"/>
                      <w:numId w:val="7"/>
                    </w:numPr>
                    <w:spacing w:before="60" w:after="60"/>
                    <w:ind w:left="332" w:hanging="283"/>
                    <w:rPr>
                      <w:rFonts w:cs="Arial"/>
                      <w:sz w:val="20"/>
                      <w:szCs w:val="20"/>
                    </w:rPr>
                  </w:pPr>
                  <w:r w:rsidRPr="00130717">
                    <w:rPr>
                      <w:rFonts w:cs="Arial"/>
                      <w:sz w:val="20"/>
                      <w:szCs w:val="20"/>
                    </w:rPr>
                    <w:t>Patient experience and issues encountered should be considered to ensure on-going supply by a specific route is still appropriate. A change in the patient’s circumstances may require reconsideration of the most appropriate supply route; it is a requirement that all homecare patients are reviewed at least annually with the homecare service</w:t>
                  </w:r>
                </w:p>
              </w:tc>
            </w:tr>
            <w:tr w:rsidR="00213AAD" w:rsidRPr="009E028C" w:rsidTr="00D7165F">
              <w:tc>
                <w:tcPr>
                  <w:tcW w:w="2535" w:type="dxa"/>
                  <w:vMerge/>
                  <w:tcMar>
                    <w:top w:w="57" w:type="dxa"/>
                    <w:left w:w="57" w:type="dxa"/>
                    <w:bottom w:w="57" w:type="dxa"/>
                    <w:right w:w="57" w:type="dxa"/>
                  </w:tcMar>
                </w:tcPr>
                <w:p w:rsidR="00213AAD" w:rsidRPr="009E028C" w:rsidRDefault="00213AAD" w:rsidP="00130717">
                  <w:pPr>
                    <w:spacing w:before="60" w:after="60"/>
                    <w:rPr>
                      <w:rFonts w:cs="Arial"/>
                      <w:sz w:val="22"/>
                      <w:szCs w:val="22"/>
                    </w:rPr>
                  </w:pPr>
                </w:p>
              </w:tc>
              <w:tc>
                <w:tcPr>
                  <w:tcW w:w="4188" w:type="dxa"/>
                  <w:tcMar>
                    <w:top w:w="57" w:type="dxa"/>
                    <w:left w:w="57" w:type="dxa"/>
                    <w:bottom w:w="57" w:type="dxa"/>
                    <w:right w:w="57" w:type="dxa"/>
                  </w:tcMar>
                </w:tcPr>
                <w:p w:rsidR="00213AAD" w:rsidRPr="00130717" w:rsidRDefault="00213AAD" w:rsidP="00130717">
                  <w:pPr>
                    <w:pStyle w:val="ListParagraph"/>
                    <w:numPr>
                      <w:ilvl w:val="0"/>
                      <w:numId w:val="7"/>
                    </w:numPr>
                    <w:spacing w:before="60" w:after="60"/>
                    <w:ind w:left="459"/>
                    <w:rPr>
                      <w:rFonts w:cs="Arial"/>
                      <w:sz w:val="20"/>
                      <w:szCs w:val="20"/>
                    </w:rPr>
                  </w:pPr>
                  <w:r w:rsidRPr="00130717">
                    <w:rPr>
                      <w:rFonts w:cs="Arial"/>
                      <w:sz w:val="20"/>
                      <w:szCs w:val="20"/>
                    </w:rPr>
                    <w:t>Informed consent should be documented according to local procedures for each patient who agrees to a homecare supply route</w:t>
                  </w:r>
                </w:p>
              </w:tc>
              <w:tc>
                <w:tcPr>
                  <w:tcW w:w="3660" w:type="dxa"/>
                  <w:tcMar>
                    <w:top w:w="57" w:type="dxa"/>
                    <w:left w:w="57" w:type="dxa"/>
                    <w:bottom w:w="57" w:type="dxa"/>
                    <w:right w:w="57" w:type="dxa"/>
                  </w:tcMar>
                </w:tcPr>
                <w:p w:rsidR="00213AAD" w:rsidRPr="00130717" w:rsidRDefault="00213AAD" w:rsidP="00130717">
                  <w:pPr>
                    <w:pStyle w:val="ListParagraph"/>
                    <w:numPr>
                      <w:ilvl w:val="0"/>
                      <w:numId w:val="7"/>
                    </w:numPr>
                    <w:spacing w:before="60" w:after="60"/>
                    <w:ind w:left="332"/>
                    <w:rPr>
                      <w:rFonts w:cs="Arial"/>
                      <w:sz w:val="20"/>
                      <w:szCs w:val="20"/>
                    </w:rPr>
                  </w:pPr>
                  <w:r w:rsidRPr="00130717">
                    <w:rPr>
                      <w:rFonts w:cs="Arial"/>
                      <w:sz w:val="20"/>
                      <w:szCs w:val="20"/>
                    </w:rPr>
                    <w:t>Patients should be aware that a supply route may need to change based on changes in their circumstances</w:t>
                  </w:r>
                  <w:r>
                    <w:rPr>
                      <w:rFonts w:cs="Arial"/>
                      <w:sz w:val="20"/>
                      <w:szCs w:val="20"/>
                    </w:rPr>
                    <w:t xml:space="preserve"> </w:t>
                  </w:r>
                  <w:r w:rsidRPr="00130717">
                    <w:rPr>
                      <w:rFonts w:cs="Arial"/>
                      <w:sz w:val="20"/>
                      <w:szCs w:val="20"/>
                    </w:rPr>
                    <w:t>/</w:t>
                  </w:r>
                  <w:r>
                    <w:rPr>
                      <w:rFonts w:cs="Arial"/>
                      <w:sz w:val="20"/>
                      <w:szCs w:val="20"/>
                    </w:rPr>
                    <w:t xml:space="preserve"> </w:t>
                  </w:r>
                  <w:r w:rsidRPr="00130717">
                    <w:rPr>
                      <w:rFonts w:cs="Arial"/>
                      <w:sz w:val="20"/>
                      <w:szCs w:val="20"/>
                    </w:rPr>
                    <w:t>treatment</w:t>
                  </w:r>
                </w:p>
              </w:tc>
            </w:tr>
            <w:tr w:rsidR="009E028C" w:rsidRPr="009E028C" w:rsidTr="00D7165F">
              <w:tc>
                <w:tcPr>
                  <w:tcW w:w="2535" w:type="dxa"/>
                  <w:tcMar>
                    <w:top w:w="57" w:type="dxa"/>
                    <w:left w:w="57" w:type="dxa"/>
                    <w:bottom w:w="57" w:type="dxa"/>
                    <w:right w:w="57" w:type="dxa"/>
                  </w:tcMar>
                </w:tcPr>
                <w:p w:rsidR="009E028C" w:rsidRPr="00FC1F44" w:rsidRDefault="009E028C" w:rsidP="00130717">
                  <w:pPr>
                    <w:pStyle w:val="ListParagraph"/>
                    <w:numPr>
                      <w:ilvl w:val="0"/>
                      <w:numId w:val="6"/>
                    </w:numPr>
                    <w:spacing w:before="60" w:after="60"/>
                    <w:ind w:left="291" w:hanging="284"/>
                    <w:rPr>
                      <w:rFonts w:cs="Arial"/>
                      <w:b/>
                      <w:sz w:val="20"/>
                      <w:szCs w:val="20"/>
                    </w:rPr>
                  </w:pPr>
                  <w:r w:rsidRPr="00FC1F44">
                    <w:rPr>
                      <w:rFonts w:cs="Arial"/>
                      <w:b/>
                      <w:sz w:val="20"/>
                      <w:szCs w:val="20"/>
                    </w:rPr>
                    <w:t>Evidence based choice of medicine</w:t>
                  </w:r>
                </w:p>
              </w:tc>
              <w:tc>
                <w:tcPr>
                  <w:tcW w:w="4188" w:type="dxa"/>
                  <w:shd w:val="clear" w:color="auto" w:fill="C6D9F1" w:themeFill="text2" w:themeFillTint="33"/>
                  <w:tcMar>
                    <w:top w:w="57" w:type="dxa"/>
                    <w:left w:w="57" w:type="dxa"/>
                    <w:bottom w:w="57" w:type="dxa"/>
                    <w:right w:w="57" w:type="dxa"/>
                  </w:tcMar>
                </w:tcPr>
                <w:p w:rsidR="009E028C" w:rsidRPr="00FC1F44" w:rsidRDefault="009E028C" w:rsidP="00130717">
                  <w:pPr>
                    <w:pStyle w:val="ListParagraph"/>
                    <w:numPr>
                      <w:ilvl w:val="0"/>
                      <w:numId w:val="8"/>
                    </w:numPr>
                    <w:spacing w:before="60" w:after="60"/>
                    <w:ind w:left="459" w:hanging="425"/>
                    <w:rPr>
                      <w:rFonts w:cs="Arial"/>
                      <w:sz w:val="20"/>
                      <w:szCs w:val="20"/>
                    </w:rPr>
                  </w:pPr>
                  <w:r w:rsidRPr="00FC1F44">
                    <w:rPr>
                      <w:rFonts w:cs="Arial"/>
                      <w:sz w:val="20"/>
                      <w:szCs w:val="20"/>
                    </w:rPr>
                    <w:t>Medicine choice is based on currently available evidence of effectiveness and safety, NICE recommendations and national policy. Selection of an appropriate supply route is made after the treatment has been agreed with the patient</w:t>
                  </w:r>
                </w:p>
              </w:tc>
              <w:tc>
                <w:tcPr>
                  <w:tcW w:w="3660" w:type="dxa"/>
                  <w:shd w:val="clear" w:color="auto" w:fill="C6D9F1" w:themeFill="text2" w:themeFillTint="33"/>
                  <w:tcMar>
                    <w:top w:w="57" w:type="dxa"/>
                    <w:left w:w="57" w:type="dxa"/>
                    <w:bottom w:w="57" w:type="dxa"/>
                    <w:right w:w="57" w:type="dxa"/>
                  </w:tcMar>
                </w:tcPr>
                <w:p w:rsidR="009E028C" w:rsidRPr="00FC1F44" w:rsidRDefault="009E028C" w:rsidP="00130717">
                  <w:pPr>
                    <w:pStyle w:val="ListParagraph"/>
                    <w:numPr>
                      <w:ilvl w:val="0"/>
                      <w:numId w:val="8"/>
                    </w:numPr>
                    <w:spacing w:before="60" w:after="60"/>
                    <w:ind w:left="332"/>
                    <w:rPr>
                      <w:rFonts w:cs="Arial"/>
                      <w:sz w:val="20"/>
                      <w:szCs w:val="20"/>
                    </w:rPr>
                  </w:pPr>
                  <w:r w:rsidRPr="00FC1F44">
                    <w:rPr>
                      <w:rFonts w:cs="Arial"/>
                      <w:sz w:val="20"/>
                      <w:szCs w:val="20"/>
                    </w:rPr>
                    <w:t>Choice of medicine is not normally reliant on the supply route</w:t>
                  </w:r>
                </w:p>
              </w:tc>
            </w:tr>
            <w:tr w:rsidR="00FC1F44" w:rsidRPr="009E028C" w:rsidTr="00D7165F">
              <w:trPr>
                <w:trHeight w:val="3518"/>
              </w:trPr>
              <w:tc>
                <w:tcPr>
                  <w:tcW w:w="2535" w:type="dxa"/>
                  <w:vMerge w:val="restart"/>
                  <w:tcMar>
                    <w:top w:w="57" w:type="dxa"/>
                    <w:left w:w="57" w:type="dxa"/>
                    <w:bottom w:w="57" w:type="dxa"/>
                    <w:right w:w="57" w:type="dxa"/>
                  </w:tcMar>
                </w:tcPr>
                <w:p w:rsidR="00FC1F44" w:rsidRPr="00FC1F44" w:rsidRDefault="00FC1F44" w:rsidP="004528DC">
                  <w:pPr>
                    <w:pStyle w:val="ListParagraph"/>
                    <w:numPr>
                      <w:ilvl w:val="0"/>
                      <w:numId w:val="6"/>
                    </w:numPr>
                    <w:spacing w:before="60" w:after="60"/>
                    <w:ind w:left="291" w:hanging="284"/>
                    <w:rPr>
                      <w:rFonts w:cs="Arial"/>
                      <w:b/>
                      <w:sz w:val="20"/>
                      <w:szCs w:val="20"/>
                    </w:rPr>
                  </w:pPr>
                  <w:r w:rsidRPr="00FC1F44">
                    <w:rPr>
                      <w:rFonts w:cs="Arial"/>
                      <w:b/>
                      <w:sz w:val="20"/>
                      <w:szCs w:val="20"/>
                    </w:rPr>
                    <w:t>Ensure medicine use is as safe as possible</w:t>
                  </w:r>
                </w:p>
              </w:tc>
              <w:tc>
                <w:tcPr>
                  <w:tcW w:w="4188" w:type="dxa"/>
                  <w:tcMar>
                    <w:top w:w="57" w:type="dxa"/>
                    <w:left w:w="57" w:type="dxa"/>
                    <w:bottom w:w="57" w:type="dxa"/>
                    <w:right w:w="57" w:type="dxa"/>
                  </w:tcMar>
                </w:tcPr>
                <w:p w:rsidR="00FC1F44" w:rsidRPr="00FC1F44" w:rsidRDefault="00FC1F44" w:rsidP="00130717">
                  <w:pPr>
                    <w:pStyle w:val="ListParagraph"/>
                    <w:numPr>
                      <w:ilvl w:val="0"/>
                      <w:numId w:val="8"/>
                    </w:numPr>
                    <w:spacing w:before="60" w:after="60"/>
                    <w:ind w:left="459"/>
                    <w:rPr>
                      <w:rFonts w:cs="Arial"/>
                      <w:sz w:val="20"/>
                      <w:szCs w:val="20"/>
                    </w:rPr>
                  </w:pPr>
                  <w:r w:rsidRPr="00FC1F44">
                    <w:rPr>
                      <w:rFonts w:cs="Arial"/>
                      <w:sz w:val="20"/>
                      <w:szCs w:val="20"/>
                    </w:rPr>
                    <w:t>Sufficient information is discussed with the patient to enable</w:t>
                  </w:r>
                  <w:r w:rsidR="00213AAD">
                    <w:rPr>
                      <w:rFonts w:cs="Arial"/>
                      <w:sz w:val="20"/>
                      <w:szCs w:val="20"/>
                    </w:rPr>
                    <w:t xml:space="preserve"> </w:t>
                  </w:r>
                  <w:r w:rsidRPr="00FC1F44">
                    <w:rPr>
                      <w:rFonts w:cs="Arial"/>
                      <w:sz w:val="20"/>
                      <w:szCs w:val="20"/>
                    </w:rPr>
                    <w:t>/</w:t>
                  </w:r>
                  <w:r w:rsidR="00213AAD">
                    <w:rPr>
                      <w:rFonts w:cs="Arial"/>
                      <w:sz w:val="20"/>
                      <w:szCs w:val="20"/>
                    </w:rPr>
                    <w:t xml:space="preserve"> </w:t>
                  </w:r>
                  <w:r w:rsidRPr="00FC1F44">
                    <w:rPr>
                      <w:rFonts w:cs="Arial"/>
                      <w:sz w:val="20"/>
                      <w:szCs w:val="20"/>
                    </w:rPr>
                    <w:t>support their concordance with their medication regimens</w:t>
                  </w:r>
                </w:p>
              </w:tc>
              <w:tc>
                <w:tcPr>
                  <w:tcW w:w="3660" w:type="dxa"/>
                  <w:tcMar>
                    <w:top w:w="57" w:type="dxa"/>
                    <w:left w:w="57" w:type="dxa"/>
                    <w:bottom w:w="57" w:type="dxa"/>
                    <w:right w:w="57" w:type="dxa"/>
                  </w:tcMar>
                </w:tcPr>
                <w:p w:rsidR="00FC1F44" w:rsidRPr="00FC1F44" w:rsidRDefault="00FC1F44" w:rsidP="00130717">
                  <w:pPr>
                    <w:pStyle w:val="ListParagraph"/>
                    <w:numPr>
                      <w:ilvl w:val="0"/>
                      <w:numId w:val="7"/>
                    </w:numPr>
                    <w:spacing w:before="60" w:after="60"/>
                    <w:ind w:left="332" w:hanging="332"/>
                    <w:rPr>
                      <w:rFonts w:cs="Arial"/>
                      <w:sz w:val="20"/>
                      <w:szCs w:val="20"/>
                    </w:rPr>
                  </w:pPr>
                  <w:r w:rsidRPr="00FC1F44">
                    <w:rPr>
                      <w:rFonts w:cs="Arial"/>
                      <w:color w:val="0E0E0E"/>
                      <w:sz w:val="20"/>
                      <w:szCs w:val="20"/>
                    </w:rPr>
                    <w:t>Clinical outcomes and patient satisfaction are likely to be better when decisions about medicines are made jointly between the person taking the medicine and the prescriber</w:t>
                  </w:r>
                </w:p>
                <w:p w:rsidR="00FC1F44" w:rsidRPr="00FC1F44" w:rsidRDefault="00FC1F44" w:rsidP="00130717">
                  <w:pPr>
                    <w:pStyle w:val="ListParagraph"/>
                    <w:numPr>
                      <w:ilvl w:val="0"/>
                      <w:numId w:val="7"/>
                    </w:numPr>
                    <w:spacing w:before="60" w:after="60"/>
                    <w:ind w:left="332" w:hanging="332"/>
                    <w:rPr>
                      <w:rFonts w:cs="Arial"/>
                      <w:sz w:val="20"/>
                      <w:szCs w:val="20"/>
                    </w:rPr>
                  </w:pPr>
                  <w:r w:rsidRPr="00FC1F44">
                    <w:rPr>
                      <w:rFonts w:cs="Arial"/>
                      <w:color w:val="0E0E0E"/>
                      <w:sz w:val="20"/>
                      <w:szCs w:val="20"/>
                    </w:rPr>
                    <w:t>Information may be provided at different parts of the pathway, including at initial treatment discussion, at supply</w:t>
                  </w:r>
                  <w:r w:rsidR="00213AAD">
                    <w:rPr>
                      <w:rFonts w:cs="Arial"/>
                      <w:color w:val="0E0E0E"/>
                      <w:sz w:val="20"/>
                      <w:szCs w:val="20"/>
                    </w:rPr>
                    <w:t xml:space="preserve"> </w:t>
                  </w:r>
                  <w:r w:rsidRPr="00FC1F44">
                    <w:rPr>
                      <w:rFonts w:cs="Arial"/>
                      <w:color w:val="0E0E0E"/>
                      <w:sz w:val="20"/>
                      <w:szCs w:val="20"/>
                    </w:rPr>
                    <w:t>/</w:t>
                  </w:r>
                  <w:r w:rsidR="00213AAD">
                    <w:rPr>
                      <w:rFonts w:cs="Arial"/>
                      <w:color w:val="0E0E0E"/>
                      <w:sz w:val="20"/>
                      <w:szCs w:val="20"/>
                    </w:rPr>
                    <w:t xml:space="preserve"> </w:t>
                  </w:r>
                  <w:r w:rsidRPr="00FC1F44">
                    <w:rPr>
                      <w:rFonts w:cs="Arial"/>
                      <w:color w:val="0E0E0E"/>
                      <w:sz w:val="20"/>
                      <w:szCs w:val="20"/>
                    </w:rPr>
                    <w:t>administration of the treatment and at follow up appointments</w:t>
                  </w:r>
                </w:p>
                <w:p w:rsidR="00FC1F44" w:rsidRPr="00FC1F44" w:rsidRDefault="00FC1F44" w:rsidP="00130717">
                  <w:pPr>
                    <w:pStyle w:val="ListParagraph"/>
                    <w:numPr>
                      <w:ilvl w:val="0"/>
                      <w:numId w:val="7"/>
                    </w:numPr>
                    <w:spacing w:before="60" w:after="60"/>
                    <w:ind w:left="335" w:hanging="335"/>
                    <w:rPr>
                      <w:rFonts w:cs="Arial"/>
                      <w:sz w:val="20"/>
                      <w:szCs w:val="20"/>
                    </w:rPr>
                  </w:pPr>
                  <w:r w:rsidRPr="00FC1F44">
                    <w:rPr>
                      <w:rFonts w:cs="Arial"/>
                      <w:color w:val="0E0E0E"/>
                      <w:sz w:val="20"/>
                      <w:szCs w:val="20"/>
                    </w:rPr>
                    <w:t>Contact details on who patients should contact within the acute trust should be provided</w:t>
                  </w:r>
                </w:p>
              </w:tc>
            </w:tr>
            <w:tr w:rsidR="00FC1F44" w:rsidRPr="009E028C" w:rsidTr="00D7165F">
              <w:tc>
                <w:tcPr>
                  <w:tcW w:w="2535" w:type="dxa"/>
                  <w:vMerge/>
                  <w:tcMar>
                    <w:top w:w="57" w:type="dxa"/>
                    <w:left w:w="57" w:type="dxa"/>
                    <w:bottom w:w="57" w:type="dxa"/>
                    <w:right w:w="57" w:type="dxa"/>
                  </w:tcMar>
                </w:tcPr>
                <w:p w:rsidR="00FC1F44" w:rsidRPr="00FC1F44" w:rsidRDefault="00FC1F44" w:rsidP="00130717">
                  <w:pPr>
                    <w:spacing w:before="60" w:after="60"/>
                    <w:rPr>
                      <w:rFonts w:cs="Arial"/>
                      <w:sz w:val="20"/>
                      <w:szCs w:val="20"/>
                    </w:rPr>
                  </w:pPr>
                </w:p>
              </w:tc>
              <w:tc>
                <w:tcPr>
                  <w:tcW w:w="4188" w:type="dxa"/>
                  <w:shd w:val="clear" w:color="auto" w:fill="C6D9F1" w:themeFill="text2" w:themeFillTint="33"/>
                  <w:tcMar>
                    <w:top w:w="57" w:type="dxa"/>
                    <w:left w:w="57" w:type="dxa"/>
                    <w:bottom w:w="57" w:type="dxa"/>
                    <w:right w:w="57" w:type="dxa"/>
                  </w:tcMar>
                </w:tcPr>
                <w:p w:rsidR="00FC1F44" w:rsidRPr="00FC1F44" w:rsidRDefault="00FC1F44" w:rsidP="00130717">
                  <w:pPr>
                    <w:pStyle w:val="ListParagraph"/>
                    <w:numPr>
                      <w:ilvl w:val="0"/>
                      <w:numId w:val="8"/>
                    </w:numPr>
                    <w:spacing w:before="60" w:after="60"/>
                    <w:ind w:left="459"/>
                    <w:rPr>
                      <w:rFonts w:cs="Arial"/>
                      <w:sz w:val="20"/>
                      <w:szCs w:val="20"/>
                    </w:rPr>
                  </w:pPr>
                  <w:r w:rsidRPr="00FC1F44">
                    <w:rPr>
                      <w:rFonts w:cs="Arial"/>
                      <w:sz w:val="20"/>
                      <w:szCs w:val="20"/>
                    </w:rPr>
                    <w:t>The selected supply route should deliver the required medicines at a time and venue suitable for the individual</w:t>
                  </w:r>
                </w:p>
                <w:p w:rsidR="00FC1F44" w:rsidRPr="00FC1F44" w:rsidRDefault="00FC1F44" w:rsidP="00130717">
                  <w:pPr>
                    <w:spacing w:before="60" w:after="60"/>
                    <w:rPr>
                      <w:rFonts w:cs="Arial"/>
                      <w:sz w:val="20"/>
                      <w:szCs w:val="20"/>
                    </w:rPr>
                  </w:pPr>
                </w:p>
              </w:tc>
              <w:tc>
                <w:tcPr>
                  <w:tcW w:w="3660" w:type="dxa"/>
                  <w:shd w:val="clear" w:color="auto" w:fill="C6D9F1" w:themeFill="text2" w:themeFillTint="33"/>
                  <w:tcMar>
                    <w:top w:w="57" w:type="dxa"/>
                    <w:left w:w="57" w:type="dxa"/>
                    <w:bottom w:w="57" w:type="dxa"/>
                    <w:right w:w="57" w:type="dxa"/>
                  </w:tcMar>
                </w:tcPr>
                <w:p w:rsidR="00FC1F44" w:rsidRPr="00FC1F44" w:rsidRDefault="00FC1F44" w:rsidP="00130717">
                  <w:pPr>
                    <w:pStyle w:val="ListParagraph"/>
                    <w:numPr>
                      <w:ilvl w:val="0"/>
                      <w:numId w:val="8"/>
                    </w:numPr>
                    <w:spacing w:before="60" w:after="60"/>
                    <w:ind w:left="332"/>
                    <w:rPr>
                      <w:rFonts w:cs="Arial"/>
                      <w:sz w:val="20"/>
                      <w:szCs w:val="20"/>
                    </w:rPr>
                  </w:pPr>
                  <w:r w:rsidRPr="00FC1F44">
                    <w:rPr>
                      <w:rFonts w:cs="Arial"/>
                      <w:sz w:val="20"/>
                      <w:szCs w:val="20"/>
                    </w:rPr>
                    <w:t>Risks of medicines being inadvertently supplied to the wrong person must be managed; this may particularly be an issue for specific patients, for example those transient patients who may change their address regularly</w:t>
                  </w:r>
                </w:p>
                <w:p w:rsidR="00FC1F44" w:rsidRPr="00FC1F44" w:rsidRDefault="00FC1F44" w:rsidP="00130717">
                  <w:pPr>
                    <w:pStyle w:val="ListParagraph"/>
                    <w:numPr>
                      <w:ilvl w:val="0"/>
                      <w:numId w:val="8"/>
                    </w:numPr>
                    <w:spacing w:before="60" w:after="60"/>
                    <w:ind w:left="332"/>
                    <w:rPr>
                      <w:rFonts w:cs="Arial"/>
                      <w:sz w:val="20"/>
                      <w:szCs w:val="20"/>
                    </w:rPr>
                  </w:pPr>
                  <w:r w:rsidRPr="00FC1F44">
                    <w:rPr>
                      <w:rFonts w:cs="Arial"/>
                      <w:sz w:val="20"/>
                      <w:szCs w:val="20"/>
                    </w:rPr>
                    <w:t>Maintenance of cold-chain supply as required, using validated process</w:t>
                  </w:r>
                </w:p>
              </w:tc>
            </w:tr>
          </w:tbl>
          <w:p w:rsidR="00D7165F" w:rsidRDefault="00D7165F"/>
          <w:p w:rsidR="00D7165F" w:rsidRDefault="00D7165F"/>
          <w:p w:rsidR="00D7165F" w:rsidRDefault="00D7165F"/>
          <w:p w:rsidR="00D7165F" w:rsidRDefault="00D7165F"/>
          <w:p w:rsidR="00D7165F" w:rsidRDefault="00D7165F"/>
          <w:p w:rsidR="00D7165F" w:rsidRDefault="00D7165F"/>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36"/>
              <w:gridCol w:w="4190"/>
              <w:gridCol w:w="3657"/>
            </w:tblGrid>
            <w:tr w:rsidR="00FC1F44" w:rsidRPr="009E028C" w:rsidTr="00D7165F">
              <w:tc>
                <w:tcPr>
                  <w:tcW w:w="2535" w:type="dxa"/>
                  <w:vMerge w:val="restart"/>
                  <w:tcMar>
                    <w:top w:w="57" w:type="dxa"/>
                    <w:left w:w="57" w:type="dxa"/>
                    <w:bottom w:w="57" w:type="dxa"/>
                    <w:right w:w="57" w:type="dxa"/>
                  </w:tcMar>
                </w:tcPr>
                <w:p w:rsidR="00FC1F44" w:rsidRPr="00FC1F44" w:rsidRDefault="00FC1F44" w:rsidP="00130717">
                  <w:pPr>
                    <w:spacing w:before="60" w:after="60"/>
                    <w:rPr>
                      <w:rFonts w:cs="Arial"/>
                      <w:sz w:val="20"/>
                      <w:szCs w:val="20"/>
                    </w:rPr>
                  </w:pPr>
                </w:p>
              </w:tc>
              <w:tc>
                <w:tcPr>
                  <w:tcW w:w="4188" w:type="dxa"/>
                  <w:tcMar>
                    <w:top w:w="57" w:type="dxa"/>
                    <w:left w:w="57" w:type="dxa"/>
                    <w:bottom w:w="57" w:type="dxa"/>
                    <w:right w:w="57" w:type="dxa"/>
                  </w:tcMar>
                </w:tcPr>
                <w:p w:rsidR="00FC1F44" w:rsidRPr="00FC1F44" w:rsidRDefault="00FC1F44" w:rsidP="00130717">
                  <w:pPr>
                    <w:pStyle w:val="ListParagraph"/>
                    <w:numPr>
                      <w:ilvl w:val="0"/>
                      <w:numId w:val="8"/>
                    </w:numPr>
                    <w:spacing w:before="60" w:after="60"/>
                    <w:ind w:left="459"/>
                    <w:rPr>
                      <w:rFonts w:cs="Arial"/>
                      <w:sz w:val="20"/>
                      <w:szCs w:val="20"/>
                    </w:rPr>
                  </w:pPr>
                  <w:r w:rsidRPr="00FC1F44">
                    <w:rPr>
                      <w:rFonts w:cs="Arial"/>
                      <w:sz w:val="20"/>
                      <w:szCs w:val="20"/>
                    </w:rPr>
                    <w:t>Patients receiving medicines via a specific supply route should be monitored so that any adverse events or treatment failures are readily identified and managed</w:t>
                  </w:r>
                </w:p>
              </w:tc>
              <w:tc>
                <w:tcPr>
                  <w:tcW w:w="3660" w:type="dxa"/>
                  <w:tcMar>
                    <w:top w:w="57" w:type="dxa"/>
                    <w:left w:w="57" w:type="dxa"/>
                    <w:bottom w:w="57" w:type="dxa"/>
                    <w:right w:w="57" w:type="dxa"/>
                  </w:tcMar>
                </w:tcPr>
                <w:p w:rsidR="00FC1F44" w:rsidRPr="00FC1F44" w:rsidRDefault="00FC1F44" w:rsidP="00130717">
                  <w:pPr>
                    <w:pStyle w:val="ListParagraph"/>
                    <w:numPr>
                      <w:ilvl w:val="0"/>
                      <w:numId w:val="7"/>
                    </w:numPr>
                    <w:spacing w:before="60" w:after="60"/>
                    <w:ind w:left="332" w:hanging="332"/>
                    <w:rPr>
                      <w:rFonts w:cs="Arial"/>
                      <w:sz w:val="20"/>
                      <w:szCs w:val="20"/>
                    </w:rPr>
                  </w:pPr>
                  <w:r w:rsidRPr="00FC1F44">
                    <w:rPr>
                      <w:rFonts w:cs="Arial"/>
                      <w:color w:val="0E0E0E"/>
                      <w:sz w:val="20"/>
                      <w:szCs w:val="20"/>
                    </w:rPr>
                    <w:t>Providers monitor medicines-related patient safety incidents to inform their learning in the use of medicines</w:t>
                  </w:r>
                </w:p>
                <w:p w:rsidR="00FC1F44" w:rsidRPr="00FC1F44" w:rsidRDefault="00FC1F44" w:rsidP="00130717">
                  <w:pPr>
                    <w:pStyle w:val="ListParagraph"/>
                    <w:numPr>
                      <w:ilvl w:val="0"/>
                      <w:numId w:val="7"/>
                    </w:numPr>
                    <w:spacing w:before="60" w:after="60"/>
                    <w:ind w:left="332" w:hanging="332"/>
                    <w:rPr>
                      <w:rFonts w:cs="Arial"/>
                      <w:sz w:val="20"/>
                      <w:szCs w:val="20"/>
                    </w:rPr>
                  </w:pPr>
                  <w:r w:rsidRPr="00FC1F44">
                    <w:rPr>
                      <w:rFonts w:cs="Arial"/>
                      <w:sz w:val="20"/>
                      <w:szCs w:val="20"/>
                    </w:rPr>
                    <w:t xml:space="preserve">Effective communication channels must be in place between the patient, outsourced provider and the clinician responsible for that patient’s care </w:t>
                  </w:r>
                </w:p>
              </w:tc>
            </w:tr>
            <w:tr w:rsidR="00FC1F44" w:rsidRPr="009E028C" w:rsidTr="00D7165F">
              <w:tc>
                <w:tcPr>
                  <w:tcW w:w="2535" w:type="dxa"/>
                  <w:vMerge/>
                  <w:tcMar>
                    <w:top w:w="57" w:type="dxa"/>
                    <w:left w:w="57" w:type="dxa"/>
                    <w:bottom w:w="57" w:type="dxa"/>
                    <w:right w:w="57" w:type="dxa"/>
                  </w:tcMar>
                </w:tcPr>
                <w:p w:rsidR="00FC1F44" w:rsidRPr="00FC1F44" w:rsidRDefault="00FC1F44" w:rsidP="00130717">
                  <w:pPr>
                    <w:spacing w:before="60" w:after="60"/>
                    <w:rPr>
                      <w:rFonts w:cs="Arial"/>
                      <w:sz w:val="20"/>
                      <w:szCs w:val="20"/>
                    </w:rPr>
                  </w:pPr>
                </w:p>
              </w:tc>
              <w:tc>
                <w:tcPr>
                  <w:tcW w:w="4188" w:type="dxa"/>
                  <w:shd w:val="clear" w:color="auto" w:fill="C6D9F1" w:themeFill="text2" w:themeFillTint="33"/>
                  <w:tcMar>
                    <w:top w:w="57" w:type="dxa"/>
                    <w:left w:w="57" w:type="dxa"/>
                    <w:bottom w:w="57" w:type="dxa"/>
                    <w:right w:w="57" w:type="dxa"/>
                  </w:tcMar>
                </w:tcPr>
                <w:p w:rsidR="00FC1F44" w:rsidRPr="00FC1F44" w:rsidRDefault="00FC1F44" w:rsidP="00130717">
                  <w:pPr>
                    <w:pStyle w:val="ListParagraph"/>
                    <w:numPr>
                      <w:ilvl w:val="0"/>
                      <w:numId w:val="8"/>
                    </w:numPr>
                    <w:spacing w:before="60" w:after="60"/>
                    <w:ind w:left="459"/>
                    <w:rPr>
                      <w:rFonts w:cs="Arial"/>
                      <w:sz w:val="20"/>
                      <w:szCs w:val="20"/>
                    </w:rPr>
                  </w:pPr>
                  <w:r w:rsidRPr="00FC1F44">
                    <w:rPr>
                      <w:rFonts w:cs="Arial"/>
                      <w:sz w:val="20"/>
                      <w:szCs w:val="20"/>
                    </w:rPr>
                    <w:t>Support safety and sustainability of OOPD and homecare providers</w:t>
                  </w:r>
                </w:p>
                <w:p w:rsidR="00FC1F44" w:rsidRPr="00FC1F44" w:rsidRDefault="00FC1F44" w:rsidP="00130717">
                  <w:pPr>
                    <w:spacing w:before="60" w:after="60"/>
                    <w:rPr>
                      <w:rFonts w:cs="Arial"/>
                      <w:sz w:val="20"/>
                      <w:szCs w:val="20"/>
                    </w:rPr>
                  </w:pPr>
                </w:p>
              </w:tc>
              <w:tc>
                <w:tcPr>
                  <w:tcW w:w="3660" w:type="dxa"/>
                  <w:shd w:val="clear" w:color="auto" w:fill="C6D9F1" w:themeFill="text2" w:themeFillTint="33"/>
                  <w:tcMar>
                    <w:top w:w="57" w:type="dxa"/>
                    <w:left w:w="57" w:type="dxa"/>
                    <w:bottom w:w="57" w:type="dxa"/>
                    <w:right w:w="57" w:type="dxa"/>
                  </w:tcMar>
                </w:tcPr>
                <w:p w:rsidR="00FC1F44" w:rsidRPr="00FC1F44" w:rsidRDefault="00FC1F44" w:rsidP="00130717">
                  <w:pPr>
                    <w:pStyle w:val="ListParagraph"/>
                    <w:numPr>
                      <w:ilvl w:val="0"/>
                      <w:numId w:val="8"/>
                    </w:numPr>
                    <w:spacing w:before="60" w:after="60"/>
                    <w:ind w:left="332" w:hanging="283"/>
                    <w:rPr>
                      <w:rFonts w:cs="Arial"/>
                      <w:sz w:val="20"/>
                      <w:szCs w:val="20"/>
                    </w:rPr>
                  </w:pPr>
                  <w:r w:rsidRPr="00FC1F44">
                    <w:rPr>
                      <w:rFonts w:cs="Arial"/>
                      <w:sz w:val="20"/>
                      <w:szCs w:val="20"/>
                    </w:rPr>
                    <w:t>The homecare market has experienced significant instability in past years; whilst this has improved more recently it is important to reduce the risk of recurrence in future years. This may require hub and regional collaboration regarding use of the homecare market to avoid diluting the service and ability to deliver required KPIs</w:t>
                  </w:r>
                </w:p>
              </w:tc>
            </w:tr>
            <w:tr w:rsidR="009E028C" w:rsidRPr="009E028C" w:rsidTr="004528DC">
              <w:tc>
                <w:tcPr>
                  <w:tcW w:w="2538" w:type="dxa"/>
                  <w:tcMar>
                    <w:top w:w="57" w:type="dxa"/>
                    <w:left w:w="57" w:type="dxa"/>
                    <w:bottom w:w="57" w:type="dxa"/>
                    <w:right w:w="57" w:type="dxa"/>
                  </w:tcMar>
                </w:tcPr>
                <w:p w:rsidR="009E028C" w:rsidRPr="00FC1F44" w:rsidRDefault="009E028C" w:rsidP="00130717">
                  <w:pPr>
                    <w:pStyle w:val="ListParagraph"/>
                    <w:numPr>
                      <w:ilvl w:val="0"/>
                      <w:numId w:val="6"/>
                    </w:numPr>
                    <w:spacing w:before="60" w:after="60"/>
                    <w:ind w:left="291" w:hanging="284"/>
                    <w:rPr>
                      <w:rFonts w:cs="Arial"/>
                      <w:b/>
                      <w:sz w:val="20"/>
                      <w:szCs w:val="20"/>
                    </w:rPr>
                  </w:pPr>
                  <w:r w:rsidRPr="00FC1F44">
                    <w:rPr>
                      <w:rFonts w:cs="Arial"/>
                      <w:b/>
                      <w:sz w:val="20"/>
                      <w:szCs w:val="20"/>
                    </w:rPr>
                    <w:t xml:space="preserve">Make medicine optimisation </w:t>
                  </w:r>
                  <w:r w:rsidR="00341B4D" w:rsidRPr="00FC1F44">
                    <w:rPr>
                      <w:rFonts w:cs="Arial"/>
                      <w:b/>
                      <w:sz w:val="20"/>
                      <w:szCs w:val="20"/>
                    </w:rPr>
                    <w:t xml:space="preserve">part </w:t>
                  </w:r>
                  <w:r w:rsidR="00FB6550" w:rsidRPr="00FC1F44">
                    <w:rPr>
                      <w:rFonts w:cs="Arial"/>
                      <w:b/>
                      <w:sz w:val="20"/>
                      <w:szCs w:val="20"/>
                    </w:rPr>
                    <w:br/>
                  </w:r>
                  <w:r w:rsidR="00341B4D" w:rsidRPr="00FC1F44">
                    <w:rPr>
                      <w:rFonts w:cs="Arial"/>
                      <w:b/>
                      <w:sz w:val="20"/>
                      <w:szCs w:val="20"/>
                    </w:rPr>
                    <w:t xml:space="preserve">of routine </w:t>
                  </w:r>
                  <w:r w:rsidR="00FB6550" w:rsidRPr="00FC1F44">
                    <w:rPr>
                      <w:rFonts w:cs="Arial"/>
                      <w:b/>
                      <w:sz w:val="20"/>
                      <w:szCs w:val="20"/>
                    </w:rPr>
                    <w:br/>
                  </w:r>
                  <w:r w:rsidR="00341B4D" w:rsidRPr="00FC1F44">
                    <w:rPr>
                      <w:rFonts w:cs="Arial"/>
                      <w:b/>
                      <w:sz w:val="20"/>
                      <w:szCs w:val="20"/>
                    </w:rPr>
                    <w:t>practice</w:t>
                  </w:r>
                </w:p>
              </w:tc>
              <w:tc>
                <w:tcPr>
                  <w:tcW w:w="4193" w:type="dxa"/>
                  <w:tcMar>
                    <w:top w:w="57" w:type="dxa"/>
                    <w:left w:w="57" w:type="dxa"/>
                    <w:bottom w:w="57" w:type="dxa"/>
                    <w:right w:w="57" w:type="dxa"/>
                  </w:tcMar>
                </w:tcPr>
                <w:p w:rsidR="009E028C" w:rsidRPr="00FC1F44" w:rsidRDefault="009E028C" w:rsidP="00130717">
                  <w:pPr>
                    <w:pStyle w:val="ListParagraph"/>
                    <w:numPr>
                      <w:ilvl w:val="0"/>
                      <w:numId w:val="8"/>
                    </w:numPr>
                    <w:spacing w:before="60" w:after="60"/>
                    <w:ind w:left="459"/>
                    <w:rPr>
                      <w:rFonts w:cs="Arial"/>
                      <w:sz w:val="20"/>
                      <w:szCs w:val="20"/>
                    </w:rPr>
                  </w:pPr>
                  <w:r w:rsidRPr="00FC1F44">
                    <w:rPr>
                      <w:rFonts w:cs="Arial"/>
                      <w:sz w:val="20"/>
                      <w:szCs w:val="20"/>
                    </w:rPr>
                    <w:t xml:space="preserve">Reduce medicine waste </w:t>
                  </w:r>
                </w:p>
                <w:p w:rsidR="009E028C" w:rsidRPr="00FC1F44" w:rsidRDefault="009E028C" w:rsidP="00130717">
                  <w:pPr>
                    <w:spacing w:before="60" w:after="60"/>
                    <w:rPr>
                      <w:rFonts w:cs="Arial"/>
                      <w:sz w:val="20"/>
                      <w:szCs w:val="20"/>
                    </w:rPr>
                  </w:pPr>
                </w:p>
              </w:tc>
              <w:tc>
                <w:tcPr>
                  <w:tcW w:w="3652" w:type="dxa"/>
                  <w:tcMar>
                    <w:top w:w="57" w:type="dxa"/>
                    <w:left w:w="57" w:type="dxa"/>
                    <w:bottom w:w="57" w:type="dxa"/>
                    <w:right w:w="57" w:type="dxa"/>
                  </w:tcMar>
                </w:tcPr>
                <w:p w:rsidR="009E028C" w:rsidRPr="00FC1F44" w:rsidRDefault="009E028C" w:rsidP="00130717">
                  <w:pPr>
                    <w:pStyle w:val="ListParagraph"/>
                    <w:numPr>
                      <w:ilvl w:val="0"/>
                      <w:numId w:val="8"/>
                    </w:numPr>
                    <w:spacing w:before="60" w:after="60"/>
                    <w:ind w:left="332"/>
                    <w:rPr>
                      <w:rFonts w:cs="Arial"/>
                      <w:sz w:val="20"/>
                      <w:szCs w:val="20"/>
                    </w:rPr>
                  </w:pPr>
                  <w:r w:rsidRPr="00FC1F44">
                    <w:rPr>
                      <w:rFonts w:cs="Arial"/>
                      <w:sz w:val="20"/>
                      <w:szCs w:val="20"/>
                    </w:rPr>
                    <w:t>Supply via an outsourced route should include steps to reduce the risk of wasted medicines, including appropriate quantities for supply, frequency of supply, and feedback on wasted medicines</w:t>
                  </w:r>
                  <w:r w:rsidR="00213AAD">
                    <w:rPr>
                      <w:rFonts w:cs="Arial"/>
                      <w:sz w:val="20"/>
                      <w:szCs w:val="20"/>
                    </w:rPr>
                    <w:t xml:space="preserve"> </w:t>
                  </w:r>
                  <w:r w:rsidRPr="00FC1F44">
                    <w:rPr>
                      <w:rFonts w:cs="Arial"/>
                      <w:sz w:val="20"/>
                      <w:szCs w:val="20"/>
                    </w:rPr>
                    <w:t>/</w:t>
                  </w:r>
                  <w:r w:rsidR="00213AAD">
                    <w:rPr>
                      <w:rFonts w:cs="Arial"/>
                      <w:sz w:val="20"/>
                      <w:szCs w:val="20"/>
                    </w:rPr>
                    <w:t xml:space="preserve"> </w:t>
                  </w:r>
                  <w:r w:rsidRPr="00FC1F44">
                    <w:rPr>
                      <w:rFonts w:cs="Arial"/>
                      <w:sz w:val="20"/>
                      <w:szCs w:val="20"/>
                    </w:rPr>
                    <w:t>doses from the outsourced provider. Patient choice and adherence for chronic treatment is key to reducing the risk of wasted medicines</w:t>
                  </w:r>
                </w:p>
              </w:tc>
            </w:tr>
            <w:tr w:rsidR="009E028C" w:rsidRPr="009E028C" w:rsidTr="004528DC">
              <w:tc>
                <w:tcPr>
                  <w:tcW w:w="2538" w:type="dxa"/>
                  <w:tcMar>
                    <w:top w:w="57" w:type="dxa"/>
                    <w:left w:w="57" w:type="dxa"/>
                    <w:bottom w:w="57" w:type="dxa"/>
                    <w:right w:w="57" w:type="dxa"/>
                  </w:tcMar>
                </w:tcPr>
                <w:p w:rsidR="009E028C" w:rsidRPr="00FC1F44" w:rsidRDefault="009E028C" w:rsidP="00130717">
                  <w:pPr>
                    <w:spacing w:before="60" w:after="60"/>
                    <w:rPr>
                      <w:rFonts w:cs="Arial"/>
                      <w:sz w:val="20"/>
                      <w:szCs w:val="20"/>
                    </w:rPr>
                  </w:pPr>
                </w:p>
              </w:tc>
              <w:tc>
                <w:tcPr>
                  <w:tcW w:w="4193" w:type="dxa"/>
                  <w:shd w:val="clear" w:color="auto" w:fill="C6D9F1" w:themeFill="text2" w:themeFillTint="33"/>
                  <w:tcMar>
                    <w:top w:w="57" w:type="dxa"/>
                    <w:left w:w="57" w:type="dxa"/>
                    <w:bottom w:w="57" w:type="dxa"/>
                    <w:right w:w="57" w:type="dxa"/>
                  </w:tcMar>
                </w:tcPr>
                <w:p w:rsidR="009E028C" w:rsidRPr="00FC1F44" w:rsidRDefault="009E028C" w:rsidP="00130717">
                  <w:pPr>
                    <w:pStyle w:val="ListParagraph"/>
                    <w:numPr>
                      <w:ilvl w:val="0"/>
                      <w:numId w:val="8"/>
                    </w:numPr>
                    <w:spacing w:before="60" w:after="60"/>
                    <w:ind w:left="459"/>
                    <w:rPr>
                      <w:rFonts w:cs="Arial"/>
                      <w:sz w:val="20"/>
                      <w:szCs w:val="20"/>
                    </w:rPr>
                  </w:pPr>
                  <w:r w:rsidRPr="00FC1F44">
                    <w:rPr>
                      <w:rFonts w:cs="Arial"/>
                      <w:sz w:val="20"/>
                      <w:szCs w:val="20"/>
                    </w:rPr>
                    <w:t>Performance management of the outsourced provider</w:t>
                  </w:r>
                </w:p>
                <w:p w:rsidR="009E028C" w:rsidRPr="00FC1F44" w:rsidRDefault="009E028C" w:rsidP="00130717">
                  <w:pPr>
                    <w:spacing w:before="60" w:after="60"/>
                    <w:rPr>
                      <w:rFonts w:cs="Arial"/>
                      <w:sz w:val="20"/>
                      <w:szCs w:val="20"/>
                    </w:rPr>
                  </w:pPr>
                </w:p>
              </w:tc>
              <w:tc>
                <w:tcPr>
                  <w:tcW w:w="3652" w:type="dxa"/>
                  <w:shd w:val="clear" w:color="auto" w:fill="C6D9F1" w:themeFill="text2" w:themeFillTint="33"/>
                  <w:tcMar>
                    <w:top w:w="57" w:type="dxa"/>
                    <w:left w:w="57" w:type="dxa"/>
                    <w:bottom w:w="57" w:type="dxa"/>
                    <w:right w:w="57" w:type="dxa"/>
                  </w:tcMar>
                </w:tcPr>
                <w:p w:rsidR="009E028C" w:rsidRPr="00FC1F44" w:rsidRDefault="009E028C" w:rsidP="00130717">
                  <w:pPr>
                    <w:pStyle w:val="ListParagraph"/>
                    <w:numPr>
                      <w:ilvl w:val="0"/>
                      <w:numId w:val="8"/>
                    </w:numPr>
                    <w:spacing w:before="60" w:after="60"/>
                    <w:ind w:left="332" w:hanging="332"/>
                    <w:rPr>
                      <w:rFonts w:cs="Arial"/>
                      <w:sz w:val="20"/>
                      <w:szCs w:val="20"/>
                    </w:rPr>
                  </w:pPr>
                  <w:r w:rsidRPr="00FC1F44">
                    <w:rPr>
                      <w:rFonts w:cs="Arial"/>
                      <w:sz w:val="20"/>
                      <w:szCs w:val="20"/>
                    </w:rPr>
                    <w:t>Ensure robust governance arrangements are agreed and followed; provision of Key Performance Indicators (KPIs); route for escalating issues</w:t>
                  </w:r>
                </w:p>
              </w:tc>
            </w:tr>
          </w:tbl>
          <w:p w:rsidR="00EB2C13" w:rsidRDefault="00EB2C13" w:rsidP="009132B5">
            <w:pPr>
              <w:pStyle w:val="SPSTitle"/>
              <w:spacing w:before="60" w:after="60"/>
              <w:rPr>
                <w:b w:val="0"/>
                <w:color w:val="auto"/>
                <w:sz w:val="20"/>
                <w:szCs w:val="20"/>
              </w:rPr>
            </w:pPr>
          </w:p>
          <w:p w:rsidR="00C7284B" w:rsidRPr="00F76790" w:rsidRDefault="00C7284B" w:rsidP="009132B5">
            <w:pPr>
              <w:pStyle w:val="SPSTitle"/>
              <w:spacing w:before="60" w:after="60"/>
              <w:rPr>
                <w:b w:val="0"/>
                <w:color w:val="auto"/>
                <w:sz w:val="20"/>
                <w:szCs w:val="20"/>
              </w:rPr>
            </w:pPr>
          </w:p>
        </w:tc>
      </w:tr>
      <w:tr w:rsidR="006A6EFD" w:rsidTr="00B93430">
        <w:trPr>
          <w:gridBefore w:val="1"/>
          <w:wBefore w:w="73" w:type="dxa"/>
          <w:jc w:val="center"/>
        </w:trPr>
        <w:tc>
          <w:tcPr>
            <w:tcW w:w="10609" w:type="dxa"/>
            <w:tcBorders>
              <w:top w:val="single" w:sz="6" w:space="0" w:color="0070C0"/>
            </w:tcBorders>
            <w:shd w:val="clear" w:color="auto" w:fill="0072C6"/>
          </w:tcPr>
          <w:p w:rsidR="006A6EFD" w:rsidRPr="004606B0" w:rsidRDefault="00341B4D" w:rsidP="009132B5">
            <w:pPr>
              <w:pStyle w:val="SPSTitle"/>
              <w:spacing w:before="60" w:after="60"/>
              <w:contextualSpacing/>
              <w:rPr>
                <w:color w:val="auto"/>
                <w:sz w:val="22"/>
                <w:szCs w:val="22"/>
              </w:rPr>
            </w:pPr>
            <w:r w:rsidRPr="004606B0">
              <w:rPr>
                <w:color w:val="FFFFFF" w:themeColor="background1"/>
                <w:sz w:val="22"/>
                <w:szCs w:val="22"/>
              </w:rPr>
              <w:lastRenderedPageBreak/>
              <w:t>Key points</w:t>
            </w:r>
          </w:p>
        </w:tc>
      </w:tr>
    </w:tbl>
    <w:p w:rsidR="00E002EB" w:rsidRPr="00FC1F44" w:rsidRDefault="00E002EB" w:rsidP="00E002EB">
      <w:pPr>
        <w:pStyle w:val="SPSTitle"/>
        <w:spacing w:before="60" w:after="60"/>
        <w:contextualSpacing/>
        <w:rPr>
          <w:b w:val="0"/>
          <w:color w:val="auto"/>
          <w:sz w:val="20"/>
          <w:szCs w:val="20"/>
        </w:rPr>
      </w:pPr>
    </w:p>
    <w:p w:rsidR="00E002EB" w:rsidRPr="006A6CC0" w:rsidRDefault="00E002EB" w:rsidP="006A6CC0">
      <w:pPr>
        <w:pStyle w:val="ListParagraph"/>
        <w:numPr>
          <w:ilvl w:val="0"/>
          <w:numId w:val="24"/>
        </w:numPr>
        <w:spacing w:before="60" w:after="60"/>
        <w:ind w:left="1077" w:hanging="357"/>
        <w:contextualSpacing w:val="0"/>
        <w:rPr>
          <w:rFonts w:eastAsiaTheme="minorHAnsi" w:cs="Arial"/>
          <w:sz w:val="20"/>
          <w:szCs w:val="20"/>
        </w:rPr>
      </w:pPr>
      <w:r w:rsidRPr="006A6CC0">
        <w:rPr>
          <w:rFonts w:eastAsiaTheme="minorHAnsi" w:cs="Arial"/>
          <w:sz w:val="20"/>
          <w:szCs w:val="20"/>
        </w:rPr>
        <w:t>Patients should be involved in discussions regarding the best supply route for them, thus supporting patient choice</w:t>
      </w:r>
    </w:p>
    <w:p w:rsidR="00E002EB" w:rsidRPr="006A6CC0" w:rsidRDefault="00E002EB" w:rsidP="006A6CC0">
      <w:pPr>
        <w:pStyle w:val="ListParagraph"/>
        <w:numPr>
          <w:ilvl w:val="0"/>
          <w:numId w:val="24"/>
        </w:numPr>
        <w:spacing w:before="60" w:after="60"/>
        <w:ind w:left="1077" w:hanging="357"/>
        <w:contextualSpacing w:val="0"/>
        <w:rPr>
          <w:rFonts w:eastAsiaTheme="minorHAnsi" w:cs="Arial"/>
          <w:sz w:val="20"/>
          <w:szCs w:val="20"/>
        </w:rPr>
      </w:pPr>
      <w:r w:rsidRPr="006A6CC0">
        <w:rPr>
          <w:rFonts w:eastAsiaTheme="minorHAnsi" w:cs="Arial"/>
          <w:sz w:val="20"/>
          <w:szCs w:val="20"/>
        </w:rPr>
        <w:t xml:space="preserve">Not all outsourced routes will be suitable for all patients. In line with the Carter </w:t>
      </w:r>
      <w:r w:rsidR="0009535F" w:rsidRPr="006A6CC0">
        <w:rPr>
          <w:rFonts w:eastAsiaTheme="minorHAnsi" w:cs="Arial"/>
          <w:sz w:val="20"/>
          <w:szCs w:val="20"/>
        </w:rPr>
        <w:t>R</w:t>
      </w:r>
      <w:r w:rsidRPr="006A6CC0">
        <w:rPr>
          <w:rFonts w:eastAsiaTheme="minorHAnsi" w:cs="Arial"/>
          <w:sz w:val="20"/>
          <w:szCs w:val="20"/>
        </w:rPr>
        <w:t>eport trusts should review their out-patient dispensing services with a view to providing supply of medicines by an appropriate cost-effective route; patient engagement in developing out-patient dispensing services is recommended</w:t>
      </w:r>
    </w:p>
    <w:p w:rsidR="00E002EB" w:rsidRPr="006A6CC0" w:rsidRDefault="00E002EB" w:rsidP="006A6CC0">
      <w:pPr>
        <w:pStyle w:val="ListParagraph"/>
        <w:numPr>
          <w:ilvl w:val="0"/>
          <w:numId w:val="24"/>
        </w:numPr>
        <w:spacing w:before="60" w:after="60"/>
        <w:ind w:left="1077" w:hanging="357"/>
        <w:contextualSpacing w:val="0"/>
        <w:rPr>
          <w:rFonts w:eastAsiaTheme="minorHAnsi" w:cs="Arial"/>
          <w:sz w:val="20"/>
          <w:szCs w:val="20"/>
        </w:rPr>
      </w:pPr>
      <w:r w:rsidRPr="006A6CC0">
        <w:rPr>
          <w:rFonts w:eastAsiaTheme="minorHAnsi" w:cs="Arial"/>
          <w:sz w:val="20"/>
          <w:szCs w:val="20"/>
        </w:rPr>
        <w:t>The guiding principles apply to all medicines supplied to a patient, including those that are considered within tariff and those which are excluded from Payment by Results, regardless of who commissions the treatment</w:t>
      </w:r>
    </w:p>
    <w:p w:rsidR="00E002EB" w:rsidRPr="006A6CC0" w:rsidRDefault="00E002EB" w:rsidP="006A6CC0">
      <w:pPr>
        <w:pStyle w:val="ListParagraph"/>
        <w:numPr>
          <w:ilvl w:val="0"/>
          <w:numId w:val="24"/>
        </w:numPr>
        <w:spacing w:before="60" w:after="60"/>
        <w:ind w:left="1077" w:hanging="357"/>
        <w:contextualSpacing w:val="0"/>
        <w:rPr>
          <w:rFonts w:eastAsiaTheme="minorHAnsi" w:cs="Arial"/>
          <w:sz w:val="20"/>
          <w:szCs w:val="20"/>
        </w:rPr>
      </w:pPr>
      <w:r w:rsidRPr="006A6CC0">
        <w:rPr>
          <w:rFonts w:eastAsiaTheme="minorHAnsi" w:cs="Arial"/>
          <w:sz w:val="20"/>
          <w:szCs w:val="20"/>
        </w:rPr>
        <w:t>Early and effective engagement with commissioners is required to discuss routes available and appropriateness of each route</w:t>
      </w:r>
    </w:p>
    <w:p w:rsidR="00E002EB" w:rsidRPr="006A6CC0" w:rsidRDefault="00E002EB" w:rsidP="006A6CC0">
      <w:pPr>
        <w:pStyle w:val="ListParagraph"/>
        <w:numPr>
          <w:ilvl w:val="0"/>
          <w:numId w:val="24"/>
        </w:numPr>
        <w:spacing w:before="60" w:after="60"/>
        <w:ind w:left="1077" w:hanging="357"/>
        <w:contextualSpacing w:val="0"/>
        <w:rPr>
          <w:rFonts w:eastAsiaTheme="minorHAnsi" w:cs="Arial"/>
          <w:sz w:val="20"/>
          <w:szCs w:val="20"/>
        </w:rPr>
      </w:pPr>
      <w:r w:rsidRPr="006A6CC0">
        <w:rPr>
          <w:rFonts w:eastAsiaTheme="minorHAnsi" w:cs="Arial"/>
          <w:sz w:val="20"/>
          <w:szCs w:val="20"/>
        </w:rPr>
        <w:lastRenderedPageBreak/>
        <w:t>Whichever supply route is used should provide access to pharmaceutical advice as required by patients at a time and venue appropriate to the patient needs</w:t>
      </w:r>
    </w:p>
    <w:p w:rsidR="00E002EB" w:rsidRPr="006A6CC0" w:rsidRDefault="0009535F" w:rsidP="006A6CC0">
      <w:pPr>
        <w:pStyle w:val="ListParagraph"/>
        <w:numPr>
          <w:ilvl w:val="0"/>
          <w:numId w:val="24"/>
        </w:numPr>
        <w:spacing w:before="60" w:after="60"/>
        <w:ind w:left="1077" w:hanging="357"/>
        <w:contextualSpacing w:val="0"/>
        <w:rPr>
          <w:rFonts w:eastAsiaTheme="minorHAnsi" w:cs="Arial"/>
          <w:sz w:val="20"/>
          <w:szCs w:val="20"/>
        </w:rPr>
      </w:pPr>
      <w:r w:rsidRPr="006A6CC0">
        <w:rPr>
          <w:rFonts w:eastAsiaTheme="minorHAnsi" w:cs="Arial"/>
          <w:sz w:val="20"/>
          <w:szCs w:val="20"/>
        </w:rPr>
        <w:t>The originating t</w:t>
      </w:r>
      <w:r w:rsidR="00E002EB" w:rsidRPr="006A6CC0">
        <w:rPr>
          <w:rFonts w:eastAsiaTheme="minorHAnsi" w:cs="Arial"/>
          <w:sz w:val="20"/>
          <w:szCs w:val="20"/>
        </w:rPr>
        <w:t>rust always retains overall responsibility but key governance arrangements must be in place</w:t>
      </w:r>
    </w:p>
    <w:p w:rsidR="00E002EB" w:rsidRPr="006A6CC0" w:rsidRDefault="00E002EB" w:rsidP="006A6CC0">
      <w:pPr>
        <w:pStyle w:val="ListParagraph"/>
        <w:numPr>
          <w:ilvl w:val="0"/>
          <w:numId w:val="24"/>
        </w:numPr>
        <w:spacing w:before="60" w:after="60"/>
        <w:ind w:left="1077" w:hanging="357"/>
        <w:contextualSpacing w:val="0"/>
        <w:rPr>
          <w:rFonts w:eastAsiaTheme="minorHAnsi" w:cs="Arial"/>
          <w:sz w:val="20"/>
          <w:szCs w:val="20"/>
        </w:rPr>
      </w:pPr>
      <w:r w:rsidRPr="006A6CC0">
        <w:rPr>
          <w:rFonts w:eastAsiaTheme="minorHAnsi" w:cs="Arial"/>
          <w:sz w:val="20"/>
          <w:szCs w:val="20"/>
        </w:rPr>
        <w:t xml:space="preserve">Usage data for all medicines supplied, regardless of supply route, should be captured for inclusion in </w:t>
      </w:r>
      <w:proofErr w:type="spellStart"/>
      <w:r w:rsidRPr="006A6CC0">
        <w:rPr>
          <w:rFonts w:eastAsiaTheme="minorHAnsi" w:cs="Arial"/>
          <w:sz w:val="20"/>
          <w:szCs w:val="20"/>
        </w:rPr>
        <w:t>Pharmex</w:t>
      </w:r>
      <w:proofErr w:type="spellEnd"/>
    </w:p>
    <w:p w:rsidR="00E002EB" w:rsidRPr="006A6CC0" w:rsidRDefault="00E002EB" w:rsidP="006A6CC0">
      <w:pPr>
        <w:pStyle w:val="ListParagraph"/>
        <w:numPr>
          <w:ilvl w:val="0"/>
          <w:numId w:val="24"/>
        </w:numPr>
        <w:spacing w:before="60" w:after="60"/>
        <w:ind w:left="1077" w:hanging="357"/>
        <w:contextualSpacing w:val="0"/>
        <w:rPr>
          <w:rFonts w:eastAsiaTheme="minorHAnsi" w:cs="Arial"/>
          <w:sz w:val="20"/>
          <w:szCs w:val="20"/>
        </w:rPr>
      </w:pPr>
      <w:r w:rsidRPr="006A6CC0">
        <w:rPr>
          <w:rFonts w:eastAsiaTheme="minorHAnsi" w:cs="Arial"/>
          <w:sz w:val="20"/>
          <w:szCs w:val="20"/>
        </w:rPr>
        <w:t>There is an opportunity to work more collaboratively across geographical areas, including at STP level, regional level and nationally, to reduce duplication of effort, share best practice and learn from others’ experiences</w:t>
      </w:r>
    </w:p>
    <w:p w:rsidR="00E002EB" w:rsidRPr="006A6CC0" w:rsidRDefault="00E002EB" w:rsidP="006A6CC0">
      <w:pPr>
        <w:pStyle w:val="ListParagraph"/>
        <w:numPr>
          <w:ilvl w:val="0"/>
          <w:numId w:val="24"/>
        </w:numPr>
        <w:spacing w:before="60" w:after="60"/>
        <w:ind w:left="1077" w:hanging="357"/>
        <w:contextualSpacing w:val="0"/>
        <w:rPr>
          <w:rFonts w:eastAsiaTheme="minorHAnsi" w:cs="Arial"/>
          <w:sz w:val="20"/>
          <w:szCs w:val="20"/>
        </w:rPr>
      </w:pPr>
      <w:r w:rsidRPr="006A6CC0">
        <w:rPr>
          <w:rFonts w:eastAsiaTheme="minorHAnsi" w:cs="Arial"/>
          <w:sz w:val="20"/>
          <w:szCs w:val="20"/>
        </w:rPr>
        <w:t>Collaboration between key stakeholders nationally, such as NHS Digital, will support impr</w:t>
      </w:r>
      <w:r w:rsidR="0009535F" w:rsidRPr="006A6CC0">
        <w:rPr>
          <w:rFonts w:eastAsiaTheme="minorHAnsi" w:cs="Arial"/>
          <w:sz w:val="20"/>
          <w:szCs w:val="20"/>
        </w:rPr>
        <w:t>oved IT system compatibility</w:t>
      </w:r>
    </w:p>
    <w:p w:rsidR="00E002EB" w:rsidRPr="006A6CC0" w:rsidRDefault="00E002EB" w:rsidP="006A6CC0">
      <w:pPr>
        <w:pStyle w:val="ListParagraph"/>
        <w:numPr>
          <w:ilvl w:val="0"/>
          <w:numId w:val="24"/>
        </w:numPr>
        <w:spacing w:before="60" w:after="60"/>
        <w:ind w:left="1077" w:hanging="357"/>
        <w:contextualSpacing w:val="0"/>
        <w:rPr>
          <w:rFonts w:eastAsiaTheme="minorHAnsi" w:cs="Arial"/>
          <w:sz w:val="20"/>
          <w:szCs w:val="20"/>
        </w:rPr>
      </w:pPr>
      <w:r w:rsidRPr="006A6CC0">
        <w:rPr>
          <w:rFonts w:eastAsiaTheme="minorHAnsi" w:cs="Arial"/>
          <w:sz w:val="20"/>
          <w:szCs w:val="20"/>
        </w:rPr>
        <w:t>Systems should be in place to reduce the risk of waste of medicines</w:t>
      </w:r>
    </w:p>
    <w:p w:rsidR="00E002EB" w:rsidRPr="006A6CC0" w:rsidRDefault="00E002EB" w:rsidP="006A6CC0">
      <w:pPr>
        <w:pStyle w:val="ListParagraph"/>
        <w:numPr>
          <w:ilvl w:val="0"/>
          <w:numId w:val="24"/>
        </w:numPr>
        <w:spacing w:before="60" w:after="60"/>
        <w:ind w:left="1077" w:hanging="357"/>
        <w:contextualSpacing w:val="0"/>
        <w:rPr>
          <w:rFonts w:eastAsiaTheme="minorHAnsi" w:cs="Arial"/>
          <w:sz w:val="20"/>
          <w:szCs w:val="20"/>
        </w:rPr>
      </w:pPr>
      <w:r w:rsidRPr="006A6CC0">
        <w:rPr>
          <w:rFonts w:eastAsiaTheme="minorHAnsi" w:cs="Arial"/>
          <w:sz w:val="20"/>
          <w:szCs w:val="20"/>
        </w:rPr>
        <w:t>Performance metrics must be monitored on an ongoing basis to provide the assurance of the quality of the service, particularly in the context of patient safety and patient experience</w:t>
      </w:r>
    </w:p>
    <w:p w:rsidR="00E002EB" w:rsidRPr="006A6CC0" w:rsidRDefault="00E002EB" w:rsidP="006A6CC0">
      <w:pPr>
        <w:pStyle w:val="ListParagraph"/>
        <w:numPr>
          <w:ilvl w:val="0"/>
          <w:numId w:val="24"/>
        </w:numPr>
        <w:spacing w:before="60" w:after="60"/>
        <w:ind w:left="1077" w:hanging="357"/>
        <w:contextualSpacing w:val="0"/>
        <w:rPr>
          <w:rFonts w:eastAsiaTheme="minorHAnsi" w:cs="Arial"/>
          <w:sz w:val="20"/>
          <w:szCs w:val="20"/>
        </w:rPr>
      </w:pPr>
      <w:r w:rsidRPr="006A6CC0">
        <w:rPr>
          <w:rFonts w:eastAsiaTheme="minorHAnsi" w:cs="Arial"/>
          <w:sz w:val="20"/>
          <w:szCs w:val="20"/>
        </w:rPr>
        <w:t>Processes must be in place to ensure that communication channels between all key stakeholders operate effectively</w:t>
      </w:r>
    </w:p>
    <w:p w:rsidR="00E002EB" w:rsidRPr="006A6CC0" w:rsidRDefault="00E002EB" w:rsidP="006A6CC0">
      <w:pPr>
        <w:pStyle w:val="ListParagraph"/>
        <w:numPr>
          <w:ilvl w:val="0"/>
          <w:numId w:val="24"/>
        </w:numPr>
        <w:spacing w:before="60" w:after="60"/>
        <w:ind w:left="1077" w:hanging="357"/>
        <w:contextualSpacing w:val="0"/>
        <w:rPr>
          <w:rFonts w:eastAsiaTheme="minorHAnsi" w:cs="Arial"/>
          <w:sz w:val="20"/>
          <w:szCs w:val="20"/>
        </w:rPr>
      </w:pPr>
      <w:r w:rsidRPr="006A6CC0">
        <w:rPr>
          <w:rFonts w:eastAsiaTheme="minorHAnsi" w:cs="Arial"/>
          <w:sz w:val="20"/>
          <w:szCs w:val="20"/>
        </w:rPr>
        <w:t>Ensure clarity and ease of access for patients</w:t>
      </w:r>
    </w:p>
    <w:p w:rsidR="00E002EB" w:rsidRDefault="00E002EB" w:rsidP="00E002EB">
      <w:pPr>
        <w:ind w:firstLine="720"/>
      </w:pPr>
    </w:p>
    <w:p w:rsidR="00E002EB" w:rsidRPr="004606B0" w:rsidRDefault="00E002EB" w:rsidP="00E002EB">
      <w:pPr>
        <w:pStyle w:val="SPSTitle"/>
        <w:shd w:val="clear" w:color="auto" w:fill="0070C0"/>
        <w:spacing w:before="60" w:after="60"/>
        <w:contextualSpacing/>
        <w:rPr>
          <w:color w:val="auto"/>
          <w:sz w:val="22"/>
          <w:szCs w:val="22"/>
        </w:rPr>
      </w:pPr>
      <w:r w:rsidRPr="004606B0">
        <w:rPr>
          <w:color w:val="FFFFFF" w:themeColor="background1"/>
          <w:sz w:val="22"/>
          <w:szCs w:val="22"/>
        </w:rPr>
        <w:t>Action required</w:t>
      </w:r>
    </w:p>
    <w:p w:rsidR="00E002EB" w:rsidRDefault="00E002EB" w:rsidP="00E002EB">
      <w:pPr>
        <w:ind w:firstLine="720"/>
      </w:pPr>
    </w:p>
    <w:p w:rsidR="00E002EB" w:rsidRPr="00FC1F44" w:rsidRDefault="00E002EB" w:rsidP="00E002EB">
      <w:pPr>
        <w:spacing w:before="60" w:after="60"/>
        <w:rPr>
          <w:rFonts w:eastAsiaTheme="minorHAnsi" w:cs="Arial"/>
          <w:sz w:val="20"/>
          <w:szCs w:val="20"/>
        </w:rPr>
      </w:pPr>
      <w:r w:rsidRPr="00D64C49">
        <w:rPr>
          <w:rFonts w:eastAsiaTheme="minorHAnsi" w:cs="Arial"/>
          <w:b/>
          <w:sz w:val="20"/>
          <w:szCs w:val="20"/>
        </w:rPr>
        <w:t>Acute providers</w:t>
      </w:r>
      <w:r w:rsidRPr="00FC1F44">
        <w:rPr>
          <w:rFonts w:eastAsiaTheme="minorHAnsi" w:cs="Arial"/>
          <w:sz w:val="20"/>
          <w:szCs w:val="20"/>
        </w:rPr>
        <w:t xml:space="preserve"> – chief pharmacists, homecare leads</w:t>
      </w:r>
      <w:r w:rsidR="006A6CC0">
        <w:rPr>
          <w:rFonts w:eastAsiaTheme="minorHAnsi" w:cs="Arial"/>
          <w:sz w:val="20"/>
          <w:szCs w:val="20"/>
        </w:rPr>
        <w:t>, out-patient contract managers</w:t>
      </w:r>
    </w:p>
    <w:p w:rsidR="00E002EB" w:rsidRPr="00FC1F44" w:rsidRDefault="00E002EB" w:rsidP="00E002EB">
      <w:pPr>
        <w:spacing w:before="60" w:after="60"/>
        <w:rPr>
          <w:rFonts w:eastAsiaTheme="minorHAnsi" w:cs="Arial"/>
          <w:sz w:val="20"/>
          <w:szCs w:val="20"/>
        </w:rPr>
      </w:pPr>
    </w:p>
    <w:p w:rsidR="00E002EB" w:rsidRPr="006A6CC0" w:rsidRDefault="00E002EB" w:rsidP="00A814E4">
      <w:pPr>
        <w:pStyle w:val="ListParagraph"/>
        <w:numPr>
          <w:ilvl w:val="0"/>
          <w:numId w:val="23"/>
        </w:numPr>
        <w:spacing w:before="60" w:after="60"/>
        <w:ind w:left="1077" w:hanging="357"/>
        <w:contextualSpacing w:val="0"/>
        <w:rPr>
          <w:rFonts w:eastAsiaTheme="minorHAnsi" w:cs="Arial"/>
          <w:sz w:val="20"/>
          <w:szCs w:val="20"/>
        </w:rPr>
      </w:pPr>
      <w:r w:rsidRPr="006A6CC0">
        <w:rPr>
          <w:rFonts w:eastAsiaTheme="minorHAnsi" w:cs="Arial"/>
          <w:sz w:val="20"/>
          <w:szCs w:val="20"/>
        </w:rPr>
        <w:t>Consider current and future outsourced arrangements within the trust and ensure HPTP plan is in place for improving productivity and efficiency, including consideration of alternative supply routes, such as homecare providers or community pharmacies</w:t>
      </w:r>
    </w:p>
    <w:p w:rsidR="00E002EB" w:rsidRPr="006A6CC0" w:rsidRDefault="00E002EB" w:rsidP="00A814E4">
      <w:pPr>
        <w:pStyle w:val="ListParagraph"/>
        <w:numPr>
          <w:ilvl w:val="0"/>
          <w:numId w:val="23"/>
        </w:numPr>
        <w:spacing w:before="60" w:after="60"/>
        <w:ind w:left="1077" w:hanging="357"/>
        <w:contextualSpacing w:val="0"/>
        <w:rPr>
          <w:rFonts w:eastAsiaTheme="minorHAnsi" w:cs="Arial"/>
          <w:sz w:val="20"/>
          <w:szCs w:val="20"/>
        </w:rPr>
      </w:pPr>
      <w:r w:rsidRPr="006A6CC0">
        <w:rPr>
          <w:rFonts w:eastAsiaTheme="minorHAnsi" w:cs="Arial"/>
          <w:sz w:val="20"/>
          <w:szCs w:val="20"/>
        </w:rPr>
        <w:t>Review current supply routes for medicines in line with above guiding principles  to ensure that arrangements are fit for purpose and provide value for money</w:t>
      </w:r>
    </w:p>
    <w:p w:rsidR="00E002EB" w:rsidRPr="006A6CC0" w:rsidRDefault="00E002EB" w:rsidP="00A814E4">
      <w:pPr>
        <w:pStyle w:val="ListParagraph"/>
        <w:numPr>
          <w:ilvl w:val="0"/>
          <w:numId w:val="23"/>
        </w:numPr>
        <w:spacing w:before="60" w:after="60"/>
        <w:ind w:left="1077" w:hanging="357"/>
        <w:contextualSpacing w:val="0"/>
        <w:jc w:val="both"/>
        <w:rPr>
          <w:rFonts w:eastAsiaTheme="minorHAnsi" w:cs="Arial"/>
          <w:sz w:val="20"/>
          <w:szCs w:val="20"/>
        </w:rPr>
      </w:pPr>
      <w:r w:rsidRPr="006A6CC0">
        <w:rPr>
          <w:rFonts w:eastAsiaTheme="minorHAnsi" w:cs="Arial"/>
          <w:sz w:val="20"/>
          <w:szCs w:val="20"/>
        </w:rPr>
        <w:t>Ensure that systems are in place to promote patient engagement such that the right route is used to supply the right medicine at the right time</w:t>
      </w:r>
    </w:p>
    <w:p w:rsidR="00E002EB" w:rsidRPr="006A6CC0" w:rsidRDefault="00E002EB" w:rsidP="006A6CC0">
      <w:pPr>
        <w:pStyle w:val="ListParagraph"/>
        <w:numPr>
          <w:ilvl w:val="0"/>
          <w:numId w:val="23"/>
        </w:numPr>
        <w:spacing w:before="60" w:after="60"/>
        <w:ind w:left="1077" w:hanging="357"/>
        <w:contextualSpacing w:val="0"/>
        <w:rPr>
          <w:rFonts w:eastAsiaTheme="minorHAnsi" w:cs="Arial"/>
          <w:sz w:val="20"/>
          <w:szCs w:val="20"/>
        </w:rPr>
      </w:pPr>
      <w:r w:rsidRPr="006A6CC0">
        <w:rPr>
          <w:rFonts w:eastAsiaTheme="minorHAnsi" w:cs="Arial"/>
          <w:sz w:val="20"/>
          <w:szCs w:val="20"/>
        </w:rPr>
        <w:t xml:space="preserve">Discuss outsourced arrangements with relevant commissioners </w:t>
      </w:r>
    </w:p>
    <w:p w:rsidR="00E002EB" w:rsidRPr="006A6CC0" w:rsidRDefault="00E002EB" w:rsidP="006A6CC0">
      <w:pPr>
        <w:pStyle w:val="ListParagraph"/>
        <w:numPr>
          <w:ilvl w:val="0"/>
          <w:numId w:val="23"/>
        </w:numPr>
        <w:spacing w:before="60" w:after="60"/>
        <w:ind w:left="1077" w:hanging="357"/>
        <w:contextualSpacing w:val="0"/>
        <w:rPr>
          <w:rFonts w:eastAsiaTheme="minorHAnsi" w:cs="Arial"/>
          <w:sz w:val="20"/>
          <w:szCs w:val="20"/>
        </w:rPr>
      </w:pPr>
      <w:r w:rsidRPr="006A6CC0">
        <w:rPr>
          <w:rFonts w:eastAsiaTheme="minorHAnsi" w:cs="Arial"/>
          <w:sz w:val="20"/>
          <w:szCs w:val="20"/>
        </w:rPr>
        <w:t>Contact regional leads where available for advice and support; improve collaborative working</w:t>
      </w:r>
    </w:p>
    <w:p w:rsidR="00E002EB" w:rsidRPr="006A6CC0" w:rsidRDefault="00E002EB" w:rsidP="006A6CC0">
      <w:pPr>
        <w:pStyle w:val="ListParagraph"/>
        <w:numPr>
          <w:ilvl w:val="0"/>
          <w:numId w:val="23"/>
        </w:numPr>
        <w:spacing w:before="60" w:after="60"/>
        <w:ind w:left="1077" w:hanging="357"/>
        <w:contextualSpacing w:val="0"/>
        <w:rPr>
          <w:rFonts w:eastAsiaTheme="minorHAnsi" w:cs="Arial"/>
          <w:sz w:val="20"/>
          <w:szCs w:val="20"/>
        </w:rPr>
      </w:pPr>
      <w:r w:rsidRPr="006A6CC0">
        <w:rPr>
          <w:rFonts w:eastAsiaTheme="minorHAnsi" w:cs="Arial"/>
          <w:sz w:val="20"/>
          <w:szCs w:val="20"/>
        </w:rPr>
        <w:t>Access resources as required to support development of future outsourced arrangement</w:t>
      </w:r>
    </w:p>
    <w:p w:rsidR="00E002EB" w:rsidRPr="006A6CC0" w:rsidRDefault="00E002EB" w:rsidP="006A6CC0">
      <w:pPr>
        <w:pStyle w:val="ListParagraph"/>
        <w:numPr>
          <w:ilvl w:val="0"/>
          <w:numId w:val="23"/>
        </w:numPr>
        <w:spacing w:before="60" w:after="60"/>
        <w:ind w:left="1077" w:hanging="357"/>
        <w:contextualSpacing w:val="0"/>
        <w:rPr>
          <w:rFonts w:eastAsiaTheme="minorHAnsi" w:cs="Arial"/>
          <w:sz w:val="20"/>
          <w:szCs w:val="20"/>
        </w:rPr>
      </w:pPr>
      <w:r w:rsidRPr="006A6CC0">
        <w:rPr>
          <w:rFonts w:eastAsiaTheme="minorHAnsi" w:cs="Arial"/>
          <w:sz w:val="20"/>
          <w:szCs w:val="20"/>
        </w:rPr>
        <w:t>Embed effective performance management systems from the outset</w:t>
      </w:r>
      <w:r w:rsidRPr="006A6CC0">
        <w:rPr>
          <w:rFonts w:eastAsiaTheme="minorHAnsi" w:cs="Arial"/>
          <w:sz w:val="20"/>
          <w:szCs w:val="20"/>
        </w:rPr>
        <w:br/>
      </w:r>
    </w:p>
    <w:p w:rsidR="00E002EB" w:rsidRPr="00D64C49" w:rsidRDefault="00E002EB" w:rsidP="00E002EB">
      <w:pPr>
        <w:spacing w:before="60" w:after="60"/>
        <w:rPr>
          <w:rFonts w:eastAsiaTheme="minorHAnsi" w:cs="Arial"/>
          <w:b/>
          <w:sz w:val="20"/>
          <w:szCs w:val="20"/>
        </w:rPr>
      </w:pPr>
      <w:r w:rsidRPr="00D64C49">
        <w:rPr>
          <w:rFonts w:eastAsiaTheme="minorHAnsi" w:cs="Arial"/>
          <w:b/>
          <w:sz w:val="20"/>
          <w:szCs w:val="20"/>
        </w:rPr>
        <w:t>Specialised commissioning hub pharmacists</w:t>
      </w:r>
      <w:r w:rsidRPr="00D64C49">
        <w:rPr>
          <w:rFonts w:eastAsiaTheme="minorHAnsi" w:cs="Arial"/>
          <w:b/>
          <w:sz w:val="20"/>
          <w:szCs w:val="20"/>
        </w:rPr>
        <w:br/>
      </w:r>
    </w:p>
    <w:p w:rsidR="00E002EB" w:rsidRPr="006A6CC0" w:rsidRDefault="00E002EB" w:rsidP="006A6CC0">
      <w:pPr>
        <w:pStyle w:val="ListParagraph"/>
        <w:numPr>
          <w:ilvl w:val="0"/>
          <w:numId w:val="25"/>
        </w:numPr>
        <w:spacing w:before="60" w:after="60"/>
        <w:ind w:left="1077" w:hanging="357"/>
        <w:contextualSpacing w:val="0"/>
        <w:rPr>
          <w:rFonts w:eastAsiaTheme="minorHAnsi" w:cs="Arial"/>
          <w:sz w:val="20"/>
          <w:szCs w:val="20"/>
        </w:rPr>
      </w:pPr>
      <w:r w:rsidRPr="006A6CC0">
        <w:rPr>
          <w:rFonts w:eastAsiaTheme="minorHAnsi" w:cs="Arial"/>
          <w:sz w:val="20"/>
          <w:szCs w:val="20"/>
        </w:rPr>
        <w:t>Agree plans for outsourced arrangements with acute trusts (in support of a local service development improvement plan)</w:t>
      </w:r>
    </w:p>
    <w:p w:rsidR="00E002EB" w:rsidRPr="006A6CC0" w:rsidRDefault="00E002EB" w:rsidP="006A6CC0">
      <w:pPr>
        <w:pStyle w:val="ListParagraph"/>
        <w:numPr>
          <w:ilvl w:val="0"/>
          <w:numId w:val="25"/>
        </w:numPr>
        <w:spacing w:before="60" w:after="60"/>
        <w:ind w:left="1077" w:hanging="357"/>
        <w:contextualSpacing w:val="0"/>
        <w:rPr>
          <w:rFonts w:eastAsiaTheme="minorHAnsi" w:cs="Arial"/>
          <w:sz w:val="20"/>
          <w:szCs w:val="20"/>
        </w:rPr>
      </w:pPr>
      <w:r w:rsidRPr="006A6CC0">
        <w:rPr>
          <w:rFonts w:eastAsiaTheme="minorHAnsi" w:cs="Arial"/>
          <w:sz w:val="20"/>
          <w:szCs w:val="20"/>
        </w:rPr>
        <w:t>Seek assurance that acute trusts have reviewed current and future arrangements in line with the guiding principles above</w:t>
      </w:r>
    </w:p>
    <w:p w:rsidR="00E002EB" w:rsidRDefault="00E002EB" w:rsidP="0076089E">
      <w:pPr>
        <w:pStyle w:val="ListParagraph"/>
        <w:numPr>
          <w:ilvl w:val="0"/>
          <w:numId w:val="25"/>
        </w:numPr>
        <w:spacing w:before="60" w:after="60"/>
        <w:ind w:left="1134" w:hanging="425"/>
        <w:contextualSpacing w:val="0"/>
      </w:pPr>
      <w:r w:rsidRPr="0076089E">
        <w:rPr>
          <w:rFonts w:eastAsiaTheme="minorHAnsi" w:cs="Arial"/>
          <w:sz w:val="20"/>
          <w:szCs w:val="20"/>
        </w:rPr>
        <w:t>Support collaborative working across trusts</w:t>
      </w:r>
      <w:r w:rsidR="00213AAD" w:rsidRPr="0076089E">
        <w:rPr>
          <w:rFonts w:eastAsiaTheme="minorHAnsi" w:cs="Arial"/>
          <w:sz w:val="20"/>
          <w:szCs w:val="20"/>
        </w:rPr>
        <w:t xml:space="preserve"> </w:t>
      </w:r>
      <w:r w:rsidRPr="0076089E">
        <w:rPr>
          <w:rFonts w:eastAsiaTheme="minorHAnsi" w:cs="Arial"/>
          <w:sz w:val="20"/>
          <w:szCs w:val="20"/>
        </w:rPr>
        <w:t>/</w:t>
      </w:r>
      <w:r w:rsidR="00213AAD" w:rsidRPr="0076089E">
        <w:rPr>
          <w:rFonts w:eastAsiaTheme="minorHAnsi" w:cs="Arial"/>
          <w:sz w:val="20"/>
          <w:szCs w:val="20"/>
        </w:rPr>
        <w:t xml:space="preserve"> </w:t>
      </w:r>
      <w:r w:rsidRPr="0076089E">
        <w:rPr>
          <w:rFonts w:eastAsiaTheme="minorHAnsi" w:cs="Arial"/>
          <w:sz w:val="20"/>
          <w:szCs w:val="20"/>
        </w:rPr>
        <w:t xml:space="preserve">geographies as required </w:t>
      </w:r>
    </w:p>
    <w:p w:rsidR="00E002EB" w:rsidRDefault="00E002EB" w:rsidP="00E002EB"/>
    <w:p w:rsidR="00A008FE" w:rsidRDefault="00A008FE" w:rsidP="00E002EB"/>
    <w:p w:rsidR="00CA7ACC" w:rsidRPr="00CA7ACC" w:rsidRDefault="00CA7ACC" w:rsidP="00CA7ACC">
      <w:pPr>
        <w:shd w:val="clear" w:color="auto" w:fill="0070C0"/>
        <w:rPr>
          <w:rFonts w:cs="Arial"/>
          <w:b/>
          <w:color w:val="FFFFFF" w:themeColor="background1"/>
          <w:sz w:val="22"/>
          <w:szCs w:val="22"/>
        </w:rPr>
      </w:pPr>
      <w:r w:rsidRPr="00CA7ACC">
        <w:rPr>
          <w:rFonts w:cs="Arial"/>
          <w:b/>
          <w:color w:val="FFFFFF" w:themeColor="background1"/>
          <w:sz w:val="22"/>
          <w:szCs w:val="22"/>
        </w:rPr>
        <w:t>Acknowledgement</w:t>
      </w:r>
    </w:p>
    <w:p w:rsidR="00CA7ACC" w:rsidRDefault="00CA7ACC" w:rsidP="00E002EB">
      <w:pPr>
        <w:rPr>
          <w:rFonts w:cs="Arial"/>
          <w:b/>
          <w:sz w:val="20"/>
          <w:szCs w:val="20"/>
        </w:rPr>
      </w:pPr>
    </w:p>
    <w:p w:rsidR="00CA7ACC" w:rsidRPr="00CA7ACC" w:rsidRDefault="00CA7ACC" w:rsidP="00E002EB">
      <w:pPr>
        <w:rPr>
          <w:rFonts w:cs="Arial"/>
          <w:sz w:val="20"/>
          <w:szCs w:val="20"/>
        </w:rPr>
        <w:sectPr w:rsidR="00CA7ACC" w:rsidRPr="00CA7ACC" w:rsidSect="00802864">
          <w:headerReference w:type="default" r:id="rId14"/>
          <w:footerReference w:type="default" r:id="rId15"/>
          <w:headerReference w:type="first" r:id="rId16"/>
          <w:footerReference w:type="first" r:id="rId17"/>
          <w:type w:val="continuous"/>
          <w:pgSz w:w="11906" w:h="16838"/>
          <w:pgMar w:top="720" w:right="720" w:bottom="720" w:left="720" w:header="708" w:footer="340" w:gutter="0"/>
          <w:cols w:space="708"/>
          <w:titlePg/>
          <w:docGrid w:linePitch="360"/>
        </w:sectPr>
      </w:pPr>
      <w:r>
        <w:rPr>
          <w:rFonts w:cs="Arial"/>
          <w:sz w:val="20"/>
          <w:szCs w:val="20"/>
        </w:rPr>
        <w:t xml:space="preserve">This document was developed by a task and finish group of the Medicines Optimisation Clinical Reference Group. </w:t>
      </w:r>
      <w:r>
        <w:rPr>
          <w:rFonts w:cs="Arial"/>
          <w:sz w:val="20"/>
          <w:szCs w:val="20"/>
        </w:rPr>
        <w:br/>
        <w:t>All contributions are gratefully acknowledged.</w:t>
      </w:r>
    </w:p>
    <w:p w:rsidR="00DA64C4" w:rsidRDefault="00DA64C4" w:rsidP="00AC4C85">
      <w:pPr>
        <w:rPr>
          <w:sz w:val="2"/>
          <w:szCs w:val="2"/>
        </w:rPr>
      </w:pPr>
    </w:p>
    <w:p w:rsidR="00E002EB" w:rsidRDefault="00E002EB" w:rsidP="00AC4C85">
      <w:pPr>
        <w:rPr>
          <w:sz w:val="2"/>
          <w:szCs w:val="2"/>
        </w:rPr>
      </w:pPr>
    </w:p>
    <w:p w:rsidR="00E002EB" w:rsidRDefault="00E002EB" w:rsidP="00AC4C85">
      <w:pPr>
        <w:rPr>
          <w:sz w:val="2"/>
          <w:szCs w:val="2"/>
        </w:rPr>
      </w:pPr>
    </w:p>
    <w:p w:rsidR="00E002EB" w:rsidRDefault="00E002EB" w:rsidP="00AC4C85">
      <w:pPr>
        <w:rPr>
          <w:sz w:val="2"/>
          <w:szCs w:val="2"/>
        </w:rPr>
      </w:pPr>
    </w:p>
    <w:p w:rsidR="00E002EB" w:rsidRDefault="00E002EB" w:rsidP="00AC4C85">
      <w:pPr>
        <w:rPr>
          <w:sz w:val="2"/>
          <w:szCs w:val="2"/>
        </w:rPr>
      </w:pPr>
    </w:p>
    <w:p w:rsidR="00E002EB" w:rsidRDefault="00E002EB" w:rsidP="00AC4C85">
      <w:pPr>
        <w:rPr>
          <w:sz w:val="2"/>
          <w:szCs w:val="2"/>
        </w:rPr>
      </w:pPr>
    </w:p>
    <w:p w:rsidR="00DA64C4" w:rsidRDefault="00DA64C4" w:rsidP="00AC4C85">
      <w:pPr>
        <w:rPr>
          <w:sz w:val="2"/>
          <w:szCs w:val="2"/>
        </w:rPr>
      </w:pPr>
    </w:p>
    <w:p w:rsidR="00DA64C4" w:rsidRDefault="00DA64C4" w:rsidP="00AC4C85">
      <w:pPr>
        <w:rPr>
          <w:sz w:val="2"/>
          <w:szCs w:val="2"/>
        </w:rPr>
      </w:pPr>
    </w:p>
    <w:p w:rsidR="00DA64C4" w:rsidRDefault="00DA64C4" w:rsidP="00AC4C85">
      <w:pPr>
        <w:rPr>
          <w:sz w:val="2"/>
          <w:szCs w:val="2"/>
        </w:rPr>
      </w:pPr>
    </w:p>
    <w:p w:rsidR="00E002EB" w:rsidRPr="004606B0" w:rsidRDefault="00E002EB" w:rsidP="00E002EB">
      <w:pPr>
        <w:shd w:val="clear" w:color="auto" w:fill="0070C0"/>
        <w:tabs>
          <w:tab w:val="left" w:pos="9295"/>
        </w:tabs>
        <w:rPr>
          <w:i/>
          <w:color w:val="FFFFFF" w:themeColor="background1"/>
          <w:sz w:val="22"/>
          <w:szCs w:val="22"/>
        </w:rPr>
      </w:pPr>
      <w:r w:rsidRPr="004606B0">
        <w:rPr>
          <w:rFonts w:cs="Arial"/>
          <w:b/>
          <w:color w:val="FFFFFF" w:themeColor="background1"/>
          <w:sz w:val="22"/>
          <w:szCs w:val="22"/>
        </w:rPr>
        <w:t>Appendix 1: Service standards at supply route level</w:t>
      </w:r>
    </w:p>
    <w:p w:rsidR="00E002EB" w:rsidRDefault="00E002EB" w:rsidP="00FC6A40">
      <w:pPr>
        <w:tabs>
          <w:tab w:val="left" w:pos="9295"/>
        </w:tabs>
        <w:rPr>
          <w:i/>
        </w:rPr>
      </w:pPr>
    </w:p>
    <w:p w:rsidR="00E002EB" w:rsidRPr="00FC1F44" w:rsidRDefault="00E002EB" w:rsidP="00A814E4">
      <w:pPr>
        <w:spacing w:before="60" w:after="60"/>
        <w:jc w:val="both"/>
        <w:rPr>
          <w:rFonts w:eastAsiaTheme="minorHAnsi" w:cs="Arial"/>
          <w:sz w:val="20"/>
          <w:szCs w:val="20"/>
        </w:rPr>
      </w:pPr>
      <w:r w:rsidRPr="00FC1F44">
        <w:rPr>
          <w:rFonts w:eastAsiaTheme="minorHAnsi" w:cs="Arial"/>
          <w:sz w:val="20"/>
          <w:szCs w:val="20"/>
        </w:rPr>
        <w:t>This table compares some of the service standards that should be taken into account when considering the most appropriate route for the supply of medicines. Attributes for each service that may be considered as advantageous are highlighted in green text.</w:t>
      </w:r>
    </w:p>
    <w:p w:rsidR="00E002EB" w:rsidRPr="00E002EB" w:rsidRDefault="00E002EB" w:rsidP="00FC6A40">
      <w:pPr>
        <w:tabs>
          <w:tab w:val="left" w:pos="9295"/>
        </w:tabs>
        <w:rPr>
          <w:sz w:val="22"/>
          <w:szCs w:val="22"/>
        </w:rPr>
      </w:pPr>
    </w:p>
    <w:tbl>
      <w:tblPr>
        <w:tblStyle w:val="TableGrid"/>
        <w:tblW w:w="1513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79"/>
        <w:gridCol w:w="1708"/>
        <w:gridCol w:w="2393"/>
        <w:gridCol w:w="1985"/>
        <w:gridCol w:w="1984"/>
        <w:gridCol w:w="1701"/>
        <w:gridCol w:w="1843"/>
        <w:gridCol w:w="1941"/>
      </w:tblGrid>
      <w:tr w:rsidR="00866F71" w:rsidRPr="00FC1F44" w:rsidTr="009C453F">
        <w:trPr>
          <w:trHeight w:val="413"/>
          <w:jc w:val="center"/>
        </w:trPr>
        <w:tc>
          <w:tcPr>
            <w:tcW w:w="1579" w:type="dxa"/>
            <w:tcMar>
              <w:top w:w="57" w:type="dxa"/>
              <w:left w:w="57" w:type="dxa"/>
              <w:bottom w:w="57" w:type="dxa"/>
              <w:right w:w="57" w:type="dxa"/>
            </w:tcMar>
          </w:tcPr>
          <w:p w:rsidR="00562D5A" w:rsidRPr="00FC1F44" w:rsidRDefault="00562D5A" w:rsidP="00D11768">
            <w:pPr>
              <w:rPr>
                <w:rFonts w:eastAsiaTheme="minorHAnsi" w:cs="Arial"/>
                <w:b/>
                <w:sz w:val="20"/>
                <w:szCs w:val="20"/>
              </w:rPr>
            </w:pPr>
            <w:r w:rsidRPr="00FC1F44">
              <w:rPr>
                <w:rFonts w:eastAsiaTheme="minorHAnsi" w:cs="Arial"/>
                <w:b/>
                <w:sz w:val="20"/>
                <w:szCs w:val="20"/>
              </w:rPr>
              <w:t>Service Standards</w:t>
            </w:r>
          </w:p>
        </w:tc>
        <w:tc>
          <w:tcPr>
            <w:tcW w:w="1708" w:type="dxa"/>
            <w:vMerge w:val="restart"/>
            <w:tcMar>
              <w:top w:w="57" w:type="dxa"/>
              <w:left w:w="57" w:type="dxa"/>
              <w:bottom w:w="57" w:type="dxa"/>
              <w:right w:w="57" w:type="dxa"/>
            </w:tcMar>
          </w:tcPr>
          <w:p w:rsidR="00562D5A" w:rsidRPr="00FC1F44" w:rsidRDefault="00562D5A" w:rsidP="00D11768">
            <w:pPr>
              <w:rPr>
                <w:rFonts w:eastAsiaTheme="minorHAnsi" w:cs="Arial"/>
                <w:b/>
                <w:sz w:val="20"/>
                <w:szCs w:val="20"/>
              </w:rPr>
            </w:pPr>
            <w:r w:rsidRPr="00FC1F44">
              <w:rPr>
                <w:rFonts w:eastAsiaTheme="minorHAnsi" w:cs="Arial"/>
                <w:b/>
                <w:sz w:val="20"/>
                <w:szCs w:val="20"/>
              </w:rPr>
              <w:t xml:space="preserve">Contract management information </w:t>
            </w:r>
          </w:p>
        </w:tc>
        <w:tc>
          <w:tcPr>
            <w:tcW w:w="2393" w:type="dxa"/>
            <w:vMerge w:val="restart"/>
            <w:tcMar>
              <w:top w:w="57" w:type="dxa"/>
              <w:left w:w="57" w:type="dxa"/>
              <w:bottom w:w="57" w:type="dxa"/>
              <w:right w:w="57" w:type="dxa"/>
            </w:tcMar>
          </w:tcPr>
          <w:p w:rsidR="00562D5A" w:rsidRPr="00FC1F44" w:rsidRDefault="00562D5A" w:rsidP="00D11768">
            <w:pPr>
              <w:rPr>
                <w:rFonts w:eastAsiaTheme="minorHAnsi" w:cs="Arial"/>
                <w:b/>
                <w:sz w:val="20"/>
                <w:szCs w:val="20"/>
              </w:rPr>
            </w:pPr>
            <w:r w:rsidRPr="00FC1F44">
              <w:rPr>
                <w:rFonts w:eastAsiaTheme="minorHAnsi" w:cs="Arial"/>
                <w:b/>
                <w:sz w:val="20"/>
                <w:szCs w:val="20"/>
              </w:rPr>
              <w:t>Contract management costs</w:t>
            </w:r>
          </w:p>
        </w:tc>
        <w:tc>
          <w:tcPr>
            <w:tcW w:w="1985" w:type="dxa"/>
            <w:vMerge w:val="restart"/>
            <w:tcMar>
              <w:top w:w="57" w:type="dxa"/>
              <w:left w:w="57" w:type="dxa"/>
              <w:bottom w:w="57" w:type="dxa"/>
              <w:right w:w="57" w:type="dxa"/>
            </w:tcMar>
          </w:tcPr>
          <w:p w:rsidR="00562D5A" w:rsidRPr="00FC1F44" w:rsidRDefault="00562D5A" w:rsidP="00D11768">
            <w:pPr>
              <w:rPr>
                <w:rFonts w:eastAsiaTheme="minorHAnsi" w:cs="Arial"/>
                <w:b/>
                <w:sz w:val="20"/>
                <w:szCs w:val="20"/>
              </w:rPr>
            </w:pPr>
            <w:r w:rsidRPr="00FC1F44">
              <w:rPr>
                <w:rFonts w:eastAsiaTheme="minorHAnsi" w:cs="Arial"/>
                <w:b/>
                <w:sz w:val="20"/>
                <w:szCs w:val="20"/>
              </w:rPr>
              <w:t>Access to CMU contract and PAS prices</w:t>
            </w:r>
          </w:p>
        </w:tc>
        <w:tc>
          <w:tcPr>
            <w:tcW w:w="1984" w:type="dxa"/>
            <w:vMerge w:val="restart"/>
            <w:tcMar>
              <w:top w:w="57" w:type="dxa"/>
              <w:left w:w="57" w:type="dxa"/>
              <w:bottom w:w="57" w:type="dxa"/>
              <w:right w:w="57" w:type="dxa"/>
            </w:tcMar>
          </w:tcPr>
          <w:p w:rsidR="00562D5A" w:rsidRPr="00FC1F44" w:rsidRDefault="00562D5A" w:rsidP="00D11768">
            <w:pPr>
              <w:rPr>
                <w:rFonts w:eastAsiaTheme="minorHAnsi" w:cs="Arial"/>
                <w:b/>
                <w:sz w:val="20"/>
                <w:szCs w:val="20"/>
              </w:rPr>
            </w:pPr>
            <w:r w:rsidRPr="00FC1F44">
              <w:rPr>
                <w:rFonts w:eastAsiaTheme="minorHAnsi" w:cs="Arial"/>
                <w:b/>
                <w:sz w:val="20"/>
                <w:szCs w:val="20"/>
              </w:rPr>
              <w:t>Effect on hospital stock holding- medicines spend</w:t>
            </w:r>
          </w:p>
        </w:tc>
        <w:tc>
          <w:tcPr>
            <w:tcW w:w="1701" w:type="dxa"/>
            <w:vMerge w:val="restart"/>
            <w:tcMar>
              <w:top w:w="57" w:type="dxa"/>
              <w:left w:w="57" w:type="dxa"/>
              <w:bottom w:w="57" w:type="dxa"/>
              <w:right w:w="57" w:type="dxa"/>
            </w:tcMar>
          </w:tcPr>
          <w:p w:rsidR="00562D5A" w:rsidRPr="00FC1F44" w:rsidRDefault="00562D5A" w:rsidP="00D11768">
            <w:pPr>
              <w:rPr>
                <w:rFonts w:eastAsiaTheme="minorHAnsi" w:cs="Arial"/>
                <w:b/>
                <w:sz w:val="20"/>
                <w:szCs w:val="20"/>
              </w:rPr>
            </w:pPr>
            <w:r w:rsidRPr="00FC1F44">
              <w:rPr>
                <w:rFonts w:eastAsiaTheme="minorHAnsi" w:cs="Arial"/>
                <w:b/>
                <w:sz w:val="20"/>
                <w:szCs w:val="20"/>
              </w:rPr>
              <w:t>Care closer to home for patients</w:t>
            </w:r>
          </w:p>
        </w:tc>
        <w:tc>
          <w:tcPr>
            <w:tcW w:w="1843" w:type="dxa"/>
            <w:vMerge w:val="restart"/>
            <w:tcMar>
              <w:top w:w="57" w:type="dxa"/>
              <w:left w:w="57" w:type="dxa"/>
              <w:bottom w:w="57" w:type="dxa"/>
              <w:right w:w="57" w:type="dxa"/>
            </w:tcMar>
          </w:tcPr>
          <w:p w:rsidR="00562D5A" w:rsidRPr="00FC1F44" w:rsidRDefault="00562D5A" w:rsidP="00D11768">
            <w:pPr>
              <w:rPr>
                <w:rFonts w:eastAsiaTheme="minorHAnsi" w:cs="Arial"/>
                <w:b/>
                <w:sz w:val="20"/>
                <w:szCs w:val="20"/>
              </w:rPr>
            </w:pPr>
            <w:r w:rsidRPr="00FC1F44">
              <w:rPr>
                <w:rFonts w:eastAsiaTheme="minorHAnsi" w:cs="Arial"/>
                <w:b/>
                <w:sz w:val="20"/>
                <w:szCs w:val="20"/>
              </w:rPr>
              <w:t>Patient access to specialist clinical pharmacists</w:t>
            </w:r>
          </w:p>
        </w:tc>
        <w:tc>
          <w:tcPr>
            <w:tcW w:w="1941" w:type="dxa"/>
            <w:vMerge w:val="restart"/>
            <w:tcMar>
              <w:top w:w="57" w:type="dxa"/>
              <w:left w:w="57" w:type="dxa"/>
              <w:bottom w:w="57" w:type="dxa"/>
              <w:right w:w="57" w:type="dxa"/>
            </w:tcMar>
          </w:tcPr>
          <w:p w:rsidR="00562D5A" w:rsidRPr="00FC1F44" w:rsidRDefault="00562D5A" w:rsidP="00D11768">
            <w:pPr>
              <w:rPr>
                <w:rFonts w:eastAsiaTheme="minorHAnsi" w:cs="Arial"/>
                <w:b/>
                <w:sz w:val="20"/>
                <w:szCs w:val="20"/>
              </w:rPr>
            </w:pPr>
            <w:r w:rsidRPr="00FC1F44">
              <w:rPr>
                <w:rFonts w:eastAsiaTheme="minorHAnsi" w:cs="Arial"/>
                <w:b/>
                <w:sz w:val="20"/>
                <w:szCs w:val="20"/>
              </w:rPr>
              <w:t>Clinical pharmacy teams released from dispensing activities</w:t>
            </w:r>
          </w:p>
        </w:tc>
      </w:tr>
      <w:tr w:rsidR="00866F71" w:rsidRPr="00FC1F44" w:rsidTr="009C453F">
        <w:trPr>
          <w:trHeight w:val="221"/>
          <w:jc w:val="center"/>
        </w:trPr>
        <w:tc>
          <w:tcPr>
            <w:tcW w:w="1579" w:type="dxa"/>
            <w:tcMar>
              <w:top w:w="57" w:type="dxa"/>
              <w:left w:w="57" w:type="dxa"/>
              <w:bottom w:w="57" w:type="dxa"/>
              <w:right w:w="57" w:type="dxa"/>
            </w:tcMar>
          </w:tcPr>
          <w:p w:rsidR="00562D5A" w:rsidRPr="00FC1F44" w:rsidRDefault="00562D5A" w:rsidP="00D11768">
            <w:pPr>
              <w:rPr>
                <w:rFonts w:eastAsiaTheme="minorHAnsi" w:cs="Arial"/>
                <w:b/>
                <w:sz w:val="20"/>
                <w:szCs w:val="20"/>
              </w:rPr>
            </w:pPr>
            <w:r w:rsidRPr="00FC1F44">
              <w:rPr>
                <w:rFonts w:eastAsiaTheme="minorHAnsi" w:cs="Arial"/>
                <w:b/>
                <w:sz w:val="20"/>
                <w:szCs w:val="20"/>
              </w:rPr>
              <w:t>Service Type</w:t>
            </w:r>
          </w:p>
        </w:tc>
        <w:tc>
          <w:tcPr>
            <w:tcW w:w="1708" w:type="dxa"/>
            <w:vMerge/>
            <w:tcMar>
              <w:top w:w="57" w:type="dxa"/>
              <w:left w:w="57" w:type="dxa"/>
              <w:bottom w:w="57" w:type="dxa"/>
              <w:right w:w="57" w:type="dxa"/>
            </w:tcMar>
          </w:tcPr>
          <w:p w:rsidR="00562D5A" w:rsidRPr="00FC1F44" w:rsidRDefault="00562D5A" w:rsidP="00D11768">
            <w:pPr>
              <w:rPr>
                <w:rFonts w:eastAsiaTheme="minorHAnsi" w:cs="Arial"/>
                <w:sz w:val="20"/>
                <w:szCs w:val="20"/>
              </w:rPr>
            </w:pPr>
          </w:p>
        </w:tc>
        <w:tc>
          <w:tcPr>
            <w:tcW w:w="2393" w:type="dxa"/>
            <w:vMerge/>
            <w:tcMar>
              <w:top w:w="57" w:type="dxa"/>
              <w:left w:w="57" w:type="dxa"/>
              <w:bottom w:w="57" w:type="dxa"/>
              <w:right w:w="57" w:type="dxa"/>
            </w:tcMar>
          </w:tcPr>
          <w:p w:rsidR="00562D5A" w:rsidRPr="00FC1F44" w:rsidRDefault="00562D5A" w:rsidP="00D11768">
            <w:pPr>
              <w:rPr>
                <w:rFonts w:eastAsiaTheme="minorHAnsi" w:cs="Arial"/>
                <w:sz w:val="20"/>
                <w:szCs w:val="20"/>
              </w:rPr>
            </w:pPr>
          </w:p>
        </w:tc>
        <w:tc>
          <w:tcPr>
            <w:tcW w:w="1985" w:type="dxa"/>
            <w:vMerge/>
            <w:tcMar>
              <w:top w:w="57" w:type="dxa"/>
              <w:left w:w="57" w:type="dxa"/>
              <w:bottom w:w="57" w:type="dxa"/>
              <w:right w:w="57" w:type="dxa"/>
            </w:tcMar>
          </w:tcPr>
          <w:p w:rsidR="00562D5A" w:rsidRPr="00FC1F44" w:rsidRDefault="00562D5A" w:rsidP="00D11768">
            <w:pPr>
              <w:rPr>
                <w:rFonts w:eastAsiaTheme="minorHAnsi" w:cs="Arial"/>
                <w:sz w:val="20"/>
                <w:szCs w:val="20"/>
              </w:rPr>
            </w:pPr>
          </w:p>
        </w:tc>
        <w:tc>
          <w:tcPr>
            <w:tcW w:w="1984" w:type="dxa"/>
            <w:vMerge/>
            <w:tcMar>
              <w:top w:w="57" w:type="dxa"/>
              <w:left w:w="57" w:type="dxa"/>
              <w:bottom w:w="57" w:type="dxa"/>
              <w:right w:w="57" w:type="dxa"/>
            </w:tcMar>
          </w:tcPr>
          <w:p w:rsidR="00562D5A" w:rsidRPr="00FC1F44" w:rsidRDefault="00562D5A" w:rsidP="00D11768">
            <w:pPr>
              <w:rPr>
                <w:rFonts w:eastAsiaTheme="minorHAnsi" w:cs="Arial"/>
                <w:sz w:val="20"/>
                <w:szCs w:val="20"/>
              </w:rPr>
            </w:pPr>
          </w:p>
        </w:tc>
        <w:tc>
          <w:tcPr>
            <w:tcW w:w="1701" w:type="dxa"/>
            <w:vMerge/>
            <w:tcMar>
              <w:top w:w="57" w:type="dxa"/>
              <w:left w:w="57" w:type="dxa"/>
              <w:bottom w:w="57" w:type="dxa"/>
              <w:right w:w="57" w:type="dxa"/>
            </w:tcMar>
          </w:tcPr>
          <w:p w:rsidR="00562D5A" w:rsidRPr="00FC1F44" w:rsidRDefault="00562D5A" w:rsidP="00D11768">
            <w:pPr>
              <w:rPr>
                <w:rFonts w:eastAsiaTheme="minorHAnsi" w:cs="Arial"/>
                <w:sz w:val="20"/>
                <w:szCs w:val="20"/>
              </w:rPr>
            </w:pPr>
          </w:p>
        </w:tc>
        <w:tc>
          <w:tcPr>
            <w:tcW w:w="1843" w:type="dxa"/>
            <w:vMerge/>
            <w:tcMar>
              <w:top w:w="57" w:type="dxa"/>
              <w:left w:w="57" w:type="dxa"/>
              <w:bottom w:w="57" w:type="dxa"/>
              <w:right w:w="57" w:type="dxa"/>
            </w:tcMar>
          </w:tcPr>
          <w:p w:rsidR="00562D5A" w:rsidRPr="00FC1F44" w:rsidRDefault="00562D5A" w:rsidP="00D11768">
            <w:pPr>
              <w:rPr>
                <w:rFonts w:eastAsiaTheme="minorHAnsi" w:cs="Arial"/>
                <w:sz w:val="20"/>
                <w:szCs w:val="20"/>
              </w:rPr>
            </w:pPr>
          </w:p>
        </w:tc>
        <w:tc>
          <w:tcPr>
            <w:tcW w:w="1941" w:type="dxa"/>
            <w:vMerge/>
            <w:tcMar>
              <w:top w:w="57" w:type="dxa"/>
              <w:left w:w="57" w:type="dxa"/>
              <w:bottom w:w="57" w:type="dxa"/>
              <w:right w:w="57" w:type="dxa"/>
            </w:tcMar>
          </w:tcPr>
          <w:p w:rsidR="00562D5A" w:rsidRPr="00FC1F44" w:rsidRDefault="00562D5A" w:rsidP="00D11768">
            <w:pPr>
              <w:rPr>
                <w:rFonts w:eastAsiaTheme="minorHAnsi" w:cs="Arial"/>
                <w:sz w:val="20"/>
                <w:szCs w:val="20"/>
              </w:rPr>
            </w:pPr>
          </w:p>
        </w:tc>
      </w:tr>
      <w:tr w:rsidR="00866F71" w:rsidRPr="00FC1F44" w:rsidTr="009C453F">
        <w:trPr>
          <w:jc w:val="center"/>
        </w:trPr>
        <w:tc>
          <w:tcPr>
            <w:tcW w:w="1579" w:type="dxa"/>
            <w:tcMar>
              <w:top w:w="57" w:type="dxa"/>
              <w:left w:w="57" w:type="dxa"/>
              <w:bottom w:w="57" w:type="dxa"/>
              <w:right w:w="57" w:type="dxa"/>
            </w:tcMar>
          </w:tcPr>
          <w:p w:rsidR="00562D5A" w:rsidRPr="00FC1F44" w:rsidRDefault="00562D5A" w:rsidP="00D11768">
            <w:pPr>
              <w:rPr>
                <w:rFonts w:eastAsiaTheme="minorHAnsi" w:cs="Arial"/>
                <w:b/>
                <w:sz w:val="20"/>
                <w:szCs w:val="20"/>
              </w:rPr>
            </w:pPr>
            <w:r w:rsidRPr="00FC1F44">
              <w:rPr>
                <w:rFonts w:eastAsiaTheme="minorHAnsi" w:cs="Arial"/>
                <w:b/>
                <w:sz w:val="20"/>
                <w:szCs w:val="20"/>
              </w:rPr>
              <w:t>In-house pharmacy</w:t>
            </w:r>
          </w:p>
        </w:tc>
        <w:tc>
          <w:tcPr>
            <w:tcW w:w="1708" w:type="dxa"/>
            <w:tcMar>
              <w:top w:w="57" w:type="dxa"/>
              <w:left w:w="57" w:type="dxa"/>
              <w:bottom w:w="57" w:type="dxa"/>
              <w:right w:w="57" w:type="dxa"/>
            </w:tcMar>
          </w:tcPr>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Direct control</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sz w:val="20"/>
                <w:szCs w:val="20"/>
              </w:rPr>
              <w:t>No recommended national Key Performance Indicator (KPI) data or supply data</w:t>
            </w:r>
          </w:p>
        </w:tc>
        <w:tc>
          <w:tcPr>
            <w:tcW w:w="2393" w:type="dxa"/>
            <w:tcMar>
              <w:top w:w="57" w:type="dxa"/>
              <w:left w:w="57" w:type="dxa"/>
              <w:bottom w:w="57" w:type="dxa"/>
              <w:right w:w="57" w:type="dxa"/>
            </w:tcMar>
          </w:tcPr>
          <w:p w:rsidR="00562D5A" w:rsidRPr="00FC1F44" w:rsidRDefault="00562D5A" w:rsidP="00D11768">
            <w:pPr>
              <w:rPr>
                <w:rFonts w:eastAsiaTheme="minorHAnsi" w:cs="Arial"/>
                <w:sz w:val="20"/>
                <w:szCs w:val="20"/>
              </w:rPr>
            </w:pPr>
            <w:r w:rsidRPr="00FC1F44">
              <w:rPr>
                <w:rFonts w:eastAsiaTheme="minorHAnsi" w:cs="Arial"/>
                <w:sz w:val="20"/>
                <w:szCs w:val="20"/>
              </w:rPr>
              <w:t>Overhead costs managed in-house</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p>
        </w:tc>
        <w:tc>
          <w:tcPr>
            <w:tcW w:w="1985" w:type="dxa"/>
            <w:tcMar>
              <w:top w:w="57" w:type="dxa"/>
              <w:left w:w="57" w:type="dxa"/>
              <w:bottom w:w="57" w:type="dxa"/>
              <w:right w:w="57" w:type="dxa"/>
            </w:tcMar>
          </w:tcPr>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Readily accessible</w:t>
            </w:r>
          </w:p>
          <w:p w:rsidR="00562D5A" w:rsidRPr="00FC1F44" w:rsidRDefault="00562D5A" w:rsidP="00D11768">
            <w:pPr>
              <w:rPr>
                <w:rFonts w:eastAsiaTheme="minorHAnsi" w:cs="Arial"/>
                <w:color w:val="00B050"/>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sz w:val="20"/>
                <w:szCs w:val="20"/>
              </w:rPr>
              <w:t>No constraints / restrictions on making off contract claims</w:t>
            </w:r>
            <w:r w:rsidRPr="00FC1F44" w:rsidDel="0063679E">
              <w:rPr>
                <w:rFonts w:eastAsiaTheme="minorHAnsi" w:cs="Arial"/>
                <w:color w:val="00B050"/>
                <w:sz w:val="20"/>
                <w:szCs w:val="20"/>
              </w:rPr>
              <w:t xml:space="preserve"> </w:t>
            </w:r>
          </w:p>
          <w:p w:rsidR="00562D5A" w:rsidRPr="00FC1F44" w:rsidRDefault="00562D5A" w:rsidP="00D11768">
            <w:pPr>
              <w:rPr>
                <w:rFonts w:eastAsiaTheme="minorHAnsi" w:cs="Arial"/>
                <w:color w:val="00B050"/>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 xml:space="preserve">Usage data supplied to CMU and included in </w:t>
            </w:r>
            <w:proofErr w:type="spellStart"/>
            <w:r w:rsidRPr="00FC1F44">
              <w:rPr>
                <w:rFonts w:eastAsiaTheme="minorHAnsi" w:cs="Arial"/>
                <w:color w:val="00B050"/>
                <w:sz w:val="20"/>
                <w:szCs w:val="20"/>
              </w:rPr>
              <w:t>Pharmex</w:t>
            </w:r>
            <w:proofErr w:type="spellEnd"/>
            <w:r w:rsidRPr="00FC1F44">
              <w:rPr>
                <w:rFonts w:eastAsiaTheme="minorHAnsi" w:cs="Arial"/>
                <w:color w:val="00B050"/>
                <w:sz w:val="20"/>
                <w:szCs w:val="20"/>
              </w:rPr>
              <w:t xml:space="preserve"> data for contracting purposes</w:t>
            </w:r>
          </w:p>
          <w:p w:rsidR="00562D5A" w:rsidRPr="00FC1F44" w:rsidRDefault="00562D5A" w:rsidP="00D11768">
            <w:pPr>
              <w:rPr>
                <w:rFonts w:eastAsiaTheme="minorHAnsi" w:cs="Arial"/>
                <w:color w:val="00B050"/>
                <w:sz w:val="20"/>
                <w:szCs w:val="20"/>
              </w:rPr>
            </w:pPr>
          </w:p>
          <w:p w:rsidR="00562D5A" w:rsidRPr="00FC1F44" w:rsidRDefault="00562D5A" w:rsidP="00D11768">
            <w:pPr>
              <w:rPr>
                <w:rFonts w:eastAsiaTheme="minorHAnsi" w:cs="Arial"/>
                <w:sz w:val="20"/>
                <w:szCs w:val="20"/>
              </w:rPr>
            </w:pPr>
            <w:r w:rsidRPr="00FC1F44">
              <w:rPr>
                <w:rFonts w:eastAsiaTheme="minorHAnsi" w:cs="Arial"/>
                <w:sz w:val="20"/>
                <w:szCs w:val="20"/>
              </w:rPr>
              <w:t>Standard rate VAT on all transactions</w:t>
            </w:r>
          </w:p>
        </w:tc>
        <w:tc>
          <w:tcPr>
            <w:tcW w:w="1984" w:type="dxa"/>
            <w:tcMar>
              <w:top w:w="57" w:type="dxa"/>
              <w:left w:w="57" w:type="dxa"/>
              <w:bottom w:w="57" w:type="dxa"/>
              <w:right w:w="57" w:type="dxa"/>
            </w:tcMar>
          </w:tcPr>
          <w:p w:rsidR="00562D5A" w:rsidRPr="00FC1F44" w:rsidRDefault="00562D5A" w:rsidP="00D11768">
            <w:pPr>
              <w:rPr>
                <w:rFonts w:eastAsiaTheme="minorHAnsi" w:cs="Arial"/>
                <w:sz w:val="20"/>
                <w:szCs w:val="20"/>
              </w:rPr>
            </w:pPr>
            <w:r w:rsidRPr="00FC1F44">
              <w:rPr>
                <w:rFonts w:eastAsiaTheme="minorHAnsi" w:cs="Arial"/>
                <w:sz w:val="20"/>
                <w:szCs w:val="20"/>
              </w:rPr>
              <w:t>No reduction in stock holding</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color w:val="00B050"/>
                <w:sz w:val="20"/>
                <w:szCs w:val="20"/>
              </w:rPr>
              <w:t>Formulary management possible</w:t>
            </w:r>
          </w:p>
        </w:tc>
        <w:tc>
          <w:tcPr>
            <w:tcW w:w="1701" w:type="dxa"/>
            <w:tcMar>
              <w:top w:w="57" w:type="dxa"/>
              <w:left w:w="57" w:type="dxa"/>
              <w:bottom w:w="57" w:type="dxa"/>
              <w:right w:w="57" w:type="dxa"/>
            </w:tcMar>
          </w:tcPr>
          <w:p w:rsidR="00562D5A" w:rsidRPr="00FC1F44" w:rsidRDefault="00562D5A" w:rsidP="00D11768">
            <w:pPr>
              <w:rPr>
                <w:rFonts w:eastAsiaTheme="minorHAnsi" w:cs="Arial"/>
                <w:sz w:val="20"/>
                <w:szCs w:val="20"/>
              </w:rPr>
            </w:pPr>
            <w:r w:rsidRPr="00FC1F44">
              <w:rPr>
                <w:rFonts w:eastAsiaTheme="minorHAnsi" w:cs="Arial"/>
                <w:sz w:val="20"/>
                <w:szCs w:val="20"/>
              </w:rPr>
              <w:t>Patients must travel in order to collect medicines</w:t>
            </w:r>
          </w:p>
        </w:tc>
        <w:tc>
          <w:tcPr>
            <w:tcW w:w="1843" w:type="dxa"/>
            <w:tcMar>
              <w:top w:w="57" w:type="dxa"/>
              <w:left w:w="57" w:type="dxa"/>
              <w:bottom w:w="57" w:type="dxa"/>
              <w:right w:w="57" w:type="dxa"/>
            </w:tcMar>
          </w:tcPr>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Patients have access to experienced  NHS pharmacy staff</w:t>
            </w:r>
          </w:p>
          <w:p w:rsidR="00562D5A" w:rsidRPr="00FC1F44" w:rsidRDefault="00562D5A" w:rsidP="00D11768">
            <w:pPr>
              <w:rPr>
                <w:rFonts w:eastAsiaTheme="minorHAnsi" w:cs="Arial"/>
                <w:color w:val="00B050"/>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Training opportunities for NHS staff in patient counselling and pharmacy management</w:t>
            </w:r>
          </w:p>
          <w:p w:rsidR="00562D5A" w:rsidRPr="00FC1F44" w:rsidRDefault="00562D5A" w:rsidP="00D11768">
            <w:pPr>
              <w:rPr>
                <w:rFonts w:eastAsiaTheme="minorHAnsi" w:cs="Arial"/>
                <w:sz w:val="20"/>
                <w:szCs w:val="20"/>
              </w:rPr>
            </w:pPr>
          </w:p>
        </w:tc>
        <w:tc>
          <w:tcPr>
            <w:tcW w:w="1941" w:type="dxa"/>
            <w:tcMar>
              <w:top w:w="57" w:type="dxa"/>
              <w:left w:w="57" w:type="dxa"/>
              <w:bottom w:w="57" w:type="dxa"/>
              <w:right w:w="57" w:type="dxa"/>
            </w:tcMar>
          </w:tcPr>
          <w:p w:rsidR="00562D5A" w:rsidRDefault="00562D5A" w:rsidP="00D11768">
            <w:pPr>
              <w:rPr>
                <w:rFonts w:eastAsiaTheme="minorHAnsi" w:cs="Arial"/>
                <w:sz w:val="20"/>
                <w:szCs w:val="20"/>
              </w:rPr>
            </w:pPr>
            <w:r w:rsidRPr="00FC1F44">
              <w:rPr>
                <w:rFonts w:eastAsiaTheme="minorHAnsi" w:cs="Arial"/>
                <w:sz w:val="20"/>
                <w:szCs w:val="20"/>
              </w:rPr>
              <w:t>Potential for highly qualified NHS pharmacy staff to be pulled away from delivering more clinically focussed roles</w:t>
            </w:r>
          </w:p>
          <w:p w:rsidR="00BE1BC6" w:rsidRPr="00FC1F44" w:rsidRDefault="00BE1BC6" w:rsidP="00D11768">
            <w:pPr>
              <w:rPr>
                <w:rFonts w:eastAsiaTheme="minorHAnsi" w:cs="Arial"/>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NHS pharmacy staff may be used to  support the service at times of pressure</w:t>
            </w:r>
          </w:p>
        </w:tc>
      </w:tr>
    </w:tbl>
    <w:p w:rsidR="007E7DBB" w:rsidRDefault="007E7DBB"/>
    <w:p w:rsidR="007E7DBB" w:rsidRDefault="007E7DBB"/>
    <w:p w:rsidR="00FC1F44" w:rsidRDefault="00FC1F44"/>
    <w:p w:rsidR="00FC1F44" w:rsidRDefault="00FC1F44"/>
    <w:p w:rsidR="00FC1F44" w:rsidRDefault="00FC1F44"/>
    <w:p w:rsidR="00FC1F44" w:rsidRDefault="00FC1F44"/>
    <w:p w:rsidR="007E7DBB" w:rsidRDefault="007E7DBB"/>
    <w:p w:rsidR="00D11768" w:rsidRDefault="00D11768"/>
    <w:p w:rsidR="007E7DBB" w:rsidRDefault="007E7DBB"/>
    <w:tbl>
      <w:tblPr>
        <w:tblStyle w:val="TableGrid"/>
        <w:tblW w:w="1513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79"/>
        <w:gridCol w:w="1708"/>
        <w:gridCol w:w="2393"/>
        <w:gridCol w:w="1985"/>
        <w:gridCol w:w="1984"/>
        <w:gridCol w:w="1701"/>
        <w:gridCol w:w="1843"/>
        <w:gridCol w:w="1941"/>
      </w:tblGrid>
      <w:tr w:rsidR="00866F71" w:rsidRPr="00FC1F44" w:rsidTr="009C453F">
        <w:trPr>
          <w:jc w:val="center"/>
        </w:trPr>
        <w:tc>
          <w:tcPr>
            <w:tcW w:w="1579" w:type="dxa"/>
            <w:tcMar>
              <w:top w:w="57" w:type="dxa"/>
              <w:left w:w="57" w:type="dxa"/>
              <w:bottom w:w="57" w:type="dxa"/>
              <w:right w:w="57" w:type="dxa"/>
            </w:tcMar>
          </w:tcPr>
          <w:p w:rsidR="00562D5A" w:rsidRPr="00FC1F44" w:rsidRDefault="00562D5A" w:rsidP="00D11768">
            <w:pPr>
              <w:rPr>
                <w:rFonts w:eastAsiaTheme="minorHAnsi" w:cs="Arial"/>
                <w:b/>
                <w:sz w:val="20"/>
                <w:szCs w:val="20"/>
              </w:rPr>
            </w:pPr>
            <w:r w:rsidRPr="00FC1F44">
              <w:rPr>
                <w:rFonts w:eastAsiaTheme="minorHAnsi" w:cs="Arial"/>
                <w:b/>
                <w:sz w:val="20"/>
                <w:szCs w:val="20"/>
              </w:rPr>
              <w:t>OOPD: private company</w:t>
            </w:r>
          </w:p>
        </w:tc>
        <w:tc>
          <w:tcPr>
            <w:tcW w:w="1708" w:type="dxa"/>
            <w:tcMar>
              <w:top w:w="57" w:type="dxa"/>
              <w:left w:w="57" w:type="dxa"/>
              <w:bottom w:w="57" w:type="dxa"/>
              <w:right w:w="57" w:type="dxa"/>
            </w:tcMar>
          </w:tcPr>
          <w:p w:rsidR="00562D5A" w:rsidRPr="00FC1F44" w:rsidRDefault="00562D5A" w:rsidP="00D11768">
            <w:pPr>
              <w:rPr>
                <w:rFonts w:eastAsiaTheme="minorHAnsi" w:cs="Arial"/>
                <w:sz w:val="20"/>
                <w:szCs w:val="20"/>
              </w:rPr>
            </w:pPr>
            <w:r w:rsidRPr="00FC1F44">
              <w:rPr>
                <w:rFonts w:eastAsiaTheme="minorHAnsi" w:cs="Arial"/>
                <w:sz w:val="20"/>
                <w:szCs w:val="20"/>
              </w:rPr>
              <w:t>Indirect control</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color w:val="00B050"/>
                <w:sz w:val="20"/>
                <w:szCs w:val="20"/>
              </w:rPr>
              <w:t>Recommended KPI and regional sales data templates clearly defined and can be adapted for local use</w:t>
            </w:r>
          </w:p>
        </w:tc>
        <w:tc>
          <w:tcPr>
            <w:tcW w:w="2393" w:type="dxa"/>
            <w:tcMar>
              <w:top w:w="57" w:type="dxa"/>
              <w:left w:w="57" w:type="dxa"/>
              <w:bottom w:w="57" w:type="dxa"/>
              <w:right w:w="57" w:type="dxa"/>
            </w:tcMar>
          </w:tcPr>
          <w:p w:rsidR="00562D5A" w:rsidRDefault="00562D5A" w:rsidP="00D11768">
            <w:pPr>
              <w:rPr>
                <w:rFonts w:eastAsiaTheme="minorHAnsi" w:cs="Arial"/>
                <w:sz w:val="20"/>
                <w:szCs w:val="20"/>
              </w:rPr>
            </w:pPr>
            <w:r w:rsidRPr="00FC1F44">
              <w:rPr>
                <w:rFonts w:eastAsiaTheme="minorHAnsi" w:cs="Arial"/>
                <w:sz w:val="20"/>
                <w:szCs w:val="20"/>
              </w:rPr>
              <w:t>Wide variation but it is difficult to share information</w:t>
            </w:r>
          </w:p>
          <w:p w:rsidR="00A72723" w:rsidRPr="00FC1F44" w:rsidRDefault="00A72723" w:rsidP="00D11768">
            <w:pPr>
              <w:rPr>
                <w:rFonts w:eastAsiaTheme="minorHAnsi" w:cs="Arial"/>
                <w:sz w:val="20"/>
                <w:szCs w:val="20"/>
              </w:rPr>
            </w:pPr>
          </w:p>
          <w:p w:rsidR="00562D5A" w:rsidRDefault="00562D5A" w:rsidP="00D11768">
            <w:pPr>
              <w:rPr>
                <w:rFonts w:eastAsiaTheme="minorHAnsi" w:cs="Arial"/>
                <w:sz w:val="20"/>
                <w:szCs w:val="20"/>
              </w:rPr>
            </w:pPr>
            <w:r w:rsidRPr="00FC1F44">
              <w:rPr>
                <w:rFonts w:eastAsiaTheme="minorHAnsi" w:cs="Arial"/>
                <w:sz w:val="20"/>
                <w:szCs w:val="20"/>
              </w:rPr>
              <w:t>Contract management workload is significant</w:t>
            </w:r>
          </w:p>
          <w:p w:rsidR="00A72723" w:rsidRPr="00FC1F44" w:rsidRDefault="00A72723"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sz w:val="20"/>
                <w:szCs w:val="20"/>
              </w:rPr>
              <w:t>Commercial provider may support capital expenditure on the pharmacy – however such costs will be recouped ov</w:t>
            </w:r>
            <w:r w:rsidR="00B454F8">
              <w:rPr>
                <w:rFonts w:eastAsiaTheme="minorHAnsi" w:cs="Arial"/>
                <w:sz w:val="20"/>
                <w:szCs w:val="20"/>
              </w:rPr>
              <w:t>er the duration of the contract</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sz w:val="20"/>
                <w:szCs w:val="20"/>
              </w:rPr>
              <w:t xml:space="preserve">Contract will be of a limited duration. Generally between 5-10 years. Any significant changes in service provision will need to be managed through a </w:t>
            </w:r>
            <w:r w:rsidR="00B454F8">
              <w:rPr>
                <w:rFonts w:eastAsiaTheme="minorHAnsi" w:cs="Arial"/>
                <w:sz w:val="20"/>
                <w:szCs w:val="20"/>
              </w:rPr>
              <w:t>change control process</w:t>
            </w:r>
            <w:r w:rsidRPr="00FC1F44">
              <w:rPr>
                <w:rFonts w:eastAsiaTheme="minorHAnsi" w:cs="Arial"/>
                <w:sz w:val="20"/>
                <w:szCs w:val="20"/>
              </w:rPr>
              <w:t xml:space="preserve"> </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sz w:val="20"/>
                <w:szCs w:val="20"/>
              </w:rPr>
              <w:t>At the end of the contract period a re-tendering pro</w:t>
            </w:r>
            <w:r w:rsidR="00B454F8">
              <w:rPr>
                <w:rFonts w:eastAsiaTheme="minorHAnsi" w:cs="Arial"/>
                <w:sz w:val="20"/>
                <w:szCs w:val="20"/>
              </w:rPr>
              <w:t>cess will need to be undertaken</w:t>
            </w:r>
            <w:r w:rsidRPr="00FC1F44">
              <w:rPr>
                <w:rFonts w:eastAsiaTheme="minorHAnsi" w:cs="Arial"/>
                <w:sz w:val="20"/>
                <w:szCs w:val="20"/>
              </w:rPr>
              <w:t xml:space="preserve"> </w:t>
            </w:r>
          </w:p>
        </w:tc>
        <w:tc>
          <w:tcPr>
            <w:tcW w:w="1985" w:type="dxa"/>
            <w:tcMar>
              <w:top w:w="57" w:type="dxa"/>
              <w:left w:w="57" w:type="dxa"/>
              <w:bottom w:w="57" w:type="dxa"/>
              <w:right w:w="57" w:type="dxa"/>
            </w:tcMar>
          </w:tcPr>
          <w:p w:rsidR="00562D5A" w:rsidRPr="00FC1F44" w:rsidRDefault="00562D5A" w:rsidP="00D11768">
            <w:pPr>
              <w:rPr>
                <w:rFonts w:eastAsiaTheme="minorHAnsi" w:cs="Arial"/>
                <w:sz w:val="20"/>
                <w:szCs w:val="20"/>
              </w:rPr>
            </w:pPr>
            <w:r w:rsidRPr="00FC1F44">
              <w:rPr>
                <w:rFonts w:eastAsiaTheme="minorHAnsi" w:cs="Arial"/>
                <w:sz w:val="20"/>
                <w:szCs w:val="20"/>
              </w:rPr>
              <w:t>Accessible but requires a separate agreement from Manufacturers</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sz w:val="20"/>
                <w:szCs w:val="20"/>
              </w:rPr>
              <w:t>Off-contract claims will not necessarily be met. This is solely at the discreti</w:t>
            </w:r>
            <w:r w:rsidR="00B454F8">
              <w:rPr>
                <w:rFonts w:eastAsiaTheme="minorHAnsi" w:cs="Arial"/>
                <w:sz w:val="20"/>
                <w:szCs w:val="20"/>
              </w:rPr>
              <w:t>on of the contract holder</w:t>
            </w:r>
          </w:p>
          <w:p w:rsidR="00562D5A" w:rsidRPr="00FC1F44" w:rsidRDefault="00562D5A" w:rsidP="00D11768">
            <w:pPr>
              <w:rPr>
                <w:rFonts w:eastAsiaTheme="minorHAnsi" w:cs="Arial"/>
                <w:sz w:val="20"/>
                <w:szCs w:val="20"/>
              </w:rPr>
            </w:pPr>
            <w:r w:rsidRPr="00FC1F44">
              <w:rPr>
                <w:rFonts w:eastAsiaTheme="minorHAnsi" w:cs="Arial"/>
                <w:sz w:val="20"/>
                <w:szCs w:val="20"/>
              </w:rPr>
              <w:t xml:space="preserve">Usage data is not consistently supplied to CMU and included in </w:t>
            </w:r>
            <w:proofErr w:type="spellStart"/>
            <w:r w:rsidRPr="00FC1F44">
              <w:rPr>
                <w:rFonts w:eastAsiaTheme="minorHAnsi" w:cs="Arial"/>
                <w:sz w:val="20"/>
                <w:szCs w:val="20"/>
              </w:rPr>
              <w:t>Pharmex</w:t>
            </w:r>
            <w:proofErr w:type="spellEnd"/>
            <w:r w:rsidRPr="00FC1F44">
              <w:rPr>
                <w:rFonts w:eastAsiaTheme="minorHAnsi" w:cs="Arial"/>
                <w:sz w:val="20"/>
                <w:szCs w:val="20"/>
              </w:rPr>
              <w:t xml:space="preserve"> data for contracting purposes</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color w:val="00B050"/>
                <w:sz w:val="20"/>
                <w:szCs w:val="20"/>
              </w:rPr>
              <w:t>VAT zero rated</w:t>
            </w:r>
          </w:p>
        </w:tc>
        <w:tc>
          <w:tcPr>
            <w:tcW w:w="1984" w:type="dxa"/>
            <w:tcMar>
              <w:top w:w="57" w:type="dxa"/>
              <w:left w:w="57" w:type="dxa"/>
              <w:bottom w:w="57" w:type="dxa"/>
              <w:right w:w="57" w:type="dxa"/>
            </w:tcMar>
          </w:tcPr>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One off reduction in stock holding on initiation of service</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sz w:val="20"/>
                <w:szCs w:val="20"/>
              </w:rPr>
              <w:t xml:space="preserve">Avoidance of increased stock holding as new medicines are launched </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color w:val="00B050"/>
                <w:sz w:val="20"/>
                <w:szCs w:val="20"/>
              </w:rPr>
              <w:t>Formulary management possible</w:t>
            </w:r>
          </w:p>
        </w:tc>
        <w:tc>
          <w:tcPr>
            <w:tcW w:w="1701" w:type="dxa"/>
            <w:tcMar>
              <w:top w:w="57" w:type="dxa"/>
              <w:left w:w="57" w:type="dxa"/>
              <w:bottom w:w="57" w:type="dxa"/>
              <w:right w:w="57" w:type="dxa"/>
            </w:tcMar>
          </w:tcPr>
          <w:p w:rsidR="00562D5A" w:rsidRPr="00FC1F44" w:rsidRDefault="00562D5A" w:rsidP="00D11768">
            <w:pPr>
              <w:rPr>
                <w:rFonts w:eastAsiaTheme="minorHAnsi" w:cs="Arial"/>
                <w:sz w:val="20"/>
                <w:szCs w:val="20"/>
              </w:rPr>
            </w:pPr>
            <w:r w:rsidRPr="00FC1F44">
              <w:rPr>
                <w:rFonts w:eastAsiaTheme="minorHAnsi" w:cs="Arial"/>
                <w:sz w:val="20"/>
                <w:szCs w:val="20"/>
              </w:rPr>
              <w:t>Patients must  usually travel in order to collect medicines</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color w:val="00B050"/>
                <w:sz w:val="20"/>
                <w:szCs w:val="20"/>
              </w:rPr>
              <w:t>Sometimes able to deliver prescriptions to local patients’ homes or their nearest community pharmacy for collection at their convenience via their existing transport infrastructure</w:t>
            </w:r>
          </w:p>
          <w:p w:rsidR="00562D5A" w:rsidRPr="00FC1F44" w:rsidRDefault="00562D5A" w:rsidP="00D11768">
            <w:pPr>
              <w:rPr>
                <w:rFonts w:eastAsiaTheme="minorHAnsi" w:cs="Arial"/>
                <w:sz w:val="20"/>
                <w:szCs w:val="20"/>
              </w:rPr>
            </w:pPr>
          </w:p>
        </w:tc>
        <w:tc>
          <w:tcPr>
            <w:tcW w:w="1843" w:type="dxa"/>
            <w:tcMar>
              <w:top w:w="57" w:type="dxa"/>
              <w:left w:w="57" w:type="dxa"/>
              <w:bottom w:w="57" w:type="dxa"/>
              <w:right w:w="57" w:type="dxa"/>
            </w:tcMar>
          </w:tcPr>
          <w:p w:rsidR="00A72723" w:rsidRDefault="00562D5A" w:rsidP="00D11768">
            <w:pPr>
              <w:rPr>
                <w:rFonts w:eastAsiaTheme="minorHAnsi" w:cs="Arial"/>
                <w:color w:val="00B050"/>
                <w:sz w:val="20"/>
                <w:szCs w:val="20"/>
              </w:rPr>
            </w:pPr>
            <w:r w:rsidRPr="00FC1F44">
              <w:rPr>
                <w:rFonts w:eastAsiaTheme="minorHAnsi" w:cs="Arial"/>
                <w:color w:val="00B050"/>
                <w:sz w:val="20"/>
                <w:szCs w:val="20"/>
              </w:rPr>
              <w:t>Patients may have access to experienced  NHS pharmacy staff on attendance at outpatient appointments</w:t>
            </w: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 xml:space="preserve"> </w:t>
            </w:r>
          </w:p>
          <w:p w:rsidR="00562D5A" w:rsidRDefault="00562D5A" w:rsidP="00D11768">
            <w:pPr>
              <w:rPr>
                <w:rFonts w:eastAsiaTheme="minorHAnsi" w:cs="Arial"/>
                <w:color w:val="00B050"/>
                <w:sz w:val="20"/>
                <w:szCs w:val="20"/>
              </w:rPr>
            </w:pPr>
            <w:r w:rsidRPr="00FC1F44">
              <w:rPr>
                <w:rFonts w:eastAsiaTheme="minorHAnsi" w:cs="Arial"/>
                <w:color w:val="00B050"/>
                <w:sz w:val="20"/>
                <w:szCs w:val="20"/>
              </w:rPr>
              <w:t>Patients have access to a pharmacist at the time of receiving their medicines</w:t>
            </w:r>
          </w:p>
          <w:p w:rsidR="00A72723" w:rsidRPr="00FC1F44" w:rsidRDefault="00A72723" w:rsidP="00D11768">
            <w:pPr>
              <w:rPr>
                <w:rFonts w:eastAsiaTheme="minorHAnsi" w:cs="Arial"/>
                <w:color w:val="00B050"/>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Training opportunities for NHS staff in patient counselling and pharmacy management</w:t>
            </w:r>
          </w:p>
          <w:p w:rsidR="00562D5A" w:rsidRPr="00FC1F44" w:rsidRDefault="00562D5A" w:rsidP="00D11768">
            <w:pPr>
              <w:rPr>
                <w:rFonts w:eastAsiaTheme="minorHAnsi" w:cs="Arial"/>
                <w:sz w:val="20"/>
                <w:szCs w:val="20"/>
              </w:rPr>
            </w:pPr>
          </w:p>
        </w:tc>
        <w:tc>
          <w:tcPr>
            <w:tcW w:w="1941" w:type="dxa"/>
            <w:tcMar>
              <w:top w:w="57" w:type="dxa"/>
              <w:left w:w="57" w:type="dxa"/>
              <w:bottom w:w="57" w:type="dxa"/>
              <w:right w:w="57" w:type="dxa"/>
            </w:tcMar>
          </w:tcPr>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Release of capacity of dispensary staff to clinical roles</w:t>
            </w:r>
          </w:p>
          <w:p w:rsidR="00562D5A" w:rsidRPr="00FC1F44" w:rsidRDefault="00562D5A" w:rsidP="00D11768">
            <w:pPr>
              <w:rPr>
                <w:rFonts w:eastAsiaTheme="minorHAnsi" w:cs="Arial"/>
                <w:sz w:val="20"/>
                <w:szCs w:val="20"/>
              </w:rPr>
            </w:pPr>
          </w:p>
        </w:tc>
      </w:tr>
    </w:tbl>
    <w:p w:rsidR="00FC1F44" w:rsidRDefault="00FC1F44"/>
    <w:p w:rsidR="00FC1F44" w:rsidRDefault="00FC1F44"/>
    <w:p w:rsidR="00D11768" w:rsidRDefault="00D11768"/>
    <w:p w:rsidR="00D11768" w:rsidRDefault="00D11768"/>
    <w:p w:rsidR="00D11768" w:rsidRDefault="00D11768"/>
    <w:p w:rsidR="00FC1F44" w:rsidRDefault="00FC1F44"/>
    <w:tbl>
      <w:tblPr>
        <w:tblStyle w:val="TableGrid"/>
        <w:tblW w:w="1513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79"/>
        <w:gridCol w:w="1708"/>
        <w:gridCol w:w="2393"/>
        <w:gridCol w:w="1985"/>
        <w:gridCol w:w="1984"/>
        <w:gridCol w:w="1701"/>
        <w:gridCol w:w="1843"/>
        <w:gridCol w:w="1941"/>
      </w:tblGrid>
      <w:tr w:rsidR="00866F71" w:rsidRPr="00FC1F44" w:rsidTr="009C453F">
        <w:trPr>
          <w:jc w:val="center"/>
        </w:trPr>
        <w:tc>
          <w:tcPr>
            <w:tcW w:w="1579" w:type="dxa"/>
            <w:tcMar>
              <w:top w:w="57" w:type="dxa"/>
              <w:left w:w="57" w:type="dxa"/>
              <w:bottom w:w="57" w:type="dxa"/>
              <w:right w:w="57" w:type="dxa"/>
            </w:tcMar>
          </w:tcPr>
          <w:p w:rsidR="00562D5A" w:rsidRPr="00FC1F44" w:rsidRDefault="00562D5A" w:rsidP="00D11768">
            <w:pPr>
              <w:rPr>
                <w:rFonts w:eastAsiaTheme="minorHAnsi" w:cs="Arial"/>
                <w:b/>
                <w:sz w:val="20"/>
                <w:szCs w:val="20"/>
              </w:rPr>
            </w:pPr>
            <w:r w:rsidRPr="00FC1F44">
              <w:rPr>
                <w:rFonts w:eastAsiaTheme="minorHAnsi" w:cs="Arial"/>
                <w:b/>
                <w:sz w:val="20"/>
                <w:szCs w:val="20"/>
              </w:rPr>
              <w:t>OOPD: wholly owned subsidiary (WOS)</w:t>
            </w:r>
          </w:p>
        </w:tc>
        <w:tc>
          <w:tcPr>
            <w:tcW w:w="1708" w:type="dxa"/>
            <w:tcMar>
              <w:top w:w="57" w:type="dxa"/>
              <w:left w:w="57" w:type="dxa"/>
              <w:bottom w:w="57" w:type="dxa"/>
              <w:right w:w="57" w:type="dxa"/>
            </w:tcMar>
          </w:tcPr>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Direct control</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Recommended KPI and regional sales data templates clearly defined and can be adapted for local use</w:t>
            </w:r>
          </w:p>
          <w:p w:rsidR="00562D5A" w:rsidRPr="00FC1F44" w:rsidRDefault="00562D5A" w:rsidP="00D11768">
            <w:pPr>
              <w:jc w:val="cente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sz w:val="20"/>
                <w:szCs w:val="20"/>
              </w:rPr>
              <w:t>Contract should be appropriately structured to ensure no conflict of interests between the WOS and members of the trust</w:t>
            </w:r>
          </w:p>
          <w:p w:rsidR="00562D5A" w:rsidRPr="00FC1F44" w:rsidRDefault="00562D5A" w:rsidP="00D11768">
            <w:pPr>
              <w:jc w:val="cente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sz w:val="20"/>
                <w:szCs w:val="20"/>
              </w:rPr>
              <w:t>Contract management workload is significant</w:t>
            </w:r>
          </w:p>
        </w:tc>
        <w:tc>
          <w:tcPr>
            <w:tcW w:w="2393" w:type="dxa"/>
            <w:tcMar>
              <w:top w:w="57" w:type="dxa"/>
              <w:left w:w="57" w:type="dxa"/>
              <w:bottom w:w="57" w:type="dxa"/>
              <w:right w:w="57" w:type="dxa"/>
            </w:tcMar>
          </w:tcPr>
          <w:p w:rsidR="00562D5A" w:rsidRPr="009C453F" w:rsidRDefault="00562D5A" w:rsidP="00D11768">
            <w:pPr>
              <w:rPr>
                <w:rFonts w:eastAsiaTheme="minorHAnsi" w:cs="Arial"/>
                <w:sz w:val="16"/>
                <w:szCs w:val="16"/>
              </w:rPr>
            </w:pPr>
            <w:r w:rsidRPr="00FC1F44">
              <w:rPr>
                <w:rFonts w:eastAsiaTheme="minorHAnsi" w:cs="Arial"/>
                <w:sz w:val="20"/>
                <w:szCs w:val="20"/>
              </w:rPr>
              <w:t>Wide variation but it is difficult to share information</w:t>
            </w:r>
          </w:p>
          <w:p w:rsidR="00562D5A" w:rsidRPr="009C453F" w:rsidRDefault="00562D5A" w:rsidP="00D11768">
            <w:pPr>
              <w:rPr>
                <w:rFonts w:eastAsiaTheme="minorHAnsi" w:cs="Arial"/>
                <w:sz w:val="16"/>
                <w:szCs w:val="16"/>
              </w:rPr>
            </w:pPr>
          </w:p>
          <w:p w:rsidR="00562D5A" w:rsidRPr="00FC1F44" w:rsidRDefault="00562D5A" w:rsidP="00D11768">
            <w:pPr>
              <w:rPr>
                <w:rFonts w:eastAsiaTheme="minorHAnsi" w:cs="Arial"/>
                <w:sz w:val="20"/>
                <w:szCs w:val="20"/>
              </w:rPr>
            </w:pPr>
            <w:r w:rsidRPr="00FC1F44">
              <w:rPr>
                <w:rFonts w:eastAsiaTheme="minorHAnsi" w:cs="Arial"/>
                <w:sz w:val="20"/>
                <w:szCs w:val="20"/>
              </w:rPr>
              <w:t>Establishment costs of the WOS need to be borne by the host organisation. These may well include detailed legal and tax advice.</w:t>
            </w:r>
          </w:p>
          <w:p w:rsidR="00562D5A" w:rsidRPr="00FC1F44" w:rsidRDefault="00562D5A" w:rsidP="00D11768">
            <w:pPr>
              <w:rPr>
                <w:rFonts w:eastAsiaTheme="minorHAnsi" w:cs="Arial"/>
                <w:sz w:val="20"/>
                <w:szCs w:val="20"/>
              </w:rPr>
            </w:pPr>
            <w:r w:rsidRPr="00FC1F44">
              <w:rPr>
                <w:rFonts w:eastAsiaTheme="minorHAnsi" w:cs="Arial"/>
                <w:sz w:val="20"/>
                <w:szCs w:val="20"/>
              </w:rPr>
              <w:t>Profits made by the WOS are retained within the NHS and therefore potentially can be re-invested in service development.</w:t>
            </w:r>
          </w:p>
          <w:p w:rsidR="00562D5A" w:rsidRPr="009C453F" w:rsidRDefault="00562D5A" w:rsidP="00D11768">
            <w:pPr>
              <w:rPr>
                <w:rFonts w:eastAsiaTheme="minorHAnsi" w:cs="Arial"/>
                <w:color w:val="00B050"/>
                <w:sz w:val="16"/>
                <w:szCs w:val="16"/>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 xml:space="preserve">Trust has closer / tighter  control of strategy, process and business </w:t>
            </w: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Trust and WOS aims and objectives can be very closely aligned</w:t>
            </w:r>
          </w:p>
          <w:p w:rsidR="00562D5A" w:rsidRPr="009C453F" w:rsidRDefault="00562D5A" w:rsidP="00D11768">
            <w:pPr>
              <w:rPr>
                <w:rFonts w:eastAsiaTheme="minorHAnsi" w:cs="Arial"/>
                <w:sz w:val="16"/>
                <w:szCs w:val="16"/>
              </w:rPr>
            </w:pPr>
          </w:p>
          <w:p w:rsidR="00562D5A" w:rsidRPr="00FC1F44" w:rsidRDefault="00562D5A" w:rsidP="00D11768">
            <w:pPr>
              <w:rPr>
                <w:rFonts w:eastAsiaTheme="minorHAnsi" w:cs="Arial"/>
                <w:sz w:val="20"/>
                <w:szCs w:val="20"/>
              </w:rPr>
            </w:pPr>
            <w:r w:rsidRPr="00FC1F44">
              <w:rPr>
                <w:rFonts w:eastAsiaTheme="minorHAnsi" w:cs="Arial"/>
                <w:sz w:val="20"/>
                <w:szCs w:val="20"/>
              </w:rPr>
              <w:t>Expertise is developing</w:t>
            </w:r>
            <w:r w:rsidR="00864559">
              <w:rPr>
                <w:rFonts w:eastAsiaTheme="minorHAnsi" w:cs="Arial"/>
                <w:sz w:val="20"/>
                <w:szCs w:val="20"/>
              </w:rPr>
              <w:t xml:space="preserve"> in this area as more and more t</w:t>
            </w:r>
            <w:r w:rsidRPr="00FC1F44">
              <w:rPr>
                <w:rFonts w:eastAsiaTheme="minorHAnsi" w:cs="Arial"/>
                <w:sz w:val="20"/>
                <w:szCs w:val="20"/>
              </w:rPr>
              <w:t xml:space="preserve">rusts go down this route. Such information can be shared thus reducing overall costs of establishing these </w:t>
            </w:r>
            <w:r w:rsidR="009C453F">
              <w:rPr>
                <w:rFonts w:eastAsiaTheme="minorHAnsi" w:cs="Arial"/>
                <w:sz w:val="20"/>
                <w:szCs w:val="20"/>
              </w:rPr>
              <w:t>vehicles</w:t>
            </w:r>
          </w:p>
          <w:p w:rsidR="00562D5A" w:rsidRPr="00FC1F44" w:rsidRDefault="00562D5A" w:rsidP="00D11768">
            <w:pPr>
              <w:rPr>
                <w:rFonts w:eastAsiaTheme="minorHAnsi" w:cs="Arial"/>
                <w:sz w:val="20"/>
                <w:szCs w:val="20"/>
              </w:rPr>
            </w:pPr>
          </w:p>
        </w:tc>
        <w:tc>
          <w:tcPr>
            <w:tcW w:w="1985" w:type="dxa"/>
            <w:tcMar>
              <w:top w:w="57" w:type="dxa"/>
              <w:left w:w="57" w:type="dxa"/>
              <w:bottom w:w="57" w:type="dxa"/>
              <w:right w:w="57" w:type="dxa"/>
            </w:tcMar>
          </w:tcPr>
          <w:p w:rsidR="00562D5A" w:rsidRPr="00FC1F44" w:rsidRDefault="00562D5A" w:rsidP="00D11768">
            <w:pPr>
              <w:rPr>
                <w:rFonts w:eastAsiaTheme="minorHAnsi" w:cs="Arial"/>
                <w:sz w:val="20"/>
                <w:szCs w:val="20"/>
              </w:rPr>
            </w:pPr>
            <w:r w:rsidRPr="00FC1F44">
              <w:rPr>
                <w:rFonts w:eastAsiaTheme="minorHAnsi" w:cs="Arial"/>
                <w:sz w:val="20"/>
                <w:szCs w:val="20"/>
              </w:rPr>
              <w:t>Accessible</w:t>
            </w:r>
          </w:p>
          <w:p w:rsidR="00562D5A" w:rsidRPr="00FC1F44" w:rsidRDefault="00562D5A" w:rsidP="00D11768">
            <w:pPr>
              <w:rPr>
                <w:rFonts w:eastAsiaTheme="minorHAnsi" w:cs="Arial"/>
                <w:sz w:val="20"/>
                <w:szCs w:val="20"/>
              </w:rPr>
            </w:pPr>
            <w:r w:rsidRPr="00FC1F44">
              <w:rPr>
                <w:rFonts w:eastAsiaTheme="minorHAnsi" w:cs="Arial"/>
                <w:sz w:val="20"/>
                <w:szCs w:val="20"/>
              </w:rPr>
              <w:t>but may require a separate agreement from Manufacturers</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 xml:space="preserve">Ability to make off contract claims when NHSE CMU contracted medicine is not available </w:t>
            </w:r>
            <w:r w:rsidRPr="00FC1F44">
              <w:rPr>
                <w:rFonts w:eastAsiaTheme="minorHAnsi" w:cs="Arial"/>
                <w:sz w:val="20"/>
                <w:szCs w:val="20"/>
              </w:rPr>
              <w:t>provided that there is an agreement from Manufacturers and this often requires an extra step in the process</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color w:val="00B050"/>
                <w:sz w:val="20"/>
                <w:szCs w:val="20"/>
              </w:rPr>
              <w:t>VAT zero rated</w:t>
            </w:r>
          </w:p>
        </w:tc>
        <w:tc>
          <w:tcPr>
            <w:tcW w:w="1984" w:type="dxa"/>
            <w:tcMar>
              <w:top w:w="57" w:type="dxa"/>
              <w:left w:w="57" w:type="dxa"/>
              <w:bottom w:w="57" w:type="dxa"/>
              <w:right w:w="57" w:type="dxa"/>
            </w:tcMar>
          </w:tcPr>
          <w:p w:rsidR="00562D5A" w:rsidRPr="00FC1F44" w:rsidRDefault="00562D5A" w:rsidP="00D11768">
            <w:pPr>
              <w:rPr>
                <w:rFonts w:eastAsiaTheme="minorHAnsi" w:cs="Arial"/>
                <w:sz w:val="20"/>
                <w:szCs w:val="20"/>
              </w:rPr>
            </w:pPr>
            <w:r w:rsidRPr="00FC1F44">
              <w:rPr>
                <w:rFonts w:eastAsiaTheme="minorHAnsi" w:cs="Arial"/>
                <w:sz w:val="20"/>
                <w:szCs w:val="20"/>
              </w:rPr>
              <w:t>Stock is owned by the WOS – therefore one-off saving achieved as stock ownership transferred to WOS</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Formulary management possible</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p>
        </w:tc>
        <w:tc>
          <w:tcPr>
            <w:tcW w:w="1701" w:type="dxa"/>
            <w:tcMar>
              <w:top w:w="57" w:type="dxa"/>
              <w:left w:w="57" w:type="dxa"/>
              <w:bottom w:w="57" w:type="dxa"/>
              <w:right w:w="57" w:type="dxa"/>
            </w:tcMar>
          </w:tcPr>
          <w:p w:rsidR="00562D5A" w:rsidRPr="00FC1F44" w:rsidRDefault="00562D5A" w:rsidP="00D11768">
            <w:pPr>
              <w:rPr>
                <w:rFonts w:eastAsiaTheme="minorHAnsi" w:cs="Arial"/>
                <w:sz w:val="20"/>
                <w:szCs w:val="20"/>
              </w:rPr>
            </w:pPr>
            <w:r w:rsidRPr="00FC1F44">
              <w:rPr>
                <w:rFonts w:eastAsiaTheme="minorHAnsi" w:cs="Arial"/>
                <w:sz w:val="20"/>
                <w:szCs w:val="20"/>
              </w:rPr>
              <w:t>Patients must travel in order to collect medicines</w:t>
            </w:r>
          </w:p>
        </w:tc>
        <w:tc>
          <w:tcPr>
            <w:tcW w:w="1843" w:type="dxa"/>
            <w:tcMar>
              <w:top w:w="57" w:type="dxa"/>
              <w:left w:w="57" w:type="dxa"/>
              <w:bottom w:w="57" w:type="dxa"/>
              <w:right w:w="57" w:type="dxa"/>
            </w:tcMar>
          </w:tcPr>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Patients have access to experienced  NHS pharmacy staff</w:t>
            </w:r>
          </w:p>
          <w:p w:rsidR="00562D5A" w:rsidRPr="00FC1F44" w:rsidRDefault="00562D5A" w:rsidP="00D11768">
            <w:pPr>
              <w:rPr>
                <w:rFonts w:eastAsiaTheme="minorHAnsi" w:cs="Arial"/>
                <w:color w:val="00B050"/>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Training opportunities for NHS staff in patient counselling and pharmacy management</w:t>
            </w:r>
          </w:p>
          <w:p w:rsidR="00562D5A" w:rsidRPr="00FC1F44" w:rsidRDefault="00562D5A" w:rsidP="00D11768">
            <w:pPr>
              <w:rPr>
                <w:rFonts w:eastAsiaTheme="minorHAnsi" w:cs="Arial"/>
                <w:sz w:val="20"/>
                <w:szCs w:val="20"/>
              </w:rPr>
            </w:pPr>
          </w:p>
        </w:tc>
        <w:tc>
          <w:tcPr>
            <w:tcW w:w="1941" w:type="dxa"/>
            <w:tcMar>
              <w:top w:w="57" w:type="dxa"/>
              <w:left w:w="57" w:type="dxa"/>
              <w:bottom w:w="57" w:type="dxa"/>
              <w:right w:w="57" w:type="dxa"/>
            </w:tcMar>
          </w:tcPr>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 xml:space="preserve">Release of capacity of dispensary staff to clinical roles </w:t>
            </w:r>
          </w:p>
          <w:p w:rsidR="00562D5A" w:rsidRPr="00FC1F44" w:rsidRDefault="00562D5A" w:rsidP="00D11768">
            <w:pPr>
              <w:rPr>
                <w:rFonts w:eastAsiaTheme="minorHAnsi" w:cs="Arial"/>
                <w:color w:val="00B050"/>
                <w:sz w:val="20"/>
                <w:szCs w:val="20"/>
              </w:rPr>
            </w:pPr>
          </w:p>
          <w:p w:rsidR="00562D5A" w:rsidRPr="00FC1F44" w:rsidRDefault="00562D5A" w:rsidP="00D11768">
            <w:pPr>
              <w:rPr>
                <w:rFonts w:eastAsiaTheme="minorHAnsi" w:cs="Arial"/>
                <w:sz w:val="20"/>
                <w:szCs w:val="20"/>
              </w:rPr>
            </w:pPr>
            <w:r w:rsidRPr="00FC1F44">
              <w:rPr>
                <w:rFonts w:eastAsiaTheme="minorHAnsi" w:cs="Arial"/>
                <w:color w:val="00B050"/>
                <w:sz w:val="20"/>
                <w:szCs w:val="20"/>
              </w:rPr>
              <w:t>Can respond rapidly to changing environment. Local discussion and negotiation with respect to increases or decreases in workload</w:t>
            </w:r>
          </w:p>
        </w:tc>
      </w:tr>
    </w:tbl>
    <w:p w:rsidR="007E7DBB" w:rsidRDefault="007E7DBB"/>
    <w:p w:rsidR="00D11768" w:rsidRDefault="00D11768"/>
    <w:p w:rsidR="00D11768" w:rsidRDefault="00D11768"/>
    <w:tbl>
      <w:tblPr>
        <w:tblStyle w:val="TableGrid"/>
        <w:tblW w:w="1513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79"/>
        <w:gridCol w:w="1708"/>
        <w:gridCol w:w="2251"/>
        <w:gridCol w:w="2127"/>
        <w:gridCol w:w="2126"/>
        <w:gridCol w:w="1559"/>
        <w:gridCol w:w="1843"/>
        <w:gridCol w:w="1941"/>
      </w:tblGrid>
      <w:tr w:rsidR="00866F71" w:rsidRPr="00FC1F44" w:rsidTr="00FC1F44">
        <w:trPr>
          <w:jc w:val="center"/>
        </w:trPr>
        <w:tc>
          <w:tcPr>
            <w:tcW w:w="1579" w:type="dxa"/>
            <w:tcMar>
              <w:top w:w="57" w:type="dxa"/>
              <w:left w:w="57" w:type="dxa"/>
              <w:bottom w:w="57" w:type="dxa"/>
              <w:right w:w="57" w:type="dxa"/>
            </w:tcMar>
          </w:tcPr>
          <w:p w:rsidR="00562D5A" w:rsidRPr="00FC1F44" w:rsidRDefault="00562D5A" w:rsidP="00D11768">
            <w:pPr>
              <w:rPr>
                <w:rFonts w:eastAsiaTheme="minorHAnsi" w:cs="Arial"/>
                <w:b/>
                <w:sz w:val="20"/>
                <w:szCs w:val="20"/>
              </w:rPr>
            </w:pPr>
            <w:r w:rsidRPr="00FC1F44">
              <w:rPr>
                <w:rFonts w:eastAsiaTheme="minorHAnsi" w:cs="Arial"/>
                <w:b/>
                <w:sz w:val="20"/>
                <w:szCs w:val="20"/>
              </w:rPr>
              <w:t>Homecare Medicines Services via Homecare Provider</w:t>
            </w:r>
          </w:p>
        </w:tc>
        <w:tc>
          <w:tcPr>
            <w:tcW w:w="1708" w:type="dxa"/>
            <w:tcMar>
              <w:top w:w="57" w:type="dxa"/>
              <w:left w:w="57" w:type="dxa"/>
              <w:bottom w:w="57" w:type="dxa"/>
              <w:right w:w="57" w:type="dxa"/>
            </w:tcMar>
          </w:tcPr>
          <w:p w:rsidR="00562D5A" w:rsidRPr="00FC1F44" w:rsidRDefault="00562D5A" w:rsidP="00D11768">
            <w:pPr>
              <w:rPr>
                <w:rFonts w:eastAsiaTheme="minorHAnsi" w:cs="Arial"/>
                <w:sz w:val="20"/>
                <w:szCs w:val="20"/>
              </w:rPr>
            </w:pPr>
            <w:r w:rsidRPr="00FC1F44">
              <w:rPr>
                <w:rFonts w:eastAsiaTheme="minorHAnsi" w:cs="Arial"/>
                <w:sz w:val="20"/>
                <w:szCs w:val="20"/>
              </w:rPr>
              <w:t>Indirect control</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National KPI and regional sales data templates clearly defined and widely used</w:t>
            </w:r>
          </w:p>
          <w:p w:rsidR="00562D5A" w:rsidRPr="00FC1F44" w:rsidRDefault="00562D5A" w:rsidP="00D11768">
            <w:pPr>
              <w:rPr>
                <w:rFonts w:eastAsiaTheme="minorHAnsi" w:cs="Arial"/>
                <w:color w:val="00B050"/>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National documentation and support available</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sz w:val="20"/>
                <w:szCs w:val="20"/>
              </w:rPr>
              <w:t>National Homecare Risk Assessment toolkit available</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sz w:val="20"/>
                <w:szCs w:val="20"/>
              </w:rPr>
              <w:t>Considerable Pharmacy resource required</w:t>
            </w:r>
          </w:p>
        </w:tc>
        <w:tc>
          <w:tcPr>
            <w:tcW w:w="2251" w:type="dxa"/>
            <w:tcMar>
              <w:top w:w="57" w:type="dxa"/>
              <w:left w:w="57" w:type="dxa"/>
              <w:bottom w:w="57" w:type="dxa"/>
              <w:right w:w="57" w:type="dxa"/>
            </w:tcMar>
          </w:tcPr>
          <w:p w:rsidR="00562D5A" w:rsidRPr="00FC1F44" w:rsidRDefault="00562D5A" w:rsidP="00D11768">
            <w:pPr>
              <w:rPr>
                <w:rFonts w:eastAsiaTheme="minorHAnsi" w:cs="Arial"/>
                <w:sz w:val="20"/>
                <w:szCs w:val="20"/>
              </w:rPr>
            </w:pPr>
            <w:r w:rsidRPr="00FC1F44">
              <w:rPr>
                <w:rFonts w:eastAsiaTheme="minorHAnsi" w:cs="Arial"/>
                <w:sz w:val="20"/>
                <w:szCs w:val="20"/>
              </w:rPr>
              <w:t>Contract management workload is significant</w:t>
            </w:r>
          </w:p>
          <w:p w:rsidR="00562D5A" w:rsidRPr="00FC1F44" w:rsidRDefault="00562D5A" w:rsidP="00D11768">
            <w:pPr>
              <w:rPr>
                <w:rFonts w:eastAsiaTheme="minorHAnsi" w:cs="Arial"/>
                <w:color w:val="00B050"/>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Regional funding models exist. National funding model under discussion</w:t>
            </w:r>
          </w:p>
          <w:p w:rsidR="00562D5A" w:rsidRPr="00FC1F44" w:rsidRDefault="00562D5A" w:rsidP="00D11768">
            <w:pPr>
              <w:rPr>
                <w:rFonts w:eastAsiaTheme="minorHAnsi" w:cs="Arial"/>
                <w:color w:val="00B050"/>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Management costs have been quantified</w:t>
            </w:r>
          </w:p>
          <w:p w:rsidR="00562D5A" w:rsidRPr="00FC1F44" w:rsidRDefault="00562D5A" w:rsidP="00D11768">
            <w:pPr>
              <w:rPr>
                <w:rFonts w:eastAsiaTheme="minorHAnsi" w:cs="Arial"/>
                <w:color w:val="00B050"/>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National documentation and support available</w:t>
            </w:r>
          </w:p>
          <w:p w:rsidR="00562D5A" w:rsidRPr="00FC1F44" w:rsidRDefault="00562D5A" w:rsidP="00D11768">
            <w:pPr>
              <w:rPr>
                <w:rFonts w:eastAsiaTheme="minorHAnsi" w:cs="Arial"/>
                <w:color w:val="00B050"/>
                <w:sz w:val="20"/>
                <w:szCs w:val="20"/>
              </w:rPr>
            </w:pPr>
          </w:p>
          <w:p w:rsidR="00562D5A" w:rsidRPr="00FC1F44" w:rsidRDefault="00562D5A" w:rsidP="00D11768">
            <w:pPr>
              <w:rPr>
                <w:rFonts w:eastAsiaTheme="minorHAnsi" w:cs="Arial"/>
                <w:sz w:val="20"/>
                <w:szCs w:val="20"/>
              </w:rPr>
            </w:pPr>
            <w:r w:rsidRPr="00FC1F44">
              <w:rPr>
                <w:rFonts w:eastAsiaTheme="minorHAnsi" w:cs="Arial"/>
                <w:color w:val="00B050"/>
                <w:sz w:val="20"/>
                <w:szCs w:val="20"/>
              </w:rPr>
              <w:t>National, Regional and local strategic oversight and support available</w:t>
            </w:r>
          </w:p>
        </w:tc>
        <w:tc>
          <w:tcPr>
            <w:tcW w:w="2127" w:type="dxa"/>
            <w:tcMar>
              <w:top w:w="57" w:type="dxa"/>
              <w:left w:w="57" w:type="dxa"/>
              <w:bottom w:w="57" w:type="dxa"/>
              <w:right w:w="57" w:type="dxa"/>
            </w:tcMar>
          </w:tcPr>
          <w:p w:rsidR="00562D5A" w:rsidRPr="00FC1F44" w:rsidRDefault="00562D5A" w:rsidP="00D11768">
            <w:pPr>
              <w:rPr>
                <w:rFonts w:eastAsiaTheme="minorHAnsi" w:cs="Arial"/>
                <w:sz w:val="20"/>
                <w:szCs w:val="20"/>
              </w:rPr>
            </w:pPr>
            <w:r w:rsidRPr="00FC1F44">
              <w:rPr>
                <w:rFonts w:eastAsiaTheme="minorHAnsi" w:cs="Arial"/>
                <w:sz w:val="20"/>
                <w:szCs w:val="20"/>
              </w:rPr>
              <w:t>Accessible but requires a separate agreement from Manufacturers</w:t>
            </w:r>
          </w:p>
          <w:p w:rsidR="00562D5A" w:rsidRPr="00FC1F44" w:rsidRDefault="00562D5A" w:rsidP="00D11768">
            <w:pPr>
              <w:rPr>
                <w:rFonts w:eastAsiaTheme="minorHAnsi" w:cs="Arial"/>
                <w:sz w:val="20"/>
                <w:szCs w:val="20"/>
              </w:rPr>
            </w:pPr>
          </w:p>
          <w:p w:rsidR="00562D5A" w:rsidRDefault="00562D5A" w:rsidP="00D11768">
            <w:pPr>
              <w:rPr>
                <w:rFonts w:eastAsiaTheme="minorHAnsi" w:cs="Arial"/>
                <w:sz w:val="20"/>
                <w:szCs w:val="20"/>
              </w:rPr>
            </w:pPr>
            <w:r w:rsidRPr="00FC1F44">
              <w:rPr>
                <w:rFonts w:eastAsiaTheme="minorHAnsi" w:cs="Arial"/>
                <w:sz w:val="20"/>
                <w:szCs w:val="20"/>
              </w:rPr>
              <w:t>Ability to make off contract claims when NHSE CMU contracted medicine is not available requires negotiation on a case by case basis. Potential for one ‘stock out’ to cause financial pressure to the NHS</w:t>
            </w:r>
          </w:p>
          <w:p w:rsidR="00A72723" w:rsidRPr="00FC1F44" w:rsidRDefault="00A72723" w:rsidP="00D11768">
            <w:pPr>
              <w:rPr>
                <w:rFonts w:eastAsiaTheme="minorHAnsi" w:cs="Arial"/>
                <w:sz w:val="20"/>
                <w:szCs w:val="20"/>
              </w:rPr>
            </w:pPr>
          </w:p>
          <w:p w:rsidR="00562D5A" w:rsidRPr="00D11768" w:rsidRDefault="00562D5A" w:rsidP="00D11768">
            <w:pPr>
              <w:rPr>
                <w:rFonts w:eastAsiaTheme="minorHAnsi" w:cs="Arial"/>
                <w:sz w:val="16"/>
                <w:szCs w:val="16"/>
              </w:rPr>
            </w:pPr>
            <w:r w:rsidRPr="00FC1F44">
              <w:rPr>
                <w:rFonts w:eastAsiaTheme="minorHAnsi" w:cs="Arial"/>
                <w:sz w:val="20"/>
                <w:szCs w:val="20"/>
              </w:rPr>
              <w:t xml:space="preserve">Usage data is not consistently supplied to CMU and included in </w:t>
            </w:r>
            <w:proofErr w:type="spellStart"/>
            <w:r w:rsidRPr="00FC1F44">
              <w:rPr>
                <w:rFonts w:eastAsiaTheme="minorHAnsi" w:cs="Arial"/>
                <w:sz w:val="20"/>
                <w:szCs w:val="20"/>
              </w:rPr>
              <w:t>Pharmex</w:t>
            </w:r>
            <w:proofErr w:type="spellEnd"/>
            <w:r w:rsidRPr="00FC1F44">
              <w:rPr>
                <w:rFonts w:eastAsiaTheme="minorHAnsi" w:cs="Arial"/>
                <w:sz w:val="20"/>
                <w:szCs w:val="20"/>
              </w:rPr>
              <w:t xml:space="preserve"> data for contracting purposes</w:t>
            </w:r>
          </w:p>
          <w:p w:rsidR="00562D5A" w:rsidRPr="00D11768" w:rsidRDefault="00562D5A" w:rsidP="00D11768">
            <w:pPr>
              <w:rPr>
                <w:rFonts w:eastAsiaTheme="minorHAnsi" w:cs="Arial"/>
                <w:sz w:val="16"/>
                <w:szCs w:val="16"/>
              </w:rPr>
            </w:pPr>
          </w:p>
          <w:p w:rsidR="00562D5A" w:rsidRPr="00FC1F44" w:rsidRDefault="00562D5A" w:rsidP="00D11768">
            <w:pPr>
              <w:rPr>
                <w:rFonts w:eastAsiaTheme="minorHAnsi" w:cs="Arial"/>
                <w:sz w:val="20"/>
                <w:szCs w:val="20"/>
              </w:rPr>
            </w:pPr>
            <w:r w:rsidRPr="00FC1F44">
              <w:rPr>
                <w:rFonts w:eastAsiaTheme="minorHAnsi" w:cs="Arial"/>
                <w:color w:val="00B050"/>
                <w:sz w:val="20"/>
                <w:szCs w:val="20"/>
              </w:rPr>
              <w:t>VAT zero rated if medicines are delivered to the patients home</w:t>
            </w:r>
          </w:p>
        </w:tc>
        <w:tc>
          <w:tcPr>
            <w:tcW w:w="2126" w:type="dxa"/>
            <w:tcMar>
              <w:top w:w="57" w:type="dxa"/>
              <w:left w:w="57" w:type="dxa"/>
              <w:bottom w:w="57" w:type="dxa"/>
              <w:right w:w="57" w:type="dxa"/>
            </w:tcMar>
          </w:tcPr>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One off reduction in stock holding on initiation of service</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Avoidance of increased stock holding as new medicines are launched</w:t>
            </w:r>
          </w:p>
          <w:p w:rsidR="00562D5A" w:rsidRPr="00FC1F44" w:rsidRDefault="00562D5A" w:rsidP="00D11768">
            <w:pPr>
              <w:rPr>
                <w:rFonts w:eastAsiaTheme="minorHAnsi" w:cs="Arial"/>
                <w:color w:val="00B050"/>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Formulary management possible</w:t>
            </w:r>
          </w:p>
          <w:p w:rsidR="00562D5A" w:rsidRPr="00FC1F44" w:rsidRDefault="00562D5A" w:rsidP="00D11768">
            <w:pPr>
              <w:rPr>
                <w:rFonts w:eastAsiaTheme="minorHAnsi" w:cs="Arial"/>
                <w:color w:val="00B050"/>
                <w:sz w:val="20"/>
                <w:szCs w:val="20"/>
              </w:rPr>
            </w:pPr>
          </w:p>
          <w:p w:rsidR="00562D5A" w:rsidRPr="00FC1F44" w:rsidRDefault="00562D5A" w:rsidP="00D11768">
            <w:pPr>
              <w:rPr>
                <w:rFonts w:eastAsiaTheme="minorHAnsi" w:cs="Arial"/>
                <w:sz w:val="20"/>
                <w:szCs w:val="20"/>
              </w:rPr>
            </w:pPr>
            <w:r w:rsidRPr="00FC1F44">
              <w:rPr>
                <w:rFonts w:eastAsiaTheme="minorHAnsi" w:cs="Arial"/>
                <w:color w:val="00B050"/>
                <w:sz w:val="20"/>
                <w:szCs w:val="20"/>
              </w:rPr>
              <w:t>Delivery charges often funded by Manufacturers (70% homecare market)</w:t>
            </w:r>
          </w:p>
        </w:tc>
        <w:tc>
          <w:tcPr>
            <w:tcW w:w="1559" w:type="dxa"/>
            <w:tcMar>
              <w:top w:w="57" w:type="dxa"/>
              <w:left w:w="57" w:type="dxa"/>
              <w:bottom w:w="57" w:type="dxa"/>
              <w:right w:w="57" w:type="dxa"/>
            </w:tcMar>
          </w:tcPr>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Care is provided closer to home</w:t>
            </w:r>
          </w:p>
          <w:p w:rsidR="00562D5A" w:rsidRPr="00FC1F44" w:rsidRDefault="00562D5A" w:rsidP="00D11768">
            <w:pPr>
              <w:rPr>
                <w:rFonts w:eastAsiaTheme="minorHAnsi" w:cs="Arial"/>
                <w:color w:val="00B050"/>
                <w:sz w:val="20"/>
                <w:szCs w:val="20"/>
              </w:rPr>
            </w:pPr>
          </w:p>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Nurse training, patient education and home administration of medicines is possible</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sz w:val="20"/>
                <w:szCs w:val="20"/>
              </w:rPr>
              <w:t>Not all patients</w:t>
            </w:r>
            <w:r w:rsidR="00213AAD">
              <w:rPr>
                <w:rFonts w:eastAsiaTheme="minorHAnsi" w:cs="Arial"/>
                <w:sz w:val="20"/>
                <w:szCs w:val="20"/>
              </w:rPr>
              <w:t xml:space="preserve"> </w:t>
            </w:r>
            <w:r w:rsidRPr="00FC1F44">
              <w:rPr>
                <w:rFonts w:eastAsiaTheme="minorHAnsi" w:cs="Arial"/>
                <w:sz w:val="20"/>
                <w:szCs w:val="20"/>
              </w:rPr>
              <w:t>/</w:t>
            </w:r>
            <w:r w:rsidR="00213AAD">
              <w:rPr>
                <w:rFonts w:eastAsiaTheme="minorHAnsi" w:cs="Arial"/>
                <w:sz w:val="20"/>
                <w:szCs w:val="20"/>
              </w:rPr>
              <w:t xml:space="preserve"> </w:t>
            </w:r>
            <w:r w:rsidRPr="00FC1F44">
              <w:rPr>
                <w:rFonts w:eastAsiaTheme="minorHAnsi" w:cs="Arial"/>
                <w:sz w:val="20"/>
                <w:szCs w:val="20"/>
              </w:rPr>
              <w:t>patient cohorts will be suitable</w:t>
            </w:r>
          </w:p>
        </w:tc>
        <w:tc>
          <w:tcPr>
            <w:tcW w:w="1843" w:type="dxa"/>
            <w:tcMar>
              <w:top w:w="57" w:type="dxa"/>
              <w:left w:w="57" w:type="dxa"/>
              <w:bottom w:w="57" w:type="dxa"/>
              <w:right w:w="57" w:type="dxa"/>
            </w:tcMar>
          </w:tcPr>
          <w:p w:rsidR="00562D5A" w:rsidRPr="00FC1F44" w:rsidRDefault="00562D5A" w:rsidP="00D11768">
            <w:pPr>
              <w:rPr>
                <w:rFonts w:eastAsiaTheme="minorHAnsi" w:cs="Arial"/>
                <w:sz w:val="20"/>
                <w:szCs w:val="20"/>
              </w:rPr>
            </w:pPr>
            <w:r w:rsidRPr="00FC1F44">
              <w:rPr>
                <w:rFonts w:eastAsiaTheme="minorHAnsi" w:cs="Arial"/>
                <w:color w:val="00B050"/>
                <w:sz w:val="20"/>
                <w:szCs w:val="20"/>
              </w:rPr>
              <w:t xml:space="preserve">Patients may have access to experienced  NHS pharmacy staff on attendance at outpatient appointments </w:t>
            </w:r>
            <w:r w:rsidRPr="00FC1F44">
              <w:rPr>
                <w:rFonts w:eastAsiaTheme="minorHAnsi" w:cs="Arial"/>
                <w:sz w:val="20"/>
                <w:szCs w:val="20"/>
              </w:rPr>
              <w:t>but not at the time of receiving their medicines</w:t>
            </w:r>
          </w:p>
          <w:p w:rsidR="00562D5A" w:rsidRPr="00FC1F44" w:rsidRDefault="00562D5A" w:rsidP="00D11768">
            <w:pPr>
              <w:rPr>
                <w:rFonts w:eastAsiaTheme="minorHAnsi" w:cs="Arial"/>
                <w:sz w:val="20"/>
                <w:szCs w:val="20"/>
              </w:rPr>
            </w:pPr>
          </w:p>
          <w:p w:rsidR="00562D5A" w:rsidRPr="00FC1F44" w:rsidRDefault="00562D5A" w:rsidP="00D11768">
            <w:pPr>
              <w:rPr>
                <w:rFonts w:eastAsiaTheme="minorHAnsi" w:cs="Arial"/>
                <w:sz w:val="20"/>
                <w:szCs w:val="20"/>
              </w:rPr>
            </w:pPr>
            <w:r w:rsidRPr="00FC1F44">
              <w:rPr>
                <w:rFonts w:eastAsiaTheme="minorHAnsi" w:cs="Arial"/>
                <w:color w:val="00B050"/>
                <w:sz w:val="20"/>
                <w:szCs w:val="20"/>
              </w:rPr>
              <w:t>Telephone support often available</w:t>
            </w:r>
          </w:p>
        </w:tc>
        <w:tc>
          <w:tcPr>
            <w:tcW w:w="1941" w:type="dxa"/>
            <w:tcMar>
              <w:top w:w="57" w:type="dxa"/>
              <w:left w:w="57" w:type="dxa"/>
              <w:bottom w:w="57" w:type="dxa"/>
              <w:right w:w="57" w:type="dxa"/>
            </w:tcMar>
          </w:tcPr>
          <w:p w:rsidR="00562D5A" w:rsidRPr="00FC1F44" w:rsidRDefault="00562D5A" w:rsidP="00D11768">
            <w:pPr>
              <w:rPr>
                <w:rFonts w:eastAsiaTheme="minorHAnsi" w:cs="Arial"/>
                <w:color w:val="00B050"/>
                <w:sz w:val="20"/>
                <w:szCs w:val="20"/>
              </w:rPr>
            </w:pPr>
            <w:r w:rsidRPr="00FC1F44">
              <w:rPr>
                <w:rFonts w:eastAsiaTheme="minorHAnsi" w:cs="Arial"/>
                <w:color w:val="00B050"/>
                <w:sz w:val="20"/>
                <w:szCs w:val="20"/>
              </w:rPr>
              <w:t>Release of capacity of dispensary staff to clinical roles</w:t>
            </w:r>
          </w:p>
          <w:p w:rsidR="00562D5A" w:rsidRPr="00FC1F44" w:rsidRDefault="00562D5A" w:rsidP="00D11768">
            <w:pPr>
              <w:rPr>
                <w:rFonts w:eastAsiaTheme="minorHAnsi" w:cs="Arial"/>
                <w:sz w:val="20"/>
                <w:szCs w:val="20"/>
              </w:rPr>
            </w:pPr>
          </w:p>
        </w:tc>
      </w:tr>
    </w:tbl>
    <w:p w:rsidR="007E7DBB" w:rsidRDefault="007E7DBB"/>
    <w:p w:rsidR="007E7DBB" w:rsidRDefault="007E7DBB"/>
    <w:p w:rsidR="00FC1F44" w:rsidRDefault="00FC1F44"/>
    <w:p w:rsidR="00D11768" w:rsidRDefault="00D11768"/>
    <w:p w:rsidR="00D11768" w:rsidRDefault="00D11768"/>
    <w:p w:rsidR="00D11768" w:rsidRDefault="00D11768"/>
    <w:p w:rsidR="007E7DBB" w:rsidRDefault="007E7DBB"/>
    <w:tbl>
      <w:tblPr>
        <w:tblStyle w:val="TableGrid"/>
        <w:tblW w:w="1513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79"/>
        <w:gridCol w:w="1708"/>
        <w:gridCol w:w="2251"/>
        <w:gridCol w:w="2127"/>
        <w:gridCol w:w="2126"/>
        <w:gridCol w:w="1559"/>
        <w:gridCol w:w="1843"/>
        <w:gridCol w:w="1941"/>
      </w:tblGrid>
      <w:tr w:rsidR="00866F71" w:rsidRPr="00FC1F44" w:rsidTr="00FC1F44">
        <w:trPr>
          <w:jc w:val="center"/>
        </w:trPr>
        <w:tc>
          <w:tcPr>
            <w:tcW w:w="1579" w:type="dxa"/>
            <w:tcMar>
              <w:top w:w="57" w:type="dxa"/>
              <w:left w:w="57" w:type="dxa"/>
              <w:bottom w:w="57" w:type="dxa"/>
              <w:right w:w="57" w:type="dxa"/>
            </w:tcMar>
          </w:tcPr>
          <w:p w:rsidR="00562D5A" w:rsidRPr="00FC1F44" w:rsidRDefault="00562D5A" w:rsidP="00562D5A">
            <w:pPr>
              <w:rPr>
                <w:rFonts w:eastAsiaTheme="minorHAnsi" w:cs="Arial"/>
                <w:b/>
                <w:sz w:val="20"/>
                <w:szCs w:val="20"/>
              </w:rPr>
            </w:pPr>
            <w:r w:rsidRPr="00FC1F44">
              <w:rPr>
                <w:rFonts w:eastAsia="Times New Roman" w:cs="Arial"/>
                <w:b/>
                <w:bCs/>
                <w:sz w:val="20"/>
                <w:szCs w:val="20"/>
              </w:rPr>
              <w:t>Hub and spoke model</w:t>
            </w:r>
          </w:p>
        </w:tc>
        <w:tc>
          <w:tcPr>
            <w:tcW w:w="1708" w:type="dxa"/>
            <w:tcMar>
              <w:top w:w="57" w:type="dxa"/>
              <w:left w:w="57" w:type="dxa"/>
              <w:bottom w:w="57" w:type="dxa"/>
              <w:right w:w="57" w:type="dxa"/>
            </w:tcMar>
          </w:tcPr>
          <w:p w:rsidR="00562D5A" w:rsidRPr="00FC1F44" w:rsidRDefault="00562D5A" w:rsidP="00562D5A">
            <w:pPr>
              <w:rPr>
                <w:rFonts w:eastAsiaTheme="minorHAnsi" w:cs="Arial"/>
                <w:sz w:val="20"/>
                <w:szCs w:val="20"/>
              </w:rPr>
            </w:pPr>
            <w:r w:rsidRPr="00FC1F44">
              <w:rPr>
                <w:rFonts w:eastAsiaTheme="minorHAnsi" w:cs="Arial"/>
                <w:sz w:val="20"/>
                <w:szCs w:val="20"/>
              </w:rPr>
              <w:t>Indirect control</w:t>
            </w:r>
          </w:p>
          <w:p w:rsidR="00562D5A" w:rsidRPr="00FC1F44" w:rsidRDefault="00562D5A" w:rsidP="00562D5A">
            <w:pPr>
              <w:rPr>
                <w:rFonts w:eastAsiaTheme="minorHAnsi" w:cs="Arial"/>
                <w:sz w:val="20"/>
                <w:szCs w:val="20"/>
              </w:rPr>
            </w:pPr>
          </w:p>
          <w:p w:rsidR="00562D5A" w:rsidRPr="00FC1F44" w:rsidRDefault="00562D5A" w:rsidP="00562D5A">
            <w:pPr>
              <w:rPr>
                <w:rFonts w:eastAsiaTheme="minorHAnsi" w:cs="Arial"/>
                <w:sz w:val="20"/>
                <w:szCs w:val="20"/>
              </w:rPr>
            </w:pPr>
            <w:r w:rsidRPr="00FC1F44">
              <w:rPr>
                <w:rFonts w:eastAsiaTheme="minorHAnsi" w:cs="Arial"/>
                <w:sz w:val="20"/>
                <w:szCs w:val="20"/>
              </w:rPr>
              <w:t>No national KPI dataset</w:t>
            </w:r>
          </w:p>
          <w:p w:rsidR="00562D5A" w:rsidRPr="00FC1F44" w:rsidRDefault="00562D5A" w:rsidP="00562D5A">
            <w:pPr>
              <w:rPr>
                <w:rFonts w:eastAsiaTheme="minorHAnsi" w:cs="Arial"/>
                <w:sz w:val="20"/>
                <w:szCs w:val="20"/>
              </w:rPr>
            </w:pPr>
          </w:p>
        </w:tc>
        <w:tc>
          <w:tcPr>
            <w:tcW w:w="2251" w:type="dxa"/>
            <w:tcMar>
              <w:top w:w="57" w:type="dxa"/>
              <w:left w:w="57" w:type="dxa"/>
              <w:bottom w:w="57" w:type="dxa"/>
              <w:right w:w="57" w:type="dxa"/>
            </w:tcMar>
          </w:tcPr>
          <w:p w:rsidR="00562D5A" w:rsidRPr="00FC1F44" w:rsidRDefault="00562D5A" w:rsidP="00562D5A">
            <w:pPr>
              <w:rPr>
                <w:rFonts w:eastAsiaTheme="minorHAnsi" w:cs="Arial"/>
                <w:sz w:val="20"/>
                <w:szCs w:val="20"/>
              </w:rPr>
            </w:pPr>
            <w:r w:rsidRPr="00FC1F44">
              <w:rPr>
                <w:rFonts w:eastAsiaTheme="minorHAnsi" w:cs="Arial"/>
                <w:sz w:val="20"/>
                <w:szCs w:val="20"/>
              </w:rPr>
              <w:t>No current national information available</w:t>
            </w:r>
          </w:p>
          <w:p w:rsidR="00562D5A" w:rsidRPr="00FC1F44" w:rsidRDefault="00562D5A" w:rsidP="00562D5A">
            <w:pPr>
              <w:rPr>
                <w:rFonts w:eastAsiaTheme="minorHAnsi" w:cs="Arial"/>
                <w:sz w:val="20"/>
                <w:szCs w:val="20"/>
              </w:rPr>
            </w:pPr>
          </w:p>
          <w:p w:rsidR="00562D5A" w:rsidRPr="00FC1F44" w:rsidRDefault="00562D5A" w:rsidP="00562D5A">
            <w:pPr>
              <w:rPr>
                <w:rFonts w:eastAsiaTheme="minorHAnsi" w:cs="Arial"/>
                <w:sz w:val="20"/>
                <w:szCs w:val="20"/>
              </w:rPr>
            </w:pPr>
            <w:r w:rsidRPr="00FC1F44">
              <w:rPr>
                <w:rFonts w:eastAsiaTheme="minorHAnsi" w:cs="Arial"/>
                <w:sz w:val="20"/>
                <w:szCs w:val="20"/>
              </w:rPr>
              <w:t>Contract management workload is significant</w:t>
            </w:r>
          </w:p>
          <w:p w:rsidR="00562D5A" w:rsidRPr="00FC1F44" w:rsidRDefault="00562D5A" w:rsidP="00562D5A">
            <w:pPr>
              <w:rPr>
                <w:rFonts w:eastAsiaTheme="minorHAnsi" w:cs="Arial"/>
                <w:sz w:val="20"/>
                <w:szCs w:val="20"/>
              </w:rPr>
            </w:pPr>
          </w:p>
        </w:tc>
        <w:tc>
          <w:tcPr>
            <w:tcW w:w="2127" w:type="dxa"/>
            <w:tcMar>
              <w:top w:w="57" w:type="dxa"/>
              <w:left w:w="57" w:type="dxa"/>
              <w:bottom w:w="57" w:type="dxa"/>
              <w:right w:w="57" w:type="dxa"/>
            </w:tcMar>
          </w:tcPr>
          <w:p w:rsidR="00562D5A" w:rsidRPr="00FC1F44" w:rsidRDefault="00562D5A" w:rsidP="00562D5A">
            <w:pPr>
              <w:rPr>
                <w:rFonts w:eastAsiaTheme="minorHAnsi" w:cs="Arial"/>
                <w:sz w:val="20"/>
                <w:szCs w:val="20"/>
              </w:rPr>
            </w:pPr>
            <w:r w:rsidRPr="00FC1F44">
              <w:rPr>
                <w:rFonts w:eastAsiaTheme="minorHAnsi" w:cs="Arial"/>
                <w:sz w:val="20"/>
                <w:szCs w:val="20"/>
              </w:rPr>
              <w:t>Accessible but requires a separate agreement from Manufacturers</w:t>
            </w:r>
          </w:p>
          <w:p w:rsidR="00562D5A" w:rsidRPr="00FC1F44" w:rsidRDefault="00562D5A" w:rsidP="00562D5A">
            <w:pPr>
              <w:rPr>
                <w:rFonts w:eastAsiaTheme="minorHAnsi" w:cs="Arial"/>
                <w:sz w:val="20"/>
                <w:szCs w:val="20"/>
              </w:rPr>
            </w:pPr>
          </w:p>
          <w:p w:rsidR="00562D5A" w:rsidRPr="00FC1F44" w:rsidRDefault="00562D5A" w:rsidP="00562D5A">
            <w:pPr>
              <w:rPr>
                <w:rFonts w:eastAsiaTheme="minorHAnsi" w:cs="Arial"/>
                <w:color w:val="00B050"/>
                <w:sz w:val="20"/>
                <w:szCs w:val="20"/>
              </w:rPr>
            </w:pPr>
            <w:r w:rsidRPr="00FC1F44">
              <w:rPr>
                <w:rFonts w:eastAsiaTheme="minorHAnsi" w:cs="Arial"/>
                <w:color w:val="00B050"/>
                <w:sz w:val="20"/>
                <w:szCs w:val="20"/>
              </w:rPr>
              <w:t xml:space="preserve">Ability to make off contract claims when NHSE CMU contracted medicine is not available </w:t>
            </w:r>
            <w:r w:rsidRPr="00FC1F44">
              <w:rPr>
                <w:rFonts w:eastAsiaTheme="minorHAnsi" w:cs="Arial"/>
                <w:sz w:val="20"/>
                <w:szCs w:val="20"/>
              </w:rPr>
              <w:t>provided that there is an agreement from Manufacturers and this often requires an extra step in the process</w:t>
            </w:r>
          </w:p>
          <w:p w:rsidR="00562D5A" w:rsidRPr="00FC1F44" w:rsidRDefault="00562D5A" w:rsidP="00562D5A">
            <w:pPr>
              <w:rPr>
                <w:rFonts w:eastAsiaTheme="minorHAnsi" w:cs="Arial"/>
                <w:color w:val="00B050"/>
                <w:sz w:val="20"/>
                <w:szCs w:val="20"/>
              </w:rPr>
            </w:pPr>
          </w:p>
          <w:p w:rsidR="00562D5A" w:rsidRPr="00FC1F44" w:rsidRDefault="00562D5A" w:rsidP="00562D5A">
            <w:pPr>
              <w:rPr>
                <w:rFonts w:eastAsiaTheme="minorHAnsi" w:cs="Arial"/>
                <w:color w:val="00B050"/>
                <w:sz w:val="20"/>
                <w:szCs w:val="20"/>
              </w:rPr>
            </w:pPr>
            <w:r w:rsidRPr="00FC1F44">
              <w:rPr>
                <w:rFonts w:eastAsiaTheme="minorHAnsi" w:cs="Arial"/>
                <w:sz w:val="20"/>
                <w:szCs w:val="20"/>
              </w:rPr>
              <w:t xml:space="preserve">Usage data is not consistently supplied to CMU and included in </w:t>
            </w:r>
            <w:proofErr w:type="spellStart"/>
            <w:r w:rsidRPr="00FC1F44">
              <w:rPr>
                <w:rFonts w:eastAsiaTheme="minorHAnsi" w:cs="Arial"/>
                <w:sz w:val="20"/>
                <w:szCs w:val="20"/>
              </w:rPr>
              <w:t>Pharmex</w:t>
            </w:r>
            <w:proofErr w:type="spellEnd"/>
            <w:r w:rsidRPr="00FC1F44">
              <w:rPr>
                <w:rFonts w:eastAsiaTheme="minorHAnsi" w:cs="Arial"/>
                <w:sz w:val="20"/>
                <w:szCs w:val="20"/>
              </w:rPr>
              <w:t xml:space="preserve"> data for contracting purposes</w:t>
            </w:r>
          </w:p>
          <w:p w:rsidR="00562D5A" w:rsidRPr="00FC1F44" w:rsidRDefault="00562D5A" w:rsidP="00562D5A">
            <w:pPr>
              <w:rPr>
                <w:rFonts w:eastAsiaTheme="minorHAnsi" w:cs="Arial"/>
                <w:color w:val="00B050"/>
                <w:sz w:val="20"/>
                <w:szCs w:val="20"/>
              </w:rPr>
            </w:pPr>
          </w:p>
          <w:p w:rsidR="00562D5A" w:rsidRPr="00FC1F44" w:rsidRDefault="00562D5A" w:rsidP="00562D5A">
            <w:pPr>
              <w:rPr>
                <w:rFonts w:eastAsiaTheme="minorHAnsi" w:cs="Arial"/>
                <w:sz w:val="20"/>
                <w:szCs w:val="20"/>
              </w:rPr>
            </w:pPr>
            <w:r w:rsidRPr="00FC1F44">
              <w:rPr>
                <w:rFonts w:eastAsiaTheme="minorHAnsi" w:cs="Arial"/>
                <w:color w:val="00B050"/>
                <w:sz w:val="20"/>
                <w:szCs w:val="20"/>
              </w:rPr>
              <w:t>VAT zero rated</w:t>
            </w:r>
          </w:p>
        </w:tc>
        <w:tc>
          <w:tcPr>
            <w:tcW w:w="2126" w:type="dxa"/>
            <w:tcMar>
              <w:top w:w="57" w:type="dxa"/>
              <w:left w:w="57" w:type="dxa"/>
              <w:bottom w:w="57" w:type="dxa"/>
              <w:right w:w="57" w:type="dxa"/>
            </w:tcMar>
          </w:tcPr>
          <w:p w:rsidR="00562D5A" w:rsidRPr="00FC1F44" w:rsidRDefault="00562D5A" w:rsidP="00562D5A">
            <w:pPr>
              <w:rPr>
                <w:rFonts w:eastAsiaTheme="minorHAnsi" w:cs="Arial"/>
                <w:color w:val="00B050"/>
                <w:sz w:val="20"/>
                <w:szCs w:val="20"/>
              </w:rPr>
            </w:pPr>
            <w:r w:rsidRPr="00FC1F44">
              <w:rPr>
                <w:rFonts w:eastAsiaTheme="minorHAnsi" w:cs="Arial"/>
                <w:color w:val="00B050"/>
                <w:sz w:val="20"/>
                <w:szCs w:val="20"/>
              </w:rPr>
              <w:t>One off reduction in stock holding on initiation of service</w:t>
            </w:r>
          </w:p>
          <w:p w:rsidR="00562D5A" w:rsidRPr="00FC1F44" w:rsidRDefault="00562D5A" w:rsidP="00562D5A">
            <w:pPr>
              <w:rPr>
                <w:rFonts w:eastAsiaTheme="minorHAnsi" w:cs="Arial"/>
                <w:sz w:val="20"/>
                <w:szCs w:val="20"/>
              </w:rPr>
            </w:pPr>
          </w:p>
          <w:p w:rsidR="00562D5A" w:rsidRPr="00FC1F44" w:rsidRDefault="00562D5A" w:rsidP="00562D5A">
            <w:pPr>
              <w:spacing w:after="200" w:line="276" w:lineRule="auto"/>
              <w:rPr>
                <w:rFonts w:eastAsiaTheme="minorHAnsi" w:cs="Arial"/>
                <w:sz w:val="20"/>
                <w:szCs w:val="20"/>
              </w:rPr>
            </w:pPr>
            <w:r w:rsidRPr="00FC1F44">
              <w:rPr>
                <w:rFonts w:eastAsiaTheme="minorHAnsi" w:cs="Arial"/>
                <w:color w:val="00B050"/>
                <w:sz w:val="20"/>
                <w:szCs w:val="20"/>
              </w:rPr>
              <w:t>Avoidance of increased stock holding as new medicines are launched</w:t>
            </w:r>
          </w:p>
          <w:p w:rsidR="00562D5A" w:rsidRPr="00FC1F44" w:rsidRDefault="00562D5A" w:rsidP="00562D5A">
            <w:pPr>
              <w:rPr>
                <w:rFonts w:eastAsiaTheme="minorHAnsi" w:cs="Arial"/>
                <w:sz w:val="20"/>
                <w:szCs w:val="20"/>
              </w:rPr>
            </w:pPr>
            <w:r w:rsidRPr="00FC1F44">
              <w:rPr>
                <w:rFonts w:eastAsiaTheme="minorHAnsi" w:cs="Arial"/>
                <w:sz w:val="20"/>
                <w:szCs w:val="20"/>
              </w:rPr>
              <w:t>Formulary management difficult unless all prescriptions are validated by the Trust prior to dispensing</w:t>
            </w:r>
          </w:p>
        </w:tc>
        <w:tc>
          <w:tcPr>
            <w:tcW w:w="1559" w:type="dxa"/>
            <w:tcMar>
              <w:top w:w="57" w:type="dxa"/>
              <w:left w:w="57" w:type="dxa"/>
              <w:bottom w:w="57" w:type="dxa"/>
              <w:right w:w="57" w:type="dxa"/>
            </w:tcMar>
          </w:tcPr>
          <w:p w:rsidR="00562D5A" w:rsidRPr="00FC1F44" w:rsidRDefault="00562D5A" w:rsidP="00562D5A">
            <w:pPr>
              <w:rPr>
                <w:rFonts w:eastAsiaTheme="minorHAnsi" w:cs="Arial"/>
                <w:sz w:val="20"/>
                <w:szCs w:val="20"/>
              </w:rPr>
            </w:pPr>
            <w:r w:rsidRPr="00FC1F44">
              <w:rPr>
                <w:rFonts w:eastAsiaTheme="minorHAnsi" w:cs="Arial"/>
                <w:color w:val="00B050"/>
                <w:sz w:val="20"/>
                <w:szCs w:val="20"/>
              </w:rPr>
              <w:t>Care is provided closer to home</w:t>
            </w:r>
          </w:p>
        </w:tc>
        <w:tc>
          <w:tcPr>
            <w:tcW w:w="1843" w:type="dxa"/>
            <w:tcMar>
              <w:top w:w="57" w:type="dxa"/>
              <w:left w:w="57" w:type="dxa"/>
              <w:bottom w:w="57" w:type="dxa"/>
              <w:right w:w="57" w:type="dxa"/>
            </w:tcMar>
          </w:tcPr>
          <w:p w:rsidR="00562D5A" w:rsidRPr="00FC1F44" w:rsidRDefault="00562D5A" w:rsidP="00562D5A">
            <w:pPr>
              <w:spacing w:after="200" w:line="276" w:lineRule="auto"/>
              <w:rPr>
                <w:rFonts w:eastAsiaTheme="minorHAnsi" w:cs="Arial"/>
                <w:color w:val="00B050"/>
                <w:sz w:val="20"/>
                <w:szCs w:val="20"/>
              </w:rPr>
            </w:pPr>
            <w:r w:rsidRPr="00FC1F44">
              <w:rPr>
                <w:rFonts w:eastAsiaTheme="minorHAnsi" w:cs="Arial"/>
                <w:color w:val="00B050"/>
                <w:sz w:val="20"/>
                <w:szCs w:val="20"/>
              </w:rPr>
              <w:t xml:space="preserve">Patients may have access to experienced  NHS pharmacy staff on attendance at outpatient appointments </w:t>
            </w:r>
          </w:p>
          <w:p w:rsidR="00562D5A" w:rsidRPr="00FC1F44" w:rsidRDefault="00562D5A" w:rsidP="00562D5A">
            <w:pPr>
              <w:rPr>
                <w:rFonts w:eastAsiaTheme="minorHAnsi" w:cs="Arial"/>
                <w:sz w:val="20"/>
                <w:szCs w:val="20"/>
              </w:rPr>
            </w:pPr>
            <w:r w:rsidRPr="00FC1F44">
              <w:rPr>
                <w:rFonts w:eastAsiaTheme="minorHAnsi" w:cs="Arial"/>
                <w:sz w:val="20"/>
                <w:szCs w:val="20"/>
              </w:rPr>
              <w:t>Patients have access to a non- specialist pharmacist at the time of receiving their medicines</w:t>
            </w:r>
          </w:p>
          <w:p w:rsidR="00562D5A" w:rsidRPr="00FC1F44" w:rsidRDefault="00562D5A" w:rsidP="00562D5A">
            <w:pPr>
              <w:rPr>
                <w:rFonts w:eastAsiaTheme="minorHAnsi" w:cs="Arial"/>
                <w:sz w:val="20"/>
                <w:szCs w:val="20"/>
              </w:rPr>
            </w:pPr>
          </w:p>
        </w:tc>
        <w:tc>
          <w:tcPr>
            <w:tcW w:w="1941" w:type="dxa"/>
            <w:tcMar>
              <w:top w:w="57" w:type="dxa"/>
              <w:left w:w="57" w:type="dxa"/>
              <w:bottom w:w="57" w:type="dxa"/>
              <w:right w:w="57" w:type="dxa"/>
            </w:tcMar>
          </w:tcPr>
          <w:p w:rsidR="00562D5A" w:rsidRPr="00FC1F44" w:rsidRDefault="00562D5A" w:rsidP="00562D5A">
            <w:pPr>
              <w:rPr>
                <w:rFonts w:eastAsiaTheme="minorHAnsi" w:cs="Arial"/>
                <w:color w:val="00B050"/>
                <w:sz w:val="20"/>
                <w:szCs w:val="20"/>
              </w:rPr>
            </w:pPr>
            <w:r w:rsidRPr="00FC1F44">
              <w:rPr>
                <w:rFonts w:eastAsiaTheme="minorHAnsi" w:cs="Arial"/>
                <w:color w:val="00B050"/>
                <w:sz w:val="20"/>
                <w:szCs w:val="20"/>
              </w:rPr>
              <w:t>Release of capacity of dispensary staff to clinical roles</w:t>
            </w:r>
          </w:p>
          <w:p w:rsidR="00562D5A" w:rsidRPr="00FC1F44" w:rsidRDefault="00562D5A" w:rsidP="00562D5A">
            <w:pPr>
              <w:rPr>
                <w:rFonts w:eastAsiaTheme="minorHAnsi" w:cs="Arial"/>
                <w:sz w:val="20"/>
                <w:szCs w:val="20"/>
              </w:rPr>
            </w:pPr>
          </w:p>
        </w:tc>
      </w:tr>
    </w:tbl>
    <w:p w:rsidR="007E7DBB" w:rsidRDefault="007E7DBB"/>
    <w:p w:rsidR="007E7DBB" w:rsidRDefault="007E7DBB"/>
    <w:p w:rsidR="00FC1F44" w:rsidRDefault="00FC1F44"/>
    <w:p w:rsidR="00B93430" w:rsidRDefault="00B93430"/>
    <w:p w:rsidR="00FC1F44" w:rsidRDefault="00FC1F44"/>
    <w:p w:rsidR="007E7DBB" w:rsidRDefault="007E7DBB"/>
    <w:p w:rsidR="007E7DBB" w:rsidRDefault="007E7DBB"/>
    <w:p w:rsidR="007E7DBB" w:rsidRDefault="007E7DBB"/>
    <w:p w:rsidR="00D11768" w:rsidRDefault="00D11768"/>
    <w:p w:rsidR="007E7DBB" w:rsidRDefault="007E7DBB"/>
    <w:tbl>
      <w:tblPr>
        <w:tblStyle w:val="TableGrid"/>
        <w:tblW w:w="1513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79"/>
        <w:gridCol w:w="1708"/>
        <w:gridCol w:w="2251"/>
        <w:gridCol w:w="2127"/>
        <w:gridCol w:w="2126"/>
        <w:gridCol w:w="1559"/>
        <w:gridCol w:w="1843"/>
        <w:gridCol w:w="1941"/>
      </w:tblGrid>
      <w:tr w:rsidR="00866F71" w:rsidRPr="00BE5B6A" w:rsidTr="00BE5B6A">
        <w:trPr>
          <w:jc w:val="center"/>
        </w:trPr>
        <w:tc>
          <w:tcPr>
            <w:tcW w:w="1579" w:type="dxa"/>
            <w:tcMar>
              <w:top w:w="57" w:type="dxa"/>
              <w:left w:w="57" w:type="dxa"/>
              <w:bottom w:w="57" w:type="dxa"/>
              <w:right w:w="57" w:type="dxa"/>
            </w:tcMar>
          </w:tcPr>
          <w:p w:rsidR="00562D5A" w:rsidRPr="00BE5B6A" w:rsidRDefault="00562D5A" w:rsidP="00D11768">
            <w:pPr>
              <w:rPr>
                <w:rFonts w:eastAsiaTheme="minorHAnsi" w:cs="Arial"/>
                <w:b/>
                <w:sz w:val="20"/>
                <w:szCs w:val="20"/>
              </w:rPr>
            </w:pPr>
            <w:r w:rsidRPr="00BE5B6A">
              <w:rPr>
                <w:rFonts w:eastAsiaTheme="minorHAnsi" w:cs="Arial"/>
                <w:b/>
                <w:sz w:val="20"/>
                <w:szCs w:val="20"/>
              </w:rPr>
              <w:t xml:space="preserve">FP10HP via </w:t>
            </w:r>
            <w:r w:rsidRPr="00BE5B6A">
              <w:rPr>
                <w:rFonts w:eastAsia="Times New Roman" w:cs="Arial"/>
                <w:b/>
                <w:bCs/>
                <w:sz w:val="20"/>
                <w:szCs w:val="20"/>
              </w:rPr>
              <w:t>Community pharmacy</w:t>
            </w:r>
          </w:p>
        </w:tc>
        <w:tc>
          <w:tcPr>
            <w:tcW w:w="1708" w:type="dxa"/>
            <w:tcMar>
              <w:top w:w="57" w:type="dxa"/>
              <w:left w:w="57" w:type="dxa"/>
              <w:bottom w:w="57" w:type="dxa"/>
              <w:right w:w="57" w:type="dxa"/>
            </w:tcMar>
          </w:tcPr>
          <w:p w:rsidR="00562D5A" w:rsidRPr="00BE5B6A" w:rsidRDefault="00562D5A" w:rsidP="00D11768">
            <w:pPr>
              <w:rPr>
                <w:rFonts w:eastAsiaTheme="minorHAnsi" w:cs="Arial"/>
                <w:sz w:val="20"/>
                <w:szCs w:val="20"/>
              </w:rPr>
            </w:pPr>
            <w:r w:rsidRPr="00BE5B6A">
              <w:rPr>
                <w:rFonts w:eastAsiaTheme="minorHAnsi" w:cs="Arial"/>
                <w:sz w:val="20"/>
                <w:szCs w:val="20"/>
              </w:rPr>
              <w:t>No control</w:t>
            </w:r>
          </w:p>
          <w:p w:rsidR="00562D5A" w:rsidRPr="00BE5B6A" w:rsidRDefault="00562D5A" w:rsidP="00D11768">
            <w:pPr>
              <w:rPr>
                <w:rFonts w:eastAsiaTheme="minorHAnsi" w:cs="Arial"/>
                <w:sz w:val="20"/>
                <w:szCs w:val="20"/>
              </w:rPr>
            </w:pPr>
          </w:p>
          <w:p w:rsidR="00562D5A" w:rsidRPr="00BE5B6A" w:rsidRDefault="00562D5A" w:rsidP="00D11768">
            <w:pPr>
              <w:rPr>
                <w:rFonts w:eastAsiaTheme="minorHAnsi" w:cs="Arial"/>
                <w:sz w:val="20"/>
                <w:szCs w:val="20"/>
              </w:rPr>
            </w:pPr>
            <w:r w:rsidRPr="00BE5B6A">
              <w:rPr>
                <w:rFonts w:eastAsiaTheme="minorHAnsi" w:cs="Arial"/>
                <w:sz w:val="20"/>
                <w:szCs w:val="20"/>
              </w:rPr>
              <w:t xml:space="preserve">No national KPI dataset </w:t>
            </w:r>
          </w:p>
          <w:p w:rsidR="00562D5A" w:rsidRPr="00BE5B6A" w:rsidRDefault="00562D5A" w:rsidP="00D11768">
            <w:pPr>
              <w:rPr>
                <w:rFonts w:eastAsiaTheme="minorHAnsi" w:cs="Arial"/>
                <w:sz w:val="20"/>
                <w:szCs w:val="20"/>
              </w:rPr>
            </w:pPr>
          </w:p>
          <w:p w:rsidR="00562D5A" w:rsidRPr="00BE5B6A" w:rsidRDefault="00562D5A" w:rsidP="00D11768">
            <w:pPr>
              <w:rPr>
                <w:rFonts w:eastAsiaTheme="minorHAnsi" w:cs="Arial"/>
                <w:sz w:val="20"/>
                <w:szCs w:val="20"/>
              </w:rPr>
            </w:pPr>
            <w:proofErr w:type="spellStart"/>
            <w:r w:rsidRPr="00BE5B6A">
              <w:rPr>
                <w:rFonts w:eastAsiaTheme="minorHAnsi" w:cs="Arial"/>
                <w:sz w:val="20"/>
                <w:szCs w:val="20"/>
              </w:rPr>
              <w:t>ePACT</w:t>
            </w:r>
            <w:proofErr w:type="spellEnd"/>
            <w:r w:rsidRPr="00BE5B6A">
              <w:rPr>
                <w:rFonts w:eastAsiaTheme="minorHAnsi" w:cs="Arial"/>
                <w:sz w:val="20"/>
                <w:szCs w:val="20"/>
              </w:rPr>
              <w:t xml:space="preserve"> data is available but no patient specific information available to the NHS</w:t>
            </w:r>
          </w:p>
          <w:p w:rsidR="00562D5A" w:rsidRPr="00BE5B6A" w:rsidRDefault="00562D5A" w:rsidP="00D11768">
            <w:pPr>
              <w:rPr>
                <w:rFonts w:eastAsiaTheme="minorHAnsi" w:cs="Arial"/>
                <w:sz w:val="20"/>
                <w:szCs w:val="20"/>
              </w:rPr>
            </w:pPr>
          </w:p>
          <w:p w:rsidR="00562D5A" w:rsidRPr="00BE5B6A" w:rsidRDefault="00562D5A" w:rsidP="00D11768">
            <w:pPr>
              <w:rPr>
                <w:rFonts w:eastAsiaTheme="minorHAnsi" w:cs="Arial"/>
                <w:sz w:val="20"/>
                <w:szCs w:val="20"/>
              </w:rPr>
            </w:pPr>
            <w:r w:rsidRPr="00BE5B6A">
              <w:rPr>
                <w:rFonts w:eastAsiaTheme="minorHAnsi" w:cs="Arial"/>
                <w:sz w:val="20"/>
                <w:szCs w:val="20"/>
              </w:rPr>
              <w:t>Billing to commissioners is delayed</w:t>
            </w:r>
          </w:p>
        </w:tc>
        <w:tc>
          <w:tcPr>
            <w:tcW w:w="2251" w:type="dxa"/>
            <w:tcMar>
              <w:top w:w="57" w:type="dxa"/>
              <w:left w:w="57" w:type="dxa"/>
              <w:bottom w:w="57" w:type="dxa"/>
              <w:right w:w="57" w:type="dxa"/>
            </w:tcMar>
          </w:tcPr>
          <w:p w:rsidR="00562D5A" w:rsidRPr="00BE5B6A" w:rsidRDefault="00562D5A" w:rsidP="00D11768">
            <w:pPr>
              <w:rPr>
                <w:rFonts w:eastAsiaTheme="minorHAnsi" w:cs="Arial"/>
                <w:sz w:val="20"/>
                <w:szCs w:val="20"/>
              </w:rPr>
            </w:pPr>
            <w:r w:rsidRPr="00BE5B6A">
              <w:rPr>
                <w:rFonts w:eastAsiaTheme="minorHAnsi" w:cs="Arial"/>
                <w:sz w:val="20"/>
                <w:szCs w:val="20"/>
              </w:rPr>
              <w:t>NA</w:t>
            </w:r>
          </w:p>
        </w:tc>
        <w:tc>
          <w:tcPr>
            <w:tcW w:w="2127" w:type="dxa"/>
            <w:tcMar>
              <w:top w:w="57" w:type="dxa"/>
              <w:left w:w="57" w:type="dxa"/>
              <w:bottom w:w="57" w:type="dxa"/>
              <w:right w:w="57" w:type="dxa"/>
            </w:tcMar>
          </w:tcPr>
          <w:p w:rsidR="00562D5A" w:rsidRPr="00BE5B6A" w:rsidRDefault="00562D5A" w:rsidP="00D11768">
            <w:pPr>
              <w:rPr>
                <w:rFonts w:eastAsiaTheme="minorHAnsi" w:cs="Arial"/>
                <w:sz w:val="20"/>
                <w:szCs w:val="20"/>
              </w:rPr>
            </w:pPr>
            <w:r w:rsidRPr="00BE5B6A">
              <w:rPr>
                <w:rFonts w:eastAsiaTheme="minorHAnsi" w:cs="Arial"/>
                <w:sz w:val="20"/>
                <w:szCs w:val="20"/>
              </w:rPr>
              <w:t>Unable to access Patient Access Scheme (PAS)</w:t>
            </w:r>
            <w:r w:rsidR="00213AAD">
              <w:rPr>
                <w:rFonts w:eastAsiaTheme="minorHAnsi" w:cs="Arial"/>
                <w:sz w:val="20"/>
                <w:szCs w:val="20"/>
              </w:rPr>
              <w:t xml:space="preserve"> </w:t>
            </w:r>
            <w:r w:rsidRPr="00BE5B6A">
              <w:rPr>
                <w:rFonts w:eastAsiaTheme="minorHAnsi" w:cs="Arial"/>
                <w:sz w:val="20"/>
                <w:szCs w:val="20"/>
              </w:rPr>
              <w:t>/</w:t>
            </w:r>
            <w:r w:rsidR="00213AAD">
              <w:rPr>
                <w:rFonts w:eastAsiaTheme="minorHAnsi" w:cs="Arial"/>
                <w:sz w:val="20"/>
                <w:szCs w:val="20"/>
              </w:rPr>
              <w:t xml:space="preserve"> </w:t>
            </w:r>
            <w:r w:rsidRPr="00BE5B6A">
              <w:rPr>
                <w:rFonts w:eastAsiaTheme="minorHAnsi" w:cs="Arial"/>
                <w:sz w:val="20"/>
                <w:szCs w:val="20"/>
              </w:rPr>
              <w:t>contract prices</w:t>
            </w:r>
          </w:p>
          <w:p w:rsidR="00562D5A" w:rsidRPr="00BE5B6A" w:rsidRDefault="00562D5A" w:rsidP="00D11768">
            <w:pPr>
              <w:rPr>
                <w:rFonts w:eastAsiaTheme="minorHAnsi" w:cs="Arial"/>
                <w:sz w:val="20"/>
                <w:szCs w:val="20"/>
              </w:rPr>
            </w:pPr>
          </w:p>
          <w:p w:rsidR="00562D5A" w:rsidRPr="00BE5B6A" w:rsidRDefault="00562D5A" w:rsidP="00D11768">
            <w:pPr>
              <w:rPr>
                <w:rFonts w:eastAsiaTheme="minorHAnsi" w:cs="Arial"/>
                <w:sz w:val="20"/>
                <w:szCs w:val="20"/>
              </w:rPr>
            </w:pPr>
            <w:r w:rsidRPr="00BE5B6A">
              <w:rPr>
                <w:rFonts w:eastAsiaTheme="minorHAnsi" w:cs="Arial"/>
                <w:sz w:val="20"/>
                <w:szCs w:val="20"/>
              </w:rPr>
              <w:t>Not all medicines are available through community pharmacies</w:t>
            </w:r>
          </w:p>
          <w:p w:rsidR="00562D5A" w:rsidRPr="00BE5B6A" w:rsidRDefault="00562D5A" w:rsidP="00D11768">
            <w:pPr>
              <w:rPr>
                <w:rFonts w:eastAsiaTheme="minorHAnsi" w:cs="Arial"/>
                <w:sz w:val="20"/>
                <w:szCs w:val="20"/>
              </w:rPr>
            </w:pPr>
          </w:p>
          <w:p w:rsidR="00562D5A" w:rsidRPr="00BE5B6A" w:rsidRDefault="00562D5A" w:rsidP="00D11768">
            <w:pPr>
              <w:rPr>
                <w:rFonts w:eastAsiaTheme="minorHAnsi" w:cs="Arial"/>
                <w:color w:val="00B050"/>
                <w:sz w:val="20"/>
                <w:szCs w:val="20"/>
              </w:rPr>
            </w:pPr>
            <w:r w:rsidRPr="00BE5B6A">
              <w:rPr>
                <w:rFonts w:eastAsiaTheme="minorHAnsi" w:cs="Arial"/>
                <w:color w:val="00B050"/>
                <w:sz w:val="20"/>
                <w:szCs w:val="20"/>
              </w:rPr>
              <w:t>VAT zero rated</w:t>
            </w:r>
          </w:p>
          <w:p w:rsidR="00562D5A" w:rsidRPr="00BE5B6A" w:rsidRDefault="00562D5A" w:rsidP="00D11768">
            <w:pPr>
              <w:rPr>
                <w:rFonts w:eastAsiaTheme="minorHAnsi" w:cs="Arial"/>
                <w:sz w:val="20"/>
                <w:szCs w:val="20"/>
              </w:rPr>
            </w:pPr>
          </w:p>
        </w:tc>
        <w:tc>
          <w:tcPr>
            <w:tcW w:w="2126" w:type="dxa"/>
            <w:tcMar>
              <w:top w:w="57" w:type="dxa"/>
              <w:left w:w="57" w:type="dxa"/>
              <w:bottom w:w="57" w:type="dxa"/>
              <w:right w:w="57" w:type="dxa"/>
            </w:tcMar>
          </w:tcPr>
          <w:p w:rsidR="00562D5A" w:rsidRPr="00BE5B6A" w:rsidRDefault="00562D5A" w:rsidP="00D11768">
            <w:pPr>
              <w:rPr>
                <w:rFonts w:eastAsiaTheme="minorHAnsi" w:cs="Arial"/>
                <w:color w:val="00B050"/>
                <w:sz w:val="20"/>
                <w:szCs w:val="20"/>
              </w:rPr>
            </w:pPr>
            <w:r w:rsidRPr="00BE5B6A">
              <w:rPr>
                <w:rFonts w:eastAsiaTheme="minorHAnsi" w:cs="Arial"/>
                <w:color w:val="00B050"/>
                <w:sz w:val="20"/>
                <w:szCs w:val="20"/>
              </w:rPr>
              <w:t>One off reduction in stock holding on initiation of service</w:t>
            </w:r>
          </w:p>
          <w:p w:rsidR="00562D5A" w:rsidRPr="00BE5B6A" w:rsidRDefault="00562D5A" w:rsidP="00D11768">
            <w:pPr>
              <w:rPr>
                <w:rFonts w:eastAsiaTheme="minorHAnsi" w:cs="Arial"/>
                <w:sz w:val="20"/>
                <w:szCs w:val="20"/>
              </w:rPr>
            </w:pPr>
          </w:p>
          <w:p w:rsidR="00562D5A" w:rsidRDefault="00562D5A" w:rsidP="00D11768">
            <w:pPr>
              <w:rPr>
                <w:rFonts w:eastAsiaTheme="minorHAnsi" w:cs="Arial"/>
                <w:color w:val="00B050"/>
                <w:sz w:val="20"/>
                <w:szCs w:val="20"/>
              </w:rPr>
            </w:pPr>
            <w:r w:rsidRPr="00BE5B6A">
              <w:rPr>
                <w:rFonts w:eastAsiaTheme="minorHAnsi" w:cs="Arial"/>
                <w:color w:val="00B050"/>
                <w:sz w:val="20"/>
                <w:szCs w:val="20"/>
              </w:rPr>
              <w:t>Avoidance of increased stock holding as new medicines are launched</w:t>
            </w:r>
          </w:p>
          <w:p w:rsidR="00A72723" w:rsidRPr="00BE5B6A" w:rsidRDefault="00A72723" w:rsidP="00D11768">
            <w:pPr>
              <w:rPr>
                <w:rFonts w:eastAsiaTheme="minorHAnsi" w:cs="Arial"/>
                <w:color w:val="00B050"/>
                <w:sz w:val="20"/>
                <w:szCs w:val="20"/>
              </w:rPr>
            </w:pPr>
          </w:p>
          <w:p w:rsidR="00562D5A" w:rsidRPr="00BE5B6A" w:rsidRDefault="00562D5A" w:rsidP="00D11768">
            <w:pPr>
              <w:rPr>
                <w:rFonts w:eastAsiaTheme="minorHAnsi" w:cs="Arial"/>
                <w:sz w:val="20"/>
                <w:szCs w:val="20"/>
              </w:rPr>
            </w:pPr>
            <w:r w:rsidRPr="00BE5B6A">
              <w:rPr>
                <w:rFonts w:eastAsiaTheme="minorHAnsi" w:cs="Arial"/>
                <w:sz w:val="20"/>
                <w:szCs w:val="20"/>
              </w:rPr>
              <w:t>Formulary management not possible</w:t>
            </w:r>
          </w:p>
        </w:tc>
        <w:tc>
          <w:tcPr>
            <w:tcW w:w="1559" w:type="dxa"/>
            <w:tcMar>
              <w:top w:w="57" w:type="dxa"/>
              <w:left w:w="57" w:type="dxa"/>
              <w:bottom w:w="57" w:type="dxa"/>
              <w:right w:w="57" w:type="dxa"/>
            </w:tcMar>
          </w:tcPr>
          <w:p w:rsidR="00562D5A" w:rsidRPr="00BE5B6A" w:rsidRDefault="00562D5A" w:rsidP="00D11768">
            <w:pPr>
              <w:rPr>
                <w:rFonts w:eastAsiaTheme="minorHAnsi" w:cs="Arial"/>
                <w:color w:val="00B050"/>
                <w:sz w:val="20"/>
                <w:szCs w:val="20"/>
              </w:rPr>
            </w:pPr>
            <w:r w:rsidRPr="00BE5B6A">
              <w:rPr>
                <w:rFonts w:eastAsiaTheme="minorHAnsi" w:cs="Arial"/>
                <w:color w:val="00B050"/>
                <w:sz w:val="20"/>
                <w:szCs w:val="20"/>
              </w:rPr>
              <w:t>Care is provided closer to home</w:t>
            </w:r>
          </w:p>
          <w:p w:rsidR="00562D5A" w:rsidRPr="00BE5B6A" w:rsidRDefault="00562D5A" w:rsidP="00D11768">
            <w:pPr>
              <w:rPr>
                <w:rFonts w:eastAsiaTheme="minorHAnsi" w:cs="Arial"/>
                <w:color w:val="00B050"/>
                <w:sz w:val="20"/>
                <w:szCs w:val="20"/>
              </w:rPr>
            </w:pPr>
          </w:p>
          <w:p w:rsidR="00562D5A" w:rsidRPr="00BE5B6A" w:rsidRDefault="00562D5A" w:rsidP="00D11768">
            <w:pPr>
              <w:rPr>
                <w:rFonts w:eastAsiaTheme="minorHAnsi" w:cs="Arial"/>
                <w:sz w:val="20"/>
                <w:szCs w:val="20"/>
              </w:rPr>
            </w:pPr>
            <w:r w:rsidRPr="00BE5B6A">
              <w:rPr>
                <w:rFonts w:eastAsiaTheme="minorHAnsi" w:cs="Arial"/>
                <w:color w:val="00B050"/>
                <w:sz w:val="20"/>
                <w:szCs w:val="20"/>
              </w:rPr>
              <w:t>Out of hours and weekend service available</w:t>
            </w:r>
          </w:p>
        </w:tc>
        <w:tc>
          <w:tcPr>
            <w:tcW w:w="1843" w:type="dxa"/>
            <w:tcMar>
              <w:top w:w="57" w:type="dxa"/>
              <w:left w:w="57" w:type="dxa"/>
              <w:bottom w:w="57" w:type="dxa"/>
              <w:right w:w="57" w:type="dxa"/>
            </w:tcMar>
          </w:tcPr>
          <w:p w:rsidR="00562D5A" w:rsidRDefault="00562D5A" w:rsidP="00D11768">
            <w:pPr>
              <w:rPr>
                <w:rFonts w:eastAsiaTheme="minorHAnsi" w:cs="Arial"/>
                <w:color w:val="00B050"/>
                <w:sz w:val="20"/>
                <w:szCs w:val="20"/>
              </w:rPr>
            </w:pPr>
            <w:r w:rsidRPr="00BE5B6A">
              <w:rPr>
                <w:rFonts w:eastAsiaTheme="minorHAnsi" w:cs="Arial"/>
                <w:color w:val="00B050"/>
                <w:sz w:val="20"/>
                <w:szCs w:val="20"/>
              </w:rPr>
              <w:t xml:space="preserve">Patients may have access to experienced  NHS pharmacy staff on attendance at outpatient appointments </w:t>
            </w:r>
          </w:p>
          <w:p w:rsidR="00A72723" w:rsidRPr="00BE5B6A" w:rsidRDefault="00A72723" w:rsidP="00D11768">
            <w:pPr>
              <w:rPr>
                <w:rFonts w:eastAsiaTheme="minorHAnsi" w:cs="Arial"/>
                <w:sz w:val="20"/>
                <w:szCs w:val="20"/>
              </w:rPr>
            </w:pPr>
          </w:p>
          <w:p w:rsidR="00562D5A" w:rsidRPr="00BE5B6A" w:rsidRDefault="00562D5A" w:rsidP="00D11768">
            <w:pPr>
              <w:rPr>
                <w:rFonts w:eastAsiaTheme="minorHAnsi" w:cs="Arial"/>
                <w:sz w:val="20"/>
                <w:szCs w:val="20"/>
              </w:rPr>
            </w:pPr>
            <w:r w:rsidRPr="00BE5B6A">
              <w:rPr>
                <w:rFonts w:eastAsiaTheme="minorHAnsi" w:cs="Arial"/>
                <w:sz w:val="20"/>
                <w:szCs w:val="20"/>
              </w:rPr>
              <w:t>Patients have access to a non-specialist pharmacist at the time of receiving their medicines</w:t>
            </w:r>
          </w:p>
          <w:p w:rsidR="00562D5A" w:rsidRPr="00BE5B6A" w:rsidRDefault="00562D5A" w:rsidP="00D11768">
            <w:pPr>
              <w:rPr>
                <w:rFonts w:eastAsiaTheme="minorHAnsi" w:cs="Arial"/>
                <w:sz w:val="20"/>
                <w:szCs w:val="20"/>
              </w:rPr>
            </w:pPr>
          </w:p>
          <w:p w:rsidR="00562D5A" w:rsidRPr="00BE5B6A" w:rsidRDefault="00562D5A" w:rsidP="00D11768">
            <w:pPr>
              <w:rPr>
                <w:rFonts w:eastAsiaTheme="minorHAnsi" w:cs="Arial"/>
                <w:sz w:val="20"/>
                <w:szCs w:val="20"/>
              </w:rPr>
            </w:pPr>
            <w:r w:rsidRPr="00BE5B6A">
              <w:rPr>
                <w:rFonts w:eastAsiaTheme="minorHAnsi" w:cs="Arial"/>
                <w:sz w:val="20"/>
                <w:szCs w:val="20"/>
              </w:rPr>
              <w:t>May experience difficulties in identifying and contacting relevant prescriber if required</w:t>
            </w:r>
          </w:p>
        </w:tc>
        <w:tc>
          <w:tcPr>
            <w:tcW w:w="1941" w:type="dxa"/>
            <w:tcMar>
              <w:top w:w="57" w:type="dxa"/>
              <w:left w:w="57" w:type="dxa"/>
              <w:bottom w:w="57" w:type="dxa"/>
              <w:right w:w="57" w:type="dxa"/>
            </w:tcMar>
          </w:tcPr>
          <w:p w:rsidR="00562D5A" w:rsidRPr="00BE5B6A" w:rsidRDefault="00562D5A" w:rsidP="00D11768">
            <w:pPr>
              <w:rPr>
                <w:rFonts w:eastAsiaTheme="minorHAnsi" w:cs="Arial"/>
                <w:color w:val="00B050"/>
                <w:sz w:val="20"/>
                <w:szCs w:val="20"/>
              </w:rPr>
            </w:pPr>
            <w:r w:rsidRPr="00BE5B6A">
              <w:rPr>
                <w:rFonts w:eastAsiaTheme="minorHAnsi" w:cs="Arial"/>
                <w:color w:val="00B050"/>
                <w:sz w:val="20"/>
                <w:szCs w:val="20"/>
              </w:rPr>
              <w:t>Release of capacity of dispensary staff to clinical roles</w:t>
            </w:r>
          </w:p>
          <w:p w:rsidR="00562D5A" w:rsidRPr="00BE5B6A" w:rsidRDefault="00562D5A" w:rsidP="00D11768">
            <w:pPr>
              <w:rPr>
                <w:rFonts w:eastAsiaTheme="minorHAnsi" w:cs="Arial"/>
                <w:sz w:val="20"/>
                <w:szCs w:val="20"/>
              </w:rPr>
            </w:pPr>
          </w:p>
        </w:tc>
      </w:tr>
    </w:tbl>
    <w:p w:rsidR="007E7DBB" w:rsidRDefault="007E7DBB"/>
    <w:p w:rsidR="007E7DBB" w:rsidRDefault="007E7DBB"/>
    <w:p w:rsidR="007E7DBB" w:rsidRDefault="007E7DBB"/>
    <w:p w:rsidR="007E7DBB" w:rsidRDefault="007E7DBB"/>
    <w:p w:rsidR="007E7DBB" w:rsidRDefault="007E7DBB"/>
    <w:p w:rsidR="007E7DBB" w:rsidRDefault="007E7DBB"/>
    <w:p w:rsidR="00BE5B6A" w:rsidRDefault="00BE5B6A"/>
    <w:p w:rsidR="00BE5B6A" w:rsidRDefault="00BE5B6A"/>
    <w:p w:rsidR="00BE5B6A" w:rsidRDefault="00BE5B6A"/>
    <w:p w:rsidR="00BE5B6A" w:rsidRDefault="00BE5B6A"/>
    <w:p w:rsidR="00AD1B6C" w:rsidRDefault="00AD1B6C"/>
    <w:p w:rsidR="00BE5B6A" w:rsidRDefault="00BE5B6A"/>
    <w:p w:rsidR="00032752" w:rsidRPr="004606B0" w:rsidRDefault="00032752" w:rsidP="00032752">
      <w:pPr>
        <w:shd w:val="clear" w:color="auto" w:fill="0070C0"/>
        <w:tabs>
          <w:tab w:val="left" w:pos="9295"/>
        </w:tabs>
        <w:rPr>
          <w:i/>
          <w:color w:val="FFFFFF" w:themeColor="background1"/>
          <w:sz w:val="22"/>
          <w:szCs w:val="22"/>
        </w:rPr>
      </w:pPr>
      <w:r w:rsidRPr="004606B0">
        <w:rPr>
          <w:rFonts w:cs="Arial"/>
          <w:b/>
          <w:color w:val="FFFFFF" w:themeColor="background1"/>
          <w:sz w:val="22"/>
          <w:szCs w:val="22"/>
        </w:rPr>
        <w:t>Appendix 2: Suitable supply routes at drug category level</w:t>
      </w:r>
    </w:p>
    <w:p w:rsidR="00AD1B6C" w:rsidRPr="00BE5B6A" w:rsidRDefault="00AD1B6C" w:rsidP="00AD1B6C">
      <w:pPr>
        <w:spacing w:before="60" w:after="60"/>
        <w:rPr>
          <w:sz w:val="18"/>
          <w:szCs w:val="18"/>
        </w:rPr>
      </w:pPr>
    </w:p>
    <w:p w:rsidR="007E7DBB" w:rsidRDefault="00864559" w:rsidP="00A814E4">
      <w:pPr>
        <w:spacing w:before="60" w:after="60"/>
        <w:jc w:val="both"/>
        <w:rPr>
          <w:sz w:val="20"/>
          <w:szCs w:val="20"/>
        </w:rPr>
      </w:pPr>
      <w:r>
        <w:rPr>
          <w:sz w:val="20"/>
          <w:szCs w:val="20"/>
        </w:rPr>
        <w:t>Please note that individual t</w:t>
      </w:r>
      <w:r w:rsidR="00AD1B6C" w:rsidRPr="00BE5B6A">
        <w:rPr>
          <w:sz w:val="20"/>
          <w:szCs w:val="20"/>
        </w:rPr>
        <w:t>rusts should make decisions around the suitability of each drug category as listed below taking into account local population variation and the ability to support the cost effective dispensing route under consideration. The availability of pharma funded schemes and local, regional and national NHS contracted homecare medicines services as well as the use of the national Homecare Risk Assessment toolkit will also help to inform these decisions.</w:t>
      </w:r>
    </w:p>
    <w:p w:rsidR="00BE5B6A" w:rsidRPr="00BE5B6A" w:rsidRDefault="00BE5B6A" w:rsidP="00AD1B6C">
      <w:pPr>
        <w:spacing w:before="60" w:after="60"/>
        <w:rPr>
          <w:sz w:val="18"/>
          <w:szCs w:val="18"/>
        </w:rPr>
      </w:pPr>
    </w:p>
    <w:tbl>
      <w:tblPr>
        <w:tblW w:w="0" w:type="auto"/>
        <w:jc w:val="center"/>
        <w:tblInd w:w="-98"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ayout w:type="fixed"/>
        <w:tblLook w:val="0000" w:firstRow="0" w:lastRow="0" w:firstColumn="0" w:lastColumn="0" w:noHBand="0" w:noVBand="0"/>
      </w:tblPr>
      <w:tblGrid>
        <w:gridCol w:w="2980"/>
        <w:gridCol w:w="3244"/>
        <w:gridCol w:w="1275"/>
        <w:gridCol w:w="851"/>
        <w:gridCol w:w="1276"/>
        <w:gridCol w:w="992"/>
        <w:gridCol w:w="2980"/>
      </w:tblGrid>
      <w:tr w:rsidR="00AD1B6C" w:rsidRPr="00BE5B6A" w:rsidTr="00B93430">
        <w:trPr>
          <w:trHeight w:val="211"/>
          <w:jc w:val="center"/>
        </w:trPr>
        <w:tc>
          <w:tcPr>
            <w:tcW w:w="2980" w:type="dxa"/>
            <w:shd w:val="solid" w:color="C0C0C0" w:fill="auto"/>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b/>
                <w:bCs/>
                <w:color w:val="000000"/>
                <w:sz w:val="20"/>
                <w:szCs w:val="20"/>
              </w:rPr>
            </w:pPr>
            <w:r w:rsidRPr="00BE5B6A">
              <w:rPr>
                <w:rFonts w:eastAsiaTheme="minorHAnsi" w:cs="Arial"/>
                <w:b/>
                <w:bCs/>
                <w:color w:val="000000"/>
                <w:sz w:val="20"/>
                <w:szCs w:val="20"/>
              </w:rPr>
              <w:t>Drug Categories</w:t>
            </w:r>
          </w:p>
        </w:tc>
        <w:tc>
          <w:tcPr>
            <w:tcW w:w="3244" w:type="dxa"/>
            <w:shd w:val="solid" w:color="C0C0C0" w:fill="auto"/>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b/>
                <w:bCs/>
                <w:color w:val="000000"/>
                <w:sz w:val="20"/>
                <w:szCs w:val="20"/>
              </w:rPr>
            </w:pPr>
            <w:r w:rsidRPr="00BE5B6A">
              <w:rPr>
                <w:rFonts w:eastAsiaTheme="minorHAnsi" w:cs="Arial"/>
                <w:b/>
                <w:bCs/>
                <w:color w:val="000000"/>
                <w:sz w:val="20"/>
                <w:szCs w:val="20"/>
              </w:rPr>
              <w:t>Examples</w:t>
            </w:r>
          </w:p>
        </w:tc>
        <w:tc>
          <w:tcPr>
            <w:tcW w:w="2126" w:type="dxa"/>
            <w:gridSpan w:val="2"/>
            <w:shd w:val="solid" w:color="C0C0C0" w:fill="auto"/>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b/>
                <w:bCs/>
                <w:color w:val="000000"/>
                <w:sz w:val="20"/>
                <w:szCs w:val="20"/>
              </w:rPr>
            </w:pPr>
            <w:r w:rsidRPr="00BE5B6A">
              <w:rPr>
                <w:rFonts w:eastAsiaTheme="minorHAnsi" w:cs="Arial"/>
                <w:b/>
                <w:bCs/>
                <w:color w:val="000000"/>
                <w:sz w:val="20"/>
                <w:szCs w:val="20"/>
              </w:rPr>
              <w:t>Homecare</w:t>
            </w:r>
          </w:p>
        </w:tc>
        <w:tc>
          <w:tcPr>
            <w:tcW w:w="1276" w:type="dxa"/>
            <w:shd w:val="solid" w:color="C0C0C0" w:fill="auto"/>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b/>
                <w:bCs/>
                <w:color w:val="000000"/>
                <w:sz w:val="20"/>
                <w:szCs w:val="20"/>
              </w:rPr>
            </w:pPr>
            <w:r w:rsidRPr="00BE5B6A">
              <w:rPr>
                <w:rFonts w:eastAsiaTheme="minorHAnsi" w:cs="Arial"/>
                <w:b/>
                <w:bCs/>
                <w:color w:val="000000"/>
                <w:sz w:val="20"/>
                <w:szCs w:val="20"/>
              </w:rPr>
              <w:t>OOPD</w:t>
            </w:r>
          </w:p>
        </w:tc>
        <w:tc>
          <w:tcPr>
            <w:tcW w:w="992" w:type="dxa"/>
            <w:shd w:val="solid" w:color="C0C0C0" w:fill="auto"/>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b/>
                <w:bCs/>
                <w:color w:val="000000"/>
                <w:sz w:val="20"/>
                <w:szCs w:val="20"/>
              </w:rPr>
            </w:pPr>
          </w:p>
        </w:tc>
        <w:tc>
          <w:tcPr>
            <w:tcW w:w="2980" w:type="dxa"/>
            <w:shd w:val="solid" w:color="C0C0C0" w:fill="auto"/>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b/>
                <w:bCs/>
                <w:color w:val="000000"/>
                <w:sz w:val="20"/>
                <w:szCs w:val="20"/>
              </w:rPr>
            </w:pPr>
            <w:r w:rsidRPr="00BE5B6A">
              <w:rPr>
                <w:rFonts w:eastAsiaTheme="minorHAnsi" w:cs="Arial"/>
                <w:b/>
                <w:bCs/>
                <w:color w:val="000000"/>
                <w:sz w:val="20"/>
                <w:szCs w:val="20"/>
              </w:rPr>
              <w:t>Notes</w:t>
            </w:r>
          </w:p>
        </w:tc>
      </w:tr>
      <w:tr w:rsidR="00AD1B6C" w:rsidRPr="00BE5B6A" w:rsidTr="00B93430">
        <w:trPr>
          <w:trHeight w:val="211"/>
          <w:jc w:val="center"/>
        </w:trPr>
        <w:tc>
          <w:tcPr>
            <w:tcW w:w="2980" w:type="dxa"/>
            <w:shd w:val="solid" w:color="C0C0C0" w:fill="auto"/>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b/>
                <w:bCs/>
                <w:color w:val="000000"/>
                <w:sz w:val="20"/>
                <w:szCs w:val="20"/>
              </w:rPr>
            </w:pPr>
          </w:p>
        </w:tc>
        <w:tc>
          <w:tcPr>
            <w:tcW w:w="3244" w:type="dxa"/>
            <w:shd w:val="solid" w:color="C0C0C0" w:fill="auto"/>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b/>
                <w:bCs/>
                <w:color w:val="000000"/>
                <w:sz w:val="20"/>
                <w:szCs w:val="20"/>
              </w:rPr>
            </w:pPr>
          </w:p>
        </w:tc>
        <w:tc>
          <w:tcPr>
            <w:tcW w:w="1275" w:type="dxa"/>
            <w:shd w:val="solid" w:color="C0C0C0" w:fill="auto"/>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b/>
                <w:bCs/>
                <w:color w:val="000000"/>
                <w:sz w:val="20"/>
                <w:szCs w:val="20"/>
              </w:rPr>
            </w:pPr>
            <w:r w:rsidRPr="00BE5B6A">
              <w:rPr>
                <w:rFonts w:eastAsiaTheme="minorHAnsi" w:cs="Arial"/>
                <w:b/>
                <w:bCs/>
                <w:color w:val="000000"/>
                <w:sz w:val="20"/>
                <w:szCs w:val="20"/>
              </w:rPr>
              <w:t>Oral/Inhaled</w:t>
            </w:r>
          </w:p>
        </w:tc>
        <w:tc>
          <w:tcPr>
            <w:tcW w:w="851" w:type="dxa"/>
            <w:shd w:val="solid" w:color="C0C0C0" w:fill="auto"/>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b/>
                <w:bCs/>
                <w:color w:val="000000"/>
                <w:sz w:val="20"/>
                <w:szCs w:val="20"/>
              </w:rPr>
            </w:pPr>
            <w:r w:rsidRPr="00BE5B6A">
              <w:rPr>
                <w:rFonts w:eastAsiaTheme="minorHAnsi" w:cs="Arial"/>
                <w:b/>
                <w:bCs/>
                <w:color w:val="000000"/>
                <w:sz w:val="20"/>
                <w:szCs w:val="20"/>
              </w:rPr>
              <w:t>IV/SC</w:t>
            </w:r>
          </w:p>
        </w:tc>
        <w:tc>
          <w:tcPr>
            <w:tcW w:w="1276" w:type="dxa"/>
            <w:shd w:val="solid" w:color="C0C0C0" w:fill="auto"/>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b/>
                <w:bCs/>
                <w:color w:val="000000"/>
                <w:sz w:val="20"/>
                <w:szCs w:val="20"/>
              </w:rPr>
            </w:pPr>
            <w:r w:rsidRPr="00BE5B6A">
              <w:rPr>
                <w:rFonts w:eastAsiaTheme="minorHAnsi" w:cs="Arial"/>
                <w:b/>
                <w:bCs/>
                <w:color w:val="000000"/>
                <w:sz w:val="20"/>
                <w:szCs w:val="20"/>
              </w:rPr>
              <w:t>Oral/Inhaled</w:t>
            </w:r>
          </w:p>
        </w:tc>
        <w:tc>
          <w:tcPr>
            <w:tcW w:w="992" w:type="dxa"/>
            <w:shd w:val="solid" w:color="C0C0C0" w:fill="auto"/>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b/>
                <w:bCs/>
                <w:color w:val="000000"/>
                <w:sz w:val="20"/>
                <w:szCs w:val="20"/>
              </w:rPr>
            </w:pPr>
            <w:r w:rsidRPr="00BE5B6A">
              <w:rPr>
                <w:rFonts w:eastAsiaTheme="minorHAnsi" w:cs="Arial"/>
                <w:b/>
                <w:bCs/>
                <w:color w:val="000000"/>
                <w:sz w:val="20"/>
                <w:szCs w:val="20"/>
              </w:rPr>
              <w:t>IV/SC</w:t>
            </w:r>
          </w:p>
        </w:tc>
        <w:tc>
          <w:tcPr>
            <w:tcW w:w="2980" w:type="dxa"/>
            <w:shd w:val="solid" w:color="C0C0C0" w:fill="auto"/>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b/>
                <w:bCs/>
                <w:color w:val="000000"/>
                <w:sz w:val="20"/>
                <w:szCs w:val="20"/>
              </w:rPr>
            </w:pPr>
          </w:p>
        </w:tc>
      </w:tr>
      <w:tr w:rsidR="00AD1B6C" w:rsidRPr="00BE5B6A" w:rsidTr="00B93430">
        <w:trPr>
          <w:trHeight w:val="211"/>
          <w:jc w:val="center"/>
        </w:trPr>
        <w:tc>
          <w:tcPr>
            <w:tcW w:w="2980"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AIDS</w:t>
            </w:r>
            <w:r w:rsidR="00213AAD">
              <w:rPr>
                <w:rFonts w:eastAsiaTheme="minorHAnsi" w:cs="Arial"/>
                <w:color w:val="000000"/>
                <w:sz w:val="20"/>
                <w:szCs w:val="20"/>
              </w:rPr>
              <w:t xml:space="preserve"> </w:t>
            </w:r>
            <w:r w:rsidRPr="00BE5B6A">
              <w:rPr>
                <w:rFonts w:eastAsiaTheme="minorHAnsi" w:cs="Arial"/>
                <w:color w:val="000000"/>
                <w:sz w:val="20"/>
                <w:szCs w:val="20"/>
              </w:rPr>
              <w:t>/</w:t>
            </w:r>
            <w:r w:rsidR="00213AAD">
              <w:rPr>
                <w:rFonts w:eastAsiaTheme="minorHAnsi" w:cs="Arial"/>
                <w:color w:val="000000"/>
                <w:sz w:val="20"/>
                <w:szCs w:val="20"/>
              </w:rPr>
              <w:t xml:space="preserve"> </w:t>
            </w:r>
            <w:r w:rsidRPr="00BE5B6A">
              <w:rPr>
                <w:rFonts w:eastAsiaTheme="minorHAnsi" w:cs="Arial"/>
                <w:color w:val="000000"/>
                <w:sz w:val="20"/>
                <w:szCs w:val="20"/>
              </w:rPr>
              <w:t xml:space="preserve">HIV </w:t>
            </w:r>
            <w:proofErr w:type="spellStart"/>
            <w:r w:rsidRPr="00BE5B6A">
              <w:rPr>
                <w:rFonts w:eastAsiaTheme="minorHAnsi" w:cs="Arial"/>
                <w:color w:val="000000"/>
                <w:sz w:val="20"/>
                <w:szCs w:val="20"/>
              </w:rPr>
              <w:t>antiretrovirals</w:t>
            </w:r>
            <w:proofErr w:type="spellEnd"/>
          </w:p>
        </w:tc>
        <w:tc>
          <w:tcPr>
            <w:tcW w:w="3244"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Emtricitabine</w:t>
            </w:r>
            <w:proofErr w:type="spellEnd"/>
            <w:r w:rsidRPr="00BE5B6A">
              <w:rPr>
                <w:rFonts w:eastAsiaTheme="minorHAnsi" w:cs="Arial"/>
                <w:color w:val="000000"/>
                <w:sz w:val="20"/>
                <w:szCs w:val="20"/>
              </w:rPr>
              <w:t xml:space="preserve">, </w:t>
            </w:r>
            <w:proofErr w:type="spellStart"/>
            <w:r w:rsidRPr="00BE5B6A">
              <w:rPr>
                <w:rFonts w:eastAsiaTheme="minorHAnsi" w:cs="Arial"/>
                <w:color w:val="000000"/>
                <w:sz w:val="20"/>
                <w:szCs w:val="20"/>
              </w:rPr>
              <w:t>tenofovir</w:t>
            </w:r>
            <w:proofErr w:type="spellEnd"/>
          </w:p>
        </w:tc>
        <w:tc>
          <w:tcPr>
            <w:tcW w:w="1275"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851"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276"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2980"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80"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Allergic emergencies</w:t>
            </w:r>
          </w:p>
        </w:tc>
        <w:tc>
          <w:tcPr>
            <w:tcW w:w="3244"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Icatibant</w:t>
            </w:r>
            <w:proofErr w:type="spellEnd"/>
          </w:p>
        </w:tc>
        <w:tc>
          <w:tcPr>
            <w:tcW w:w="1275"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851"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276"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2980"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80" w:type="dxa"/>
            <w:tcMar>
              <w:top w:w="57" w:type="dxa"/>
              <w:left w:w="57" w:type="dxa"/>
              <w:bottom w:w="57" w:type="dxa"/>
              <w:right w:w="57" w:type="dxa"/>
            </w:tcMar>
          </w:tcPr>
          <w:p w:rsidR="00AD1B6C" w:rsidRPr="00BE5B6A" w:rsidRDefault="00864559" w:rsidP="00AD1B6C">
            <w:pPr>
              <w:autoSpaceDE w:val="0"/>
              <w:autoSpaceDN w:val="0"/>
              <w:adjustRightInd w:val="0"/>
              <w:rPr>
                <w:rFonts w:eastAsiaTheme="minorHAnsi" w:cs="Arial"/>
                <w:color w:val="000000"/>
                <w:sz w:val="20"/>
                <w:szCs w:val="20"/>
              </w:rPr>
            </w:pPr>
            <w:r>
              <w:rPr>
                <w:rFonts w:eastAsiaTheme="minorHAnsi" w:cs="Arial"/>
                <w:color w:val="000000"/>
                <w:sz w:val="20"/>
                <w:szCs w:val="20"/>
              </w:rPr>
              <w:t>Antibacterial d</w:t>
            </w:r>
            <w:r w:rsidR="00AD1B6C" w:rsidRPr="00BE5B6A">
              <w:rPr>
                <w:rFonts w:eastAsiaTheme="minorHAnsi" w:cs="Arial"/>
                <w:color w:val="000000"/>
                <w:sz w:val="20"/>
                <w:szCs w:val="20"/>
              </w:rPr>
              <w:t>rugs (inhaled)</w:t>
            </w:r>
          </w:p>
        </w:tc>
        <w:tc>
          <w:tcPr>
            <w:tcW w:w="3244"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Colistimethate</w:t>
            </w:r>
            <w:proofErr w:type="spellEnd"/>
            <w:r w:rsidRPr="00BE5B6A">
              <w:rPr>
                <w:rFonts w:eastAsiaTheme="minorHAnsi" w:cs="Arial"/>
                <w:color w:val="000000"/>
                <w:sz w:val="20"/>
                <w:szCs w:val="20"/>
              </w:rPr>
              <w:t xml:space="preserve"> sodium, tobramycin</w:t>
            </w:r>
          </w:p>
        </w:tc>
        <w:tc>
          <w:tcPr>
            <w:tcW w:w="1275"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851"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276"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2980"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80"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Antifungals</w:t>
            </w:r>
          </w:p>
        </w:tc>
        <w:tc>
          <w:tcPr>
            <w:tcW w:w="3244"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Voriconazole, posaconazole</w:t>
            </w:r>
          </w:p>
        </w:tc>
        <w:tc>
          <w:tcPr>
            <w:tcW w:w="1275"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851"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276"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2980"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80"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Antituberculosis</w:t>
            </w:r>
            <w:proofErr w:type="spellEnd"/>
            <w:r w:rsidRPr="00BE5B6A">
              <w:rPr>
                <w:rFonts w:eastAsiaTheme="minorHAnsi" w:cs="Arial"/>
                <w:color w:val="000000"/>
                <w:sz w:val="20"/>
                <w:szCs w:val="20"/>
              </w:rPr>
              <w:t xml:space="preserve"> drugs</w:t>
            </w:r>
          </w:p>
        </w:tc>
        <w:tc>
          <w:tcPr>
            <w:tcW w:w="3244"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Bedaquiline</w:t>
            </w:r>
            <w:proofErr w:type="spellEnd"/>
            <w:r w:rsidRPr="00BE5B6A">
              <w:rPr>
                <w:rFonts w:eastAsiaTheme="minorHAnsi" w:cs="Arial"/>
                <w:color w:val="000000"/>
                <w:sz w:val="20"/>
                <w:szCs w:val="20"/>
              </w:rPr>
              <w:t xml:space="preserve">, </w:t>
            </w:r>
            <w:proofErr w:type="spellStart"/>
            <w:r w:rsidRPr="00BE5B6A">
              <w:rPr>
                <w:rFonts w:eastAsiaTheme="minorHAnsi" w:cs="Arial"/>
                <w:color w:val="000000"/>
                <w:sz w:val="20"/>
                <w:szCs w:val="20"/>
              </w:rPr>
              <w:t>delamanid</w:t>
            </w:r>
            <w:proofErr w:type="spellEnd"/>
          </w:p>
        </w:tc>
        <w:tc>
          <w:tcPr>
            <w:tcW w:w="1275"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p>
        </w:tc>
        <w:tc>
          <w:tcPr>
            <w:tcW w:w="851"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276"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2980"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80"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Blood-related products (factors)</w:t>
            </w:r>
          </w:p>
        </w:tc>
        <w:tc>
          <w:tcPr>
            <w:tcW w:w="4519"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Factor VIII, factor VIII inhibitor bypassing</w:t>
            </w:r>
          </w:p>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Factor</w:t>
            </w:r>
          </w:p>
        </w:tc>
        <w:tc>
          <w:tcPr>
            <w:tcW w:w="851"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276"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
        </w:tc>
        <w:tc>
          <w:tcPr>
            <w:tcW w:w="2980"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329"/>
          <w:jc w:val="center"/>
        </w:trPr>
        <w:tc>
          <w:tcPr>
            <w:tcW w:w="2980"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 xml:space="preserve">Chemotherapy </w:t>
            </w:r>
          </w:p>
        </w:tc>
        <w:tc>
          <w:tcPr>
            <w:tcW w:w="3244"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Capecitabine</w:t>
            </w:r>
            <w:proofErr w:type="spellEnd"/>
            <w:r w:rsidRPr="00BE5B6A">
              <w:rPr>
                <w:rFonts w:eastAsiaTheme="minorHAnsi" w:cs="Arial"/>
                <w:color w:val="000000"/>
                <w:sz w:val="20"/>
                <w:szCs w:val="20"/>
              </w:rPr>
              <w:t xml:space="preserve">, </w:t>
            </w:r>
            <w:proofErr w:type="spellStart"/>
            <w:r w:rsidRPr="00BE5B6A">
              <w:rPr>
                <w:rFonts w:eastAsiaTheme="minorHAnsi" w:cs="Arial"/>
                <w:color w:val="000000"/>
                <w:sz w:val="20"/>
                <w:szCs w:val="20"/>
              </w:rPr>
              <w:t>temozolomide</w:t>
            </w:r>
            <w:proofErr w:type="spellEnd"/>
          </w:p>
        </w:tc>
        <w:tc>
          <w:tcPr>
            <w:tcW w:w="1275"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851"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276"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2" w:char="F04F"/>
            </w:r>
          </w:p>
        </w:tc>
        <w:tc>
          <w:tcPr>
            <w:tcW w:w="2980"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sz w:val="20"/>
                <w:szCs w:val="20"/>
              </w:rPr>
              <w:t>This may change over time as new services join the market</w:t>
            </w:r>
          </w:p>
        </w:tc>
      </w:tr>
      <w:tr w:rsidR="00AD1B6C" w:rsidRPr="00BE5B6A" w:rsidTr="00B93430">
        <w:trPr>
          <w:trHeight w:val="211"/>
          <w:jc w:val="center"/>
        </w:trPr>
        <w:tc>
          <w:tcPr>
            <w:tcW w:w="2980"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Cytokine modulators</w:t>
            </w:r>
          </w:p>
        </w:tc>
        <w:tc>
          <w:tcPr>
            <w:tcW w:w="3244"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 xml:space="preserve">Adalimumab, </w:t>
            </w:r>
            <w:proofErr w:type="spellStart"/>
            <w:r w:rsidRPr="00BE5B6A">
              <w:rPr>
                <w:rFonts w:eastAsiaTheme="minorHAnsi" w:cs="Arial"/>
                <w:color w:val="000000"/>
                <w:sz w:val="20"/>
                <w:szCs w:val="20"/>
              </w:rPr>
              <w:t>etanercept</w:t>
            </w:r>
            <w:proofErr w:type="spellEnd"/>
          </w:p>
        </w:tc>
        <w:tc>
          <w:tcPr>
            <w:tcW w:w="1275"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851"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276"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2980"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80"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Cytomegalovirus infection</w:t>
            </w:r>
          </w:p>
        </w:tc>
        <w:tc>
          <w:tcPr>
            <w:tcW w:w="3244"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Valganciclovir</w:t>
            </w:r>
            <w:proofErr w:type="spellEnd"/>
          </w:p>
        </w:tc>
        <w:tc>
          <w:tcPr>
            <w:tcW w:w="1275"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p>
        </w:tc>
        <w:tc>
          <w:tcPr>
            <w:tcW w:w="851"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276"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2" w:char="F04F"/>
            </w:r>
          </w:p>
        </w:tc>
        <w:tc>
          <w:tcPr>
            <w:tcW w:w="2980"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329"/>
          <w:jc w:val="center"/>
        </w:trPr>
        <w:tc>
          <w:tcPr>
            <w:tcW w:w="2980"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 xml:space="preserve">Drugs used in </w:t>
            </w:r>
            <w:proofErr w:type="spellStart"/>
            <w:r w:rsidRPr="00BE5B6A">
              <w:rPr>
                <w:rFonts w:eastAsiaTheme="minorHAnsi" w:cs="Arial"/>
                <w:color w:val="000000"/>
                <w:sz w:val="20"/>
                <w:szCs w:val="20"/>
              </w:rPr>
              <w:t>hypoplastic</w:t>
            </w:r>
            <w:proofErr w:type="spellEnd"/>
            <w:r w:rsidRPr="00BE5B6A">
              <w:rPr>
                <w:rFonts w:eastAsiaTheme="minorHAnsi" w:cs="Arial"/>
                <w:color w:val="000000"/>
                <w:sz w:val="20"/>
                <w:szCs w:val="20"/>
              </w:rPr>
              <w:t>, ha</w:t>
            </w:r>
            <w:r w:rsidR="00864559">
              <w:rPr>
                <w:rFonts w:eastAsiaTheme="minorHAnsi" w:cs="Arial"/>
                <w:color w:val="000000"/>
                <w:sz w:val="20"/>
                <w:szCs w:val="20"/>
              </w:rPr>
              <w:t>emolytic, and renal anaemias - i</w:t>
            </w:r>
            <w:r w:rsidRPr="00BE5B6A">
              <w:rPr>
                <w:rFonts w:eastAsiaTheme="minorHAnsi" w:cs="Arial"/>
                <w:color w:val="000000"/>
                <w:sz w:val="20"/>
                <w:szCs w:val="20"/>
              </w:rPr>
              <w:t>ron overload</w:t>
            </w:r>
          </w:p>
        </w:tc>
        <w:tc>
          <w:tcPr>
            <w:tcW w:w="3244"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Deferasirox</w:t>
            </w:r>
            <w:proofErr w:type="spellEnd"/>
            <w:r w:rsidRPr="00BE5B6A">
              <w:rPr>
                <w:rFonts w:eastAsiaTheme="minorHAnsi" w:cs="Arial"/>
                <w:color w:val="000000"/>
                <w:sz w:val="20"/>
                <w:szCs w:val="20"/>
              </w:rPr>
              <w:t xml:space="preserve">, </w:t>
            </w:r>
            <w:proofErr w:type="spellStart"/>
            <w:r w:rsidRPr="00BE5B6A">
              <w:rPr>
                <w:rFonts w:eastAsiaTheme="minorHAnsi" w:cs="Arial"/>
                <w:color w:val="000000"/>
                <w:sz w:val="20"/>
                <w:szCs w:val="20"/>
              </w:rPr>
              <w:t>deferiprone</w:t>
            </w:r>
            <w:proofErr w:type="spellEnd"/>
          </w:p>
        </w:tc>
        <w:tc>
          <w:tcPr>
            <w:tcW w:w="1275"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851"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276"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2980"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80" w:type="dxa"/>
            <w:tcMar>
              <w:top w:w="57" w:type="dxa"/>
              <w:left w:w="57" w:type="dxa"/>
              <w:bottom w:w="57" w:type="dxa"/>
              <w:right w:w="57" w:type="dxa"/>
            </w:tcMar>
          </w:tcPr>
          <w:p w:rsidR="00AD1B6C" w:rsidRPr="00BE5B6A" w:rsidRDefault="00864559" w:rsidP="00AD1B6C">
            <w:pPr>
              <w:autoSpaceDE w:val="0"/>
              <w:autoSpaceDN w:val="0"/>
              <w:adjustRightInd w:val="0"/>
              <w:rPr>
                <w:rFonts w:eastAsiaTheme="minorHAnsi" w:cs="Arial"/>
                <w:color w:val="000000"/>
                <w:sz w:val="20"/>
                <w:szCs w:val="20"/>
              </w:rPr>
            </w:pPr>
            <w:r>
              <w:rPr>
                <w:rFonts w:eastAsiaTheme="minorHAnsi" w:cs="Arial"/>
                <w:color w:val="000000"/>
                <w:sz w:val="20"/>
                <w:szCs w:val="20"/>
              </w:rPr>
              <w:t>Drugs used in m</w:t>
            </w:r>
            <w:r w:rsidR="00AD1B6C" w:rsidRPr="00BE5B6A">
              <w:rPr>
                <w:rFonts w:eastAsiaTheme="minorHAnsi" w:cs="Arial"/>
                <w:color w:val="000000"/>
                <w:sz w:val="20"/>
                <w:szCs w:val="20"/>
              </w:rPr>
              <w:t>etabolic disorders</w:t>
            </w:r>
          </w:p>
        </w:tc>
        <w:tc>
          <w:tcPr>
            <w:tcW w:w="3244"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 xml:space="preserve">Carnitine, </w:t>
            </w:r>
            <w:proofErr w:type="spellStart"/>
            <w:r w:rsidRPr="00BE5B6A">
              <w:rPr>
                <w:rFonts w:eastAsiaTheme="minorHAnsi" w:cs="Arial"/>
                <w:color w:val="000000"/>
                <w:sz w:val="20"/>
                <w:szCs w:val="20"/>
              </w:rPr>
              <w:t>nitisinone</w:t>
            </w:r>
            <w:proofErr w:type="spellEnd"/>
          </w:p>
        </w:tc>
        <w:tc>
          <w:tcPr>
            <w:tcW w:w="1275"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851"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276"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2980"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80"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Drugs used in neutropenia</w:t>
            </w:r>
          </w:p>
        </w:tc>
        <w:tc>
          <w:tcPr>
            <w:tcW w:w="3244"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Filgrastim</w:t>
            </w:r>
            <w:proofErr w:type="spellEnd"/>
          </w:p>
        </w:tc>
        <w:tc>
          <w:tcPr>
            <w:tcW w:w="1275"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851"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276"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2980"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bl>
    <w:p w:rsidR="00BE5B6A" w:rsidRDefault="00BE5B6A"/>
    <w:p w:rsidR="00864559" w:rsidRDefault="00864559"/>
    <w:tbl>
      <w:tblPr>
        <w:tblW w:w="0" w:type="auto"/>
        <w:jc w:val="center"/>
        <w:tblInd w:w="268"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ayout w:type="fixed"/>
        <w:tblLook w:val="0000" w:firstRow="0" w:lastRow="0" w:firstColumn="0" w:lastColumn="0" w:noHBand="0" w:noVBand="0"/>
      </w:tblPr>
      <w:tblGrid>
        <w:gridCol w:w="2403"/>
        <w:gridCol w:w="566"/>
        <w:gridCol w:w="2009"/>
        <w:gridCol w:w="1251"/>
        <w:gridCol w:w="1276"/>
        <w:gridCol w:w="350"/>
        <w:gridCol w:w="642"/>
        <w:gridCol w:w="1134"/>
        <w:gridCol w:w="229"/>
        <w:gridCol w:w="763"/>
        <w:gridCol w:w="3057"/>
      </w:tblGrid>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Erythropoietin stimulating agents</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Darbepoetin</w:t>
            </w:r>
            <w:proofErr w:type="spellEnd"/>
            <w:r w:rsidRPr="00BE5B6A">
              <w:rPr>
                <w:rFonts w:eastAsiaTheme="minorHAnsi" w:cs="Arial"/>
                <w:color w:val="000000"/>
                <w:sz w:val="20"/>
                <w:szCs w:val="20"/>
              </w:rPr>
              <w:t xml:space="preserve">, </w:t>
            </w:r>
            <w:proofErr w:type="spellStart"/>
            <w:r w:rsidRPr="00BE5B6A">
              <w:rPr>
                <w:rFonts w:eastAsiaTheme="minorHAnsi" w:cs="Arial"/>
                <w:color w:val="000000"/>
                <w:sz w:val="20"/>
                <w:szCs w:val="20"/>
              </w:rPr>
              <w:t>epoetin</w:t>
            </w:r>
            <w:proofErr w:type="spellEnd"/>
          </w:p>
        </w:tc>
        <w:tc>
          <w:tcPr>
            <w:tcW w:w="1276"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gridSpan w:val="2"/>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134"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gridSpan w:val="2"/>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317"/>
          <w:jc w:val="center"/>
        </w:trPr>
        <w:tc>
          <w:tcPr>
            <w:tcW w:w="2969" w:type="dxa"/>
            <w:gridSpan w:val="2"/>
            <w:tcMar>
              <w:top w:w="57" w:type="dxa"/>
              <w:left w:w="57" w:type="dxa"/>
              <w:bottom w:w="57" w:type="dxa"/>
              <w:right w:w="57" w:type="dxa"/>
            </w:tcMar>
          </w:tcPr>
          <w:p w:rsidR="00AD1B6C" w:rsidRPr="00BE5B6A" w:rsidRDefault="00864559" w:rsidP="00AD1B6C">
            <w:pPr>
              <w:autoSpaceDE w:val="0"/>
              <w:autoSpaceDN w:val="0"/>
              <w:adjustRightInd w:val="0"/>
              <w:rPr>
                <w:rFonts w:eastAsiaTheme="minorHAnsi" w:cs="Arial"/>
                <w:color w:val="000000"/>
                <w:sz w:val="20"/>
                <w:szCs w:val="20"/>
              </w:rPr>
            </w:pPr>
            <w:r>
              <w:rPr>
                <w:rFonts w:eastAsiaTheme="minorHAnsi" w:cs="Arial"/>
                <w:color w:val="000000"/>
                <w:sz w:val="20"/>
                <w:szCs w:val="20"/>
              </w:rPr>
              <w:t>Growth hormone &amp; growth hormone receptor a</w:t>
            </w:r>
            <w:r w:rsidR="00AD1B6C" w:rsidRPr="00BE5B6A">
              <w:rPr>
                <w:rFonts w:eastAsiaTheme="minorHAnsi" w:cs="Arial"/>
                <w:color w:val="000000"/>
                <w:sz w:val="20"/>
                <w:szCs w:val="20"/>
              </w:rPr>
              <w:t>ntagonist</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Pegvisomant</w:t>
            </w:r>
            <w:proofErr w:type="spellEnd"/>
            <w:r w:rsidRPr="00BE5B6A">
              <w:rPr>
                <w:rFonts w:eastAsiaTheme="minorHAnsi" w:cs="Arial"/>
                <w:color w:val="000000"/>
                <w:sz w:val="20"/>
                <w:szCs w:val="20"/>
              </w:rPr>
              <w:t xml:space="preserve">, </w:t>
            </w:r>
            <w:proofErr w:type="spellStart"/>
            <w:r w:rsidRPr="00BE5B6A">
              <w:rPr>
                <w:rFonts w:eastAsiaTheme="minorHAnsi" w:cs="Arial"/>
                <w:color w:val="000000"/>
                <w:sz w:val="20"/>
                <w:szCs w:val="20"/>
              </w:rPr>
              <w:t>somatropin</w:t>
            </w:r>
            <w:proofErr w:type="spellEnd"/>
          </w:p>
        </w:tc>
        <w:tc>
          <w:tcPr>
            <w:tcW w:w="1276"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gridSpan w:val="2"/>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134"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gridSpan w:val="2"/>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Hormone antagonists</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Abiraterone</w:t>
            </w:r>
            <w:proofErr w:type="spellEnd"/>
            <w:r w:rsidRPr="00BE5B6A">
              <w:rPr>
                <w:rFonts w:eastAsiaTheme="minorHAnsi" w:cs="Arial"/>
                <w:color w:val="000000"/>
                <w:sz w:val="20"/>
                <w:szCs w:val="20"/>
              </w:rPr>
              <w:t>, enzalutamide</w:t>
            </w:r>
          </w:p>
        </w:tc>
        <w:tc>
          <w:tcPr>
            <w:tcW w:w="1276"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134"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Hypnotics and anxiolytics</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 xml:space="preserve">Sodium </w:t>
            </w:r>
            <w:proofErr w:type="spellStart"/>
            <w:r w:rsidRPr="00BE5B6A">
              <w:rPr>
                <w:rFonts w:eastAsiaTheme="minorHAnsi" w:cs="Arial"/>
                <w:color w:val="000000"/>
                <w:sz w:val="20"/>
                <w:szCs w:val="20"/>
              </w:rPr>
              <w:t>oxybate</w:t>
            </w:r>
            <w:proofErr w:type="spellEnd"/>
          </w:p>
        </w:tc>
        <w:tc>
          <w:tcPr>
            <w:tcW w:w="1276" w:type="dxa"/>
            <w:tcMar>
              <w:top w:w="57" w:type="dxa"/>
              <w:left w:w="57" w:type="dxa"/>
              <w:bottom w:w="57" w:type="dxa"/>
              <w:right w:w="57" w:type="dxa"/>
            </w:tcMar>
          </w:tcPr>
          <w:p w:rsidR="00AD1B6C" w:rsidRPr="00BE5B6A" w:rsidRDefault="000052B7" w:rsidP="000052B7">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134" w:type="dxa"/>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23"/>
          <w:jc w:val="center"/>
        </w:trPr>
        <w:tc>
          <w:tcPr>
            <w:tcW w:w="2969"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Immunomodulating</w:t>
            </w:r>
            <w:proofErr w:type="spellEnd"/>
            <w:r w:rsidRPr="00BE5B6A">
              <w:rPr>
                <w:rFonts w:eastAsiaTheme="minorHAnsi" w:cs="Arial"/>
                <w:color w:val="000000"/>
                <w:sz w:val="20"/>
                <w:szCs w:val="20"/>
              </w:rPr>
              <w:t xml:space="preserve"> drugs (MS)</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 xml:space="preserve">Dimethyl fumarate, </w:t>
            </w:r>
            <w:proofErr w:type="spellStart"/>
            <w:r w:rsidRPr="00BE5B6A">
              <w:rPr>
                <w:rFonts w:eastAsiaTheme="minorHAnsi" w:cs="Arial"/>
                <w:color w:val="000000"/>
                <w:sz w:val="20"/>
                <w:szCs w:val="20"/>
              </w:rPr>
              <w:t>glatiramer</w:t>
            </w:r>
            <w:proofErr w:type="spellEnd"/>
            <w:r w:rsidRPr="00BE5B6A">
              <w:rPr>
                <w:rFonts w:eastAsiaTheme="minorHAnsi" w:cs="Arial"/>
                <w:color w:val="000000"/>
                <w:sz w:val="20"/>
                <w:szCs w:val="20"/>
              </w:rPr>
              <w:t xml:space="preserve"> acetate, beta interferon </w:t>
            </w:r>
          </w:p>
        </w:tc>
        <w:tc>
          <w:tcPr>
            <w:tcW w:w="1276" w:type="dxa"/>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134" w:type="dxa"/>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Sub cut ok but IV products are usually delivered as day case</w:t>
            </w:r>
          </w:p>
        </w:tc>
      </w:tr>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Immunomodulating</w:t>
            </w:r>
            <w:proofErr w:type="spellEnd"/>
            <w:r w:rsidRPr="00BE5B6A">
              <w:rPr>
                <w:rFonts w:eastAsiaTheme="minorHAnsi" w:cs="Arial"/>
                <w:color w:val="000000"/>
                <w:sz w:val="20"/>
                <w:szCs w:val="20"/>
              </w:rPr>
              <w:t xml:space="preserve"> drugs (</w:t>
            </w:r>
            <w:proofErr w:type="spellStart"/>
            <w:r w:rsidRPr="00BE5B6A">
              <w:rPr>
                <w:rFonts w:eastAsiaTheme="minorHAnsi" w:cs="Arial"/>
                <w:color w:val="000000"/>
                <w:sz w:val="20"/>
                <w:szCs w:val="20"/>
              </w:rPr>
              <w:t>haemato</w:t>
            </w:r>
            <w:proofErr w:type="spellEnd"/>
            <w:r w:rsidRPr="00BE5B6A">
              <w:rPr>
                <w:rFonts w:eastAsiaTheme="minorHAnsi" w:cs="Arial"/>
                <w:color w:val="000000"/>
                <w:sz w:val="20"/>
                <w:szCs w:val="20"/>
              </w:rPr>
              <w:t>-oncology)</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Lenalidomide</w:t>
            </w:r>
            <w:proofErr w:type="spellEnd"/>
            <w:r w:rsidRPr="00BE5B6A">
              <w:rPr>
                <w:rFonts w:eastAsiaTheme="minorHAnsi" w:cs="Arial"/>
                <w:color w:val="000000"/>
                <w:sz w:val="20"/>
                <w:szCs w:val="20"/>
              </w:rPr>
              <w:t>, thalidomide</w:t>
            </w:r>
          </w:p>
        </w:tc>
        <w:tc>
          <w:tcPr>
            <w:tcW w:w="1276" w:type="dxa"/>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134" w:type="dxa"/>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864559" w:rsidP="00AD1B6C">
            <w:pPr>
              <w:autoSpaceDE w:val="0"/>
              <w:autoSpaceDN w:val="0"/>
              <w:adjustRightInd w:val="0"/>
              <w:rPr>
                <w:rFonts w:eastAsiaTheme="minorHAnsi" w:cs="Arial"/>
                <w:color w:val="000000"/>
                <w:sz w:val="20"/>
                <w:szCs w:val="20"/>
              </w:rPr>
            </w:pPr>
            <w:r>
              <w:rPr>
                <w:rFonts w:eastAsiaTheme="minorHAnsi" w:cs="Arial"/>
                <w:color w:val="000000"/>
                <w:sz w:val="20"/>
                <w:szCs w:val="20"/>
              </w:rPr>
              <w:t>Lysosomal storage disorder d</w:t>
            </w:r>
            <w:r w:rsidR="00AD1B6C" w:rsidRPr="00BE5B6A">
              <w:rPr>
                <w:rFonts w:eastAsiaTheme="minorHAnsi" w:cs="Arial"/>
                <w:color w:val="000000"/>
                <w:sz w:val="20"/>
                <w:szCs w:val="20"/>
              </w:rPr>
              <w:t>rugs</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Agalsidase</w:t>
            </w:r>
            <w:proofErr w:type="spellEnd"/>
            <w:r w:rsidRPr="00BE5B6A">
              <w:rPr>
                <w:rFonts w:eastAsiaTheme="minorHAnsi" w:cs="Arial"/>
                <w:color w:val="000000"/>
                <w:sz w:val="20"/>
                <w:szCs w:val="20"/>
              </w:rPr>
              <w:t xml:space="preserve"> alpha and beta, </w:t>
            </w:r>
            <w:proofErr w:type="spellStart"/>
            <w:r w:rsidRPr="00BE5B6A">
              <w:rPr>
                <w:rFonts w:eastAsiaTheme="minorHAnsi" w:cs="Arial"/>
                <w:color w:val="000000"/>
                <w:sz w:val="20"/>
                <w:szCs w:val="20"/>
              </w:rPr>
              <w:t>migalastat</w:t>
            </w:r>
            <w:proofErr w:type="spellEnd"/>
          </w:p>
        </w:tc>
        <w:tc>
          <w:tcPr>
            <w:tcW w:w="1276" w:type="dxa"/>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134" w:type="dxa"/>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Mucolytics</w:t>
            </w:r>
            <w:proofErr w:type="spellEnd"/>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Dornase</w:t>
            </w:r>
            <w:proofErr w:type="spellEnd"/>
            <w:r w:rsidRPr="00BE5B6A">
              <w:rPr>
                <w:rFonts w:eastAsiaTheme="minorHAnsi" w:cs="Arial"/>
                <w:color w:val="000000"/>
                <w:sz w:val="20"/>
                <w:szCs w:val="20"/>
              </w:rPr>
              <w:t xml:space="preserve"> alpha, </w:t>
            </w:r>
            <w:proofErr w:type="spellStart"/>
            <w:r w:rsidRPr="00BE5B6A">
              <w:rPr>
                <w:rFonts w:eastAsiaTheme="minorHAnsi" w:cs="Arial"/>
                <w:color w:val="000000"/>
                <w:sz w:val="20"/>
                <w:szCs w:val="20"/>
              </w:rPr>
              <w:t>ivacaftor</w:t>
            </w:r>
            <w:proofErr w:type="spellEnd"/>
          </w:p>
        </w:tc>
        <w:tc>
          <w:tcPr>
            <w:tcW w:w="1276" w:type="dxa"/>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134" w:type="dxa"/>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69" w:type="dxa"/>
            <w:gridSpan w:val="2"/>
            <w:shd w:val="solid" w:color="FFFFFF" w:fill="auto"/>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Multiple sclerosis (MS) </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Daclizumab</w:t>
            </w:r>
            <w:proofErr w:type="spellEnd"/>
          </w:p>
        </w:tc>
        <w:tc>
          <w:tcPr>
            <w:tcW w:w="1276" w:type="dxa"/>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134"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gridSpan w:val="2"/>
            <w:tcMar>
              <w:top w:w="57" w:type="dxa"/>
              <w:left w:w="57" w:type="dxa"/>
              <w:bottom w:w="57" w:type="dxa"/>
              <w:right w:w="57" w:type="dxa"/>
            </w:tcMar>
          </w:tcPr>
          <w:p w:rsidR="00AD1B6C" w:rsidRPr="00BE5B6A" w:rsidRDefault="00F037E9" w:rsidP="00F037E9">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2" w:char="F04F"/>
            </w: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
        </w:tc>
      </w:tr>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864559" w:rsidP="00AD1B6C">
            <w:pPr>
              <w:autoSpaceDE w:val="0"/>
              <w:autoSpaceDN w:val="0"/>
              <w:adjustRightInd w:val="0"/>
              <w:rPr>
                <w:rFonts w:eastAsiaTheme="minorHAnsi" w:cs="Arial"/>
                <w:color w:val="000000"/>
                <w:sz w:val="20"/>
                <w:szCs w:val="20"/>
              </w:rPr>
            </w:pPr>
            <w:r>
              <w:rPr>
                <w:rFonts w:eastAsiaTheme="minorHAnsi" w:cs="Arial"/>
                <w:color w:val="000000"/>
                <w:sz w:val="20"/>
                <w:szCs w:val="20"/>
              </w:rPr>
              <w:t>Neuromuscular d</w:t>
            </w:r>
            <w:r w:rsidR="00AD1B6C" w:rsidRPr="00BE5B6A">
              <w:rPr>
                <w:rFonts w:eastAsiaTheme="minorHAnsi" w:cs="Arial"/>
                <w:color w:val="000000"/>
                <w:sz w:val="20"/>
                <w:szCs w:val="20"/>
              </w:rPr>
              <w:t>isorders</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Ataluren</w:t>
            </w:r>
            <w:proofErr w:type="spellEnd"/>
          </w:p>
        </w:tc>
        <w:tc>
          <w:tcPr>
            <w:tcW w:w="1276" w:type="dxa"/>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134" w:type="dxa"/>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796F00" w:rsidP="00796F00">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Other anti-cancer therapies</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Trastuzumab</w:t>
            </w:r>
            <w:proofErr w:type="spellEnd"/>
            <w:r w:rsidRPr="00BE5B6A">
              <w:rPr>
                <w:rFonts w:eastAsiaTheme="minorHAnsi" w:cs="Arial"/>
                <w:color w:val="000000"/>
                <w:sz w:val="20"/>
                <w:szCs w:val="20"/>
              </w:rPr>
              <w:t xml:space="preserve"> </w:t>
            </w:r>
          </w:p>
        </w:tc>
        <w:tc>
          <w:tcPr>
            <w:tcW w:w="1276"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gridSpan w:val="2"/>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134"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gridSpan w:val="2"/>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864559" w:rsidP="00AD1B6C">
            <w:pPr>
              <w:autoSpaceDE w:val="0"/>
              <w:autoSpaceDN w:val="0"/>
              <w:adjustRightInd w:val="0"/>
              <w:rPr>
                <w:rFonts w:eastAsiaTheme="minorHAnsi" w:cs="Arial"/>
                <w:color w:val="000000"/>
                <w:sz w:val="20"/>
                <w:szCs w:val="20"/>
              </w:rPr>
            </w:pPr>
            <w:r>
              <w:rPr>
                <w:rFonts w:eastAsiaTheme="minorHAnsi" w:cs="Arial"/>
                <w:color w:val="000000"/>
                <w:sz w:val="20"/>
                <w:szCs w:val="20"/>
              </w:rPr>
              <w:t>Parenteral n</w:t>
            </w:r>
            <w:r w:rsidR="00AD1B6C" w:rsidRPr="00BE5B6A">
              <w:rPr>
                <w:rFonts w:eastAsiaTheme="minorHAnsi" w:cs="Arial"/>
                <w:color w:val="000000"/>
                <w:sz w:val="20"/>
                <w:szCs w:val="20"/>
              </w:rPr>
              <w:t>utrition (home)</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Parenteral Nutrition</w:t>
            </w:r>
          </w:p>
        </w:tc>
        <w:tc>
          <w:tcPr>
            <w:tcW w:w="1276"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gridSpan w:val="2"/>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134"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gridSpan w:val="2"/>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2" w:char="F04F"/>
            </w: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Phosphate binding agents</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Sevelamer</w:t>
            </w:r>
            <w:proofErr w:type="spellEnd"/>
            <w:r w:rsidRPr="00BE5B6A">
              <w:rPr>
                <w:rFonts w:eastAsiaTheme="minorHAnsi" w:cs="Arial"/>
                <w:color w:val="000000"/>
                <w:sz w:val="20"/>
                <w:szCs w:val="20"/>
              </w:rPr>
              <w:t>, lanthanum</w:t>
            </w:r>
          </w:p>
        </w:tc>
        <w:tc>
          <w:tcPr>
            <w:tcW w:w="1276" w:type="dxa"/>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134" w:type="dxa"/>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Protein kinase inhibitors</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Imatinib</w:t>
            </w:r>
            <w:proofErr w:type="spellEnd"/>
            <w:r w:rsidRPr="00BE5B6A">
              <w:rPr>
                <w:rFonts w:eastAsiaTheme="minorHAnsi" w:cs="Arial"/>
                <w:color w:val="000000"/>
                <w:sz w:val="20"/>
                <w:szCs w:val="20"/>
              </w:rPr>
              <w:t xml:space="preserve">, </w:t>
            </w:r>
            <w:proofErr w:type="spellStart"/>
            <w:r w:rsidRPr="00BE5B6A">
              <w:rPr>
                <w:rFonts w:eastAsiaTheme="minorHAnsi" w:cs="Arial"/>
                <w:color w:val="000000"/>
                <w:sz w:val="20"/>
                <w:szCs w:val="20"/>
              </w:rPr>
              <w:t>dabrafenib</w:t>
            </w:r>
            <w:proofErr w:type="spellEnd"/>
            <w:r w:rsidRPr="00BE5B6A">
              <w:rPr>
                <w:rFonts w:eastAsiaTheme="minorHAnsi" w:cs="Arial"/>
                <w:color w:val="000000"/>
                <w:sz w:val="20"/>
                <w:szCs w:val="20"/>
              </w:rPr>
              <w:t xml:space="preserve">, </w:t>
            </w:r>
            <w:proofErr w:type="spellStart"/>
            <w:r w:rsidRPr="00BE5B6A">
              <w:rPr>
                <w:rFonts w:eastAsiaTheme="minorHAnsi" w:cs="Arial"/>
                <w:color w:val="000000"/>
                <w:sz w:val="20"/>
                <w:szCs w:val="20"/>
              </w:rPr>
              <w:t>pazopanib</w:t>
            </w:r>
            <w:proofErr w:type="spellEnd"/>
          </w:p>
        </w:tc>
        <w:tc>
          <w:tcPr>
            <w:tcW w:w="1276" w:type="dxa"/>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134" w:type="dxa"/>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864559" w:rsidP="00AD1B6C">
            <w:pPr>
              <w:autoSpaceDE w:val="0"/>
              <w:autoSpaceDN w:val="0"/>
              <w:adjustRightInd w:val="0"/>
              <w:rPr>
                <w:rFonts w:eastAsiaTheme="minorHAnsi" w:cs="Arial"/>
                <w:color w:val="000000"/>
                <w:sz w:val="20"/>
                <w:szCs w:val="20"/>
              </w:rPr>
            </w:pPr>
            <w:r>
              <w:rPr>
                <w:rFonts w:eastAsiaTheme="minorHAnsi" w:cs="Arial"/>
                <w:color w:val="000000"/>
                <w:sz w:val="20"/>
                <w:szCs w:val="20"/>
              </w:rPr>
              <w:t>Pulmonary f</w:t>
            </w:r>
            <w:r w:rsidR="00AD1B6C" w:rsidRPr="00BE5B6A">
              <w:rPr>
                <w:rFonts w:eastAsiaTheme="minorHAnsi" w:cs="Arial"/>
                <w:color w:val="000000"/>
                <w:sz w:val="20"/>
                <w:szCs w:val="20"/>
              </w:rPr>
              <w:t>ibrosis</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Nintedanib</w:t>
            </w:r>
            <w:proofErr w:type="spellEnd"/>
            <w:r w:rsidRPr="00BE5B6A">
              <w:rPr>
                <w:rFonts w:eastAsiaTheme="minorHAnsi" w:cs="Arial"/>
                <w:color w:val="000000"/>
                <w:sz w:val="20"/>
                <w:szCs w:val="20"/>
              </w:rPr>
              <w:t xml:space="preserve">, </w:t>
            </w:r>
            <w:proofErr w:type="spellStart"/>
            <w:r w:rsidRPr="00BE5B6A">
              <w:rPr>
                <w:rFonts w:eastAsiaTheme="minorHAnsi" w:cs="Arial"/>
                <w:color w:val="000000"/>
                <w:sz w:val="20"/>
                <w:szCs w:val="20"/>
              </w:rPr>
              <w:t>pirfenidone</w:t>
            </w:r>
            <w:proofErr w:type="spellEnd"/>
          </w:p>
        </w:tc>
        <w:tc>
          <w:tcPr>
            <w:tcW w:w="1276" w:type="dxa"/>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1134" w:type="dxa"/>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864559" w:rsidP="00AD1B6C">
            <w:pPr>
              <w:autoSpaceDE w:val="0"/>
              <w:autoSpaceDN w:val="0"/>
              <w:adjustRightInd w:val="0"/>
              <w:rPr>
                <w:rFonts w:eastAsiaTheme="minorHAnsi" w:cs="Arial"/>
                <w:color w:val="000000"/>
                <w:sz w:val="20"/>
                <w:szCs w:val="20"/>
              </w:rPr>
            </w:pPr>
            <w:r>
              <w:rPr>
                <w:rFonts w:eastAsiaTheme="minorHAnsi" w:cs="Arial"/>
                <w:color w:val="000000"/>
                <w:sz w:val="20"/>
                <w:szCs w:val="20"/>
              </w:rPr>
              <w:t>Somatostatin a</w:t>
            </w:r>
            <w:r w:rsidR="00AD1B6C" w:rsidRPr="00BE5B6A">
              <w:rPr>
                <w:rFonts w:eastAsiaTheme="minorHAnsi" w:cs="Arial"/>
                <w:color w:val="000000"/>
                <w:sz w:val="20"/>
                <w:szCs w:val="20"/>
              </w:rPr>
              <w:t>nalogues (except inpatient use)</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 xml:space="preserve">Octreotide, </w:t>
            </w:r>
            <w:proofErr w:type="spellStart"/>
            <w:r w:rsidRPr="00BE5B6A">
              <w:rPr>
                <w:rFonts w:eastAsiaTheme="minorHAnsi" w:cs="Arial"/>
                <w:color w:val="000000"/>
                <w:sz w:val="20"/>
                <w:szCs w:val="20"/>
              </w:rPr>
              <w:t>lanreotide</w:t>
            </w:r>
            <w:proofErr w:type="spellEnd"/>
          </w:p>
        </w:tc>
        <w:tc>
          <w:tcPr>
            <w:tcW w:w="1276"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gridSpan w:val="2"/>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134"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gridSpan w:val="2"/>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Human normal immunoglobulins</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Gamunex</w:t>
            </w:r>
            <w:proofErr w:type="spellEnd"/>
            <w:r w:rsidRPr="00BE5B6A">
              <w:rPr>
                <w:rFonts w:eastAsiaTheme="minorHAnsi" w:cs="Arial"/>
                <w:color w:val="000000"/>
                <w:sz w:val="20"/>
                <w:szCs w:val="20"/>
              </w:rPr>
              <w:t xml:space="preserve">, </w:t>
            </w:r>
            <w:proofErr w:type="spellStart"/>
            <w:r w:rsidRPr="00BE5B6A">
              <w:rPr>
                <w:rFonts w:eastAsiaTheme="minorHAnsi" w:cs="Arial"/>
                <w:color w:val="000000"/>
                <w:sz w:val="20"/>
                <w:szCs w:val="20"/>
              </w:rPr>
              <w:t>Subcuvia</w:t>
            </w:r>
            <w:proofErr w:type="spellEnd"/>
            <w:r w:rsidRPr="00BE5B6A">
              <w:rPr>
                <w:rFonts w:eastAsiaTheme="minorHAnsi" w:cs="Arial"/>
                <w:color w:val="000000"/>
                <w:sz w:val="20"/>
                <w:szCs w:val="20"/>
              </w:rPr>
              <w:t xml:space="preserve">, </w:t>
            </w:r>
            <w:proofErr w:type="spellStart"/>
            <w:r w:rsidRPr="00BE5B6A">
              <w:rPr>
                <w:rFonts w:eastAsiaTheme="minorHAnsi" w:cs="Arial"/>
                <w:color w:val="000000"/>
                <w:sz w:val="20"/>
                <w:szCs w:val="20"/>
              </w:rPr>
              <w:t>Subgam</w:t>
            </w:r>
            <w:proofErr w:type="spellEnd"/>
            <w:r w:rsidRPr="00BE5B6A">
              <w:rPr>
                <w:rFonts w:eastAsiaTheme="minorHAnsi" w:cs="Arial"/>
                <w:color w:val="000000"/>
                <w:sz w:val="20"/>
                <w:szCs w:val="20"/>
              </w:rPr>
              <w:t xml:space="preserve"> </w:t>
            </w:r>
          </w:p>
        </w:tc>
        <w:tc>
          <w:tcPr>
            <w:tcW w:w="1276"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gridSpan w:val="2"/>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134" w:type="dxa"/>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
        </w:tc>
      </w:tr>
      <w:tr w:rsidR="00AD1B6C" w:rsidRPr="00BE5B6A" w:rsidTr="00B93430">
        <w:trPr>
          <w:trHeight w:val="211"/>
          <w:jc w:val="center"/>
        </w:trPr>
        <w:tc>
          <w:tcPr>
            <w:tcW w:w="2969"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Transplant immunosuppression</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Mycophenolate, tacrolimus</w:t>
            </w:r>
          </w:p>
        </w:tc>
        <w:tc>
          <w:tcPr>
            <w:tcW w:w="1276" w:type="dxa"/>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134" w:type="dxa"/>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317"/>
          <w:jc w:val="center"/>
        </w:trPr>
        <w:tc>
          <w:tcPr>
            <w:tcW w:w="2969"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lastRenderedPageBreak/>
              <w:t>Vasodilator an</w:t>
            </w:r>
            <w:r w:rsidR="00864559">
              <w:rPr>
                <w:rFonts w:eastAsiaTheme="minorHAnsi" w:cs="Arial"/>
                <w:color w:val="000000"/>
                <w:sz w:val="20"/>
                <w:szCs w:val="20"/>
              </w:rPr>
              <w:t>tihypertensive drugs</w:t>
            </w:r>
            <w:r w:rsidR="00213AAD">
              <w:rPr>
                <w:rFonts w:eastAsiaTheme="minorHAnsi" w:cs="Arial"/>
                <w:color w:val="000000"/>
                <w:sz w:val="20"/>
                <w:szCs w:val="20"/>
              </w:rPr>
              <w:t xml:space="preserve"> </w:t>
            </w:r>
            <w:r w:rsidR="00864559">
              <w:rPr>
                <w:rFonts w:eastAsiaTheme="minorHAnsi" w:cs="Arial"/>
                <w:color w:val="000000"/>
                <w:sz w:val="20"/>
                <w:szCs w:val="20"/>
              </w:rPr>
              <w:t>/</w:t>
            </w:r>
            <w:r w:rsidR="00213AAD">
              <w:rPr>
                <w:rFonts w:eastAsiaTheme="minorHAnsi" w:cs="Arial"/>
                <w:color w:val="000000"/>
                <w:sz w:val="20"/>
                <w:szCs w:val="20"/>
              </w:rPr>
              <w:t xml:space="preserve"> </w:t>
            </w:r>
            <w:r w:rsidR="00864559">
              <w:rPr>
                <w:rFonts w:eastAsiaTheme="minorHAnsi" w:cs="Arial"/>
                <w:color w:val="000000"/>
                <w:sz w:val="20"/>
                <w:szCs w:val="20"/>
              </w:rPr>
              <w:t>Pulmonary arterial h</w:t>
            </w:r>
            <w:r w:rsidRPr="00BE5B6A">
              <w:rPr>
                <w:rFonts w:eastAsiaTheme="minorHAnsi" w:cs="Arial"/>
                <w:color w:val="000000"/>
                <w:sz w:val="20"/>
                <w:szCs w:val="20"/>
              </w:rPr>
              <w:t>ypertension</w:t>
            </w:r>
          </w:p>
        </w:tc>
        <w:tc>
          <w:tcPr>
            <w:tcW w:w="3260" w:type="dxa"/>
            <w:gridSpan w:val="2"/>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 xml:space="preserve">Sildenafil, </w:t>
            </w:r>
            <w:proofErr w:type="spellStart"/>
            <w:r w:rsidRPr="00BE5B6A">
              <w:rPr>
                <w:rFonts w:eastAsiaTheme="minorHAnsi" w:cs="Arial"/>
                <w:color w:val="000000"/>
                <w:sz w:val="20"/>
                <w:szCs w:val="20"/>
              </w:rPr>
              <w:t>bosentan</w:t>
            </w:r>
            <w:proofErr w:type="spellEnd"/>
          </w:p>
        </w:tc>
        <w:tc>
          <w:tcPr>
            <w:tcW w:w="1276" w:type="dxa"/>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1134" w:type="dxa"/>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Mar>
              <w:top w:w="57" w:type="dxa"/>
              <w:left w:w="57" w:type="dxa"/>
              <w:bottom w:w="57" w:type="dxa"/>
              <w:right w:w="57" w:type="dxa"/>
            </w:tcMar>
          </w:tcPr>
          <w:p w:rsidR="00AD1B6C" w:rsidRPr="00BE5B6A" w:rsidRDefault="00AD1B6C" w:rsidP="00AD1B6C">
            <w:pPr>
              <w:autoSpaceDE w:val="0"/>
              <w:autoSpaceDN w:val="0"/>
              <w:adjustRightInd w:val="0"/>
              <w:jc w:val="center"/>
              <w:rPr>
                <w:rFonts w:eastAsiaTheme="minorHAnsi" w:cs="Arial"/>
                <w:color w:val="000000"/>
                <w:sz w:val="20"/>
                <w:szCs w:val="20"/>
              </w:rPr>
            </w:pPr>
          </w:p>
        </w:tc>
        <w:tc>
          <w:tcPr>
            <w:tcW w:w="3057" w:type="dxa"/>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969" w:type="dxa"/>
            <w:gridSpan w:val="2"/>
            <w:tcBorders>
              <w:bottom w:val="single" w:sz="6" w:space="0" w:color="0070C0"/>
            </w:tcBorders>
            <w:tcMar>
              <w:top w:w="57" w:type="dxa"/>
              <w:left w:w="57" w:type="dxa"/>
              <w:bottom w:w="57" w:type="dxa"/>
              <w:right w:w="57" w:type="dxa"/>
            </w:tcMar>
          </w:tcPr>
          <w:p w:rsidR="00AD1B6C" w:rsidRPr="00BE5B6A" w:rsidRDefault="00AD1B6C" w:rsidP="00864559">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 xml:space="preserve">Viral </w:t>
            </w:r>
            <w:r w:rsidR="00864559">
              <w:rPr>
                <w:rFonts w:eastAsiaTheme="minorHAnsi" w:cs="Arial"/>
                <w:color w:val="000000"/>
                <w:sz w:val="20"/>
                <w:szCs w:val="20"/>
              </w:rPr>
              <w:t>h</w:t>
            </w:r>
            <w:r w:rsidRPr="00BE5B6A">
              <w:rPr>
                <w:rFonts w:eastAsiaTheme="minorHAnsi" w:cs="Arial"/>
                <w:color w:val="000000"/>
                <w:sz w:val="20"/>
                <w:szCs w:val="20"/>
              </w:rPr>
              <w:t>epatitis (B&amp;C)</w:t>
            </w:r>
          </w:p>
        </w:tc>
        <w:tc>
          <w:tcPr>
            <w:tcW w:w="3260" w:type="dxa"/>
            <w:gridSpan w:val="2"/>
            <w:tcBorders>
              <w:bottom w:val="single" w:sz="6" w:space="0" w:color="0070C0"/>
            </w:tcBorders>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proofErr w:type="spellStart"/>
            <w:r w:rsidRPr="00BE5B6A">
              <w:rPr>
                <w:rFonts w:eastAsiaTheme="minorHAnsi" w:cs="Arial"/>
                <w:color w:val="000000"/>
                <w:sz w:val="20"/>
                <w:szCs w:val="20"/>
              </w:rPr>
              <w:t>Sofosbuvir</w:t>
            </w:r>
            <w:proofErr w:type="spellEnd"/>
          </w:p>
        </w:tc>
        <w:tc>
          <w:tcPr>
            <w:tcW w:w="1276" w:type="dxa"/>
            <w:tcBorders>
              <w:bottom w:val="single" w:sz="6" w:space="0" w:color="0070C0"/>
            </w:tcBorders>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Borders>
              <w:bottom w:val="single" w:sz="6" w:space="0" w:color="0070C0"/>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134" w:type="dxa"/>
            <w:tcBorders>
              <w:bottom w:val="single" w:sz="6" w:space="0" w:color="0070C0"/>
            </w:tcBorders>
            <w:tcMar>
              <w:top w:w="57" w:type="dxa"/>
              <w:left w:w="57" w:type="dxa"/>
              <w:bottom w:w="57" w:type="dxa"/>
              <w:right w:w="57" w:type="dxa"/>
            </w:tcMar>
          </w:tcPr>
          <w:p w:rsidR="00AD1B6C" w:rsidRPr="00BE5B6A" w:rsidRDefault="004E7AEC" w:rsidP="004E7AEC">
            <w:pPr>
              <w:autoSpaceDE w:val="0"/>
              <w:autoSpaceDN w:val="0"/>
              <w:adjustRightInd w:val="0"/>
              <w:jc w:val="center"/>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992" w:type="dxa"/>
            <w:gridSpan w:val="2"/>
            <w:tcBorders>
              <w:bottom w:val="single" w:sz="6" w:space="0" w:color="0070C0"/>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057" w:type="dxa"/>
            <w:tcBorders>
              <w:bottom w:val="single" w:sz="6" w:space="0" w:color="0070C0"/>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137"/>
          <w:jc w:val="center"/>
        </w:trPr>
        <w:tc>
          <w:tcPr>
            <w:tcW w:w="2403" w:type="dxa"/>
            <w:tcBorders>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2575" w:type="dxa"/>
            <w:gridSpan w:val="2"/>
            <w:tcBorders>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251" w:type="dxa"/>
            <w:tcBorders>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626" w:type="dxa"/>
            <w:gridSpan w:val="2"/>
            <w:tcBorders>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642" w:type="dxa"/>
            <w:tcBorders>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363" w:type="dxa"/>
            <w:gridSpan w:val="2"/>
            <w:tcBorders>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820" w:type="dxa"/>
            <w:gridSpan w:val="2"/>
            <w:tcBorders>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403" w:type="dxa"/>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OOPD</w:t>
            </w:r>
          </w:p>
        </w:tc>
        <w:tc>
          <w:tcPr>
            <w:tcW w:w="3826" w:type="dxa"/>
            <w:gridSpan w:val="3"/>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Outsourced out-patient department</w:t>
            </w:r>
          </w:p>
        </w:tc>
        <w:tc>
          <w:tcPr>
            <w:tcW w:w="1626"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642" w:type="dxa"/>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363"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820"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403" w:type="dxa"/>
            <w:tcBorders>
              <w:top w:val="nil"/>
              <w:left w:val="nil"/>
              <w:bottom w:val="nil"/>
              <w:right w:val="nil"/>
            </w:tcBorders>
            <w:tcMar>
              <w:top w:w="57" w:type="dxa"/>
              <w:left w:w="57" w:type="dxa"/>
              <w:bottom w:w="57" w:type="dxa"/>
              <w:right w:w="57" w:type="dxa"/>
            </w:tcMar>
          </w:tcPr>
          <w:p w:rsidR="00AD1B6C" w:rsidRPr="00BE5B6A" w:rsidRDefault="004E7AEC" w:rsidP="004E7AEC">
            <w:pPr>
              <w:autoSpaceDE w:val="0"/>
              <w:autoSpaceDN w:val="0"/>
              <w:adjustRightInd w:val="0"/>
              <w:rPr>
                <w:rFonts w:eastAsiaTheme="minorHAnsi" w:cs="Arial"/>
                <w:color w:val="000000"/>
                <w:sz w:val="20"/>
                <w:szCs w:val="20"/>
              </w:rPr>
            </w:pPr>
            <w:r>
              <w:rPr>
                <w:rFonts w:eastAsiaTheme="minorHAnsi" w:cs="Arial"/>
                <w:color w:val="000000"/>
                <w:sz w:val="20"/>
                <w:szCs w:val="20"/>
              </w:rPr>
              <w:sym w:font="Wingdings" w:char="F0FC"/>
            </w:r>
          </w:p>
        </w:tc>
        <w:tc>
          <w:tcPr>
            <w:tcW w:w="3826" w:type="dxa"/>
            <w:gridSpan w:val="3"/>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May be suitable for some patients</w:t>
            </w:r>
          </w:p>
        </w:tc>
        <w:tc>
          <w:tcPr>
            <w:tcW w:w="1626"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642" w:type="dxa"/>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363"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820"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148"/>
          <w:jc w:val="center"/>
        </w:trPr>
        <w:tc>
          <w:tcPr>
            <w:tcW w:w="2403" w:type="dxa"/>
            <w:tcBorders>
              <w:top w:val="nil"/>
              <w:left w:val="nil"/>
              <w:bottom w:val="nil"/>
              <w:right w:val="nil"/>
            </w:tcBorders>
            <w:tcMar>
              <w:top w:w="57" w:type="dxa"/>
              <w:left w:w="57" w:type="dxa"/>
              <w:bottom w:w="57" w:type="dxa"/>
              <w:right w:w="57" w:type="dxa"/>
            </w:tcMar>
          </w:tcPr>
          <w:p w:rsidR="00AD1B6C" w:rsidRPr="00BE5B6A" w:rsidRDefault="004E7AEC" w:rsidP="004E7AEC">
            <w:pPr>
              <w:autoSpaceDE w:val="0"/>
              <w:autoSpaceDN w:val="0"/>
              <w:adjustRightInd w:val="0"/>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5452" w:type="dxa"/>
            <w:gridSpan w:val="5"/>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Suitable, although some additional work may be required</w:t>
            </w:r>
          </w:p>
        </w:tc>
        <w:tc>
          <w:tcPr>
            <w:tcW w:w="642" w:type="dxa"/>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363"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820"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403" w:type="dxa"/>
            <w:tcBorders>
              <w:top w:val="nil"/>
              <w:left w:val="nil"/>
              <w:bottom w:val="nil"/>
              <w:right w:val="nil"/>
            </w:tcBorders>
            <w:tcMar>
              <w:top w:w="57" w:type="dxa"/>
              <w:left w:w="57" w:type="dxa"/>
              <w:bottom w:w="57" w:type="dxa"/>
              <w:right w:w="57" w:type="dxa"/>
            </w:tcMar>
          </w:tcPr>
          <w:p w:rsidR="00AD1B6C" w:rsidRPr="00BE5B6A" w:rsidRDefault="004E7AEC" w:rsidP="004E7AEC">
            <w:pPr>
              <w:autoSpaceDE w:val="0"/>
              <w:autoSpaceDN w:val="0"/>
              <w:adjustRightInd w:val="0"/>
              <w:rPr>
                <w:rFonts w:eastAsiaTheme="minorHAnsi" w:cs="Arial"/>
                <w:color w:val="000000"/>
                <w:sz w:val="20"/>
                <w:szCs w:val="20"/>
              </w:rPr>
            </w:pPr>
            <w:r>
              <w:rPr>
                <w:rFonts w:eastAsiaTheme="minorHAnsi" w:cs="Arial"/>
                <w:color w:val="000000"/>
                <w:sz w:val="20"/>
                <w:szCs w:val="20"/>
              </w:rPr>
              <w:sym w:font="Wingdings" w:char="F0FC"/>
            </w:r>
            <w:r>
              <w:rPr>
                <w:rFonts w:eastAsiaTheme="minorHAnsi" w:cs="Arial"/>
                <w:color w:val="000000"/>
                <w:sz w:val="20"/>
                <w:szCs w:val="20"/>
              </w:rPr>
              <w:sym w:font="Wingdings" w:char="F0FC"/>
            </w:r>
            <w:r>
              <w:rPr>
                <w:rFonts w:eastAsiaTheme="minorHAnsi" w:cs="Arial"/>
                <w:color w:val="000000"/>
                <w:sz w:val="20"/>
                <w:szCs w:val="20"/>
              </w:rPr>
              <w:sym w:font="Wingdings" w:char="F0FC"/>
            </w:r>
          </w:p>
        </w:tc>
        <w:tc>
          <w:tcPr>
            <w:tcW w:w="2575"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Suitable</w:t>
            </w:r>
          </w:p>
        </w:tc>
        <w:tc>
          <w:tcPr>
            <w:tcW w:w="1251" w:type="dxa"/>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626"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642" w:type="dxa"/>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363"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820"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211"/>
          <w:jc w:val="center"/>
        </w:trPr>
        <w:tc>
          <w:tcPr>
            <w:tcW w:w="2403" w:type="dxa"/>
            <w:tcBorders>
              <w:top w:val="nil"/>
              <w:left w:val="nil"/>
              <w:bottom w:val="nil"/>
              <w:right w:val="nil"/>
            </w:tcBorders>
            <w:tcMar>
              <w:top w:w="57" w:type="dxa"/>
              <w:left w:w="57" w:type="dxa"/>
              <w:bottom w:w="57" w:type="dxa"/>
              <w:right w:w="57" w:type="dxa"/>
            </w:tcMar>
          </w:tcPr>
          <w:p w:rsidR="00AD1B6C" w:rsidRPr="00BE5B6A" w:rsidRDefault="004E7AEC" w:rsidP="004E7AEC">
            <w:pPr>
              <w:autoSpaceDE w:val="0"/>
              <w:autoSpaceDN w:val="0"/>
              <w:adjustRightInd w:val="0"/>
              <w:rPr>
                <w:rFonts w:eastAsiaTheme="minorHAnsi" w:cs="Arial"/>
                <w:color w:val="000000"/>
                <w:sz w:val="20"/>
                <w:szCs w:val="20"/>
              </w:rPr>
            </w:pPr>
            <w:r>
              <w:rPr>
                <w:rFonts w:eastAsiaTheme="minorHAnsi" w:cs="Arial"/>
                <w:color w:val="000000"/>
                <w:sz w:val="20"/>
                <w:szCs w:val="20"/>
              </w:rPr>
              <w:sym w:font="Wingdings 2" w:char="F04F"/>
            </w:r>
          </w:p>
        </w:tc>
        <w:tc>
          <w:tcPr>
            <w:tcW w:w="2575"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rPr>
                <w:rFonts w:eastAsiaTheme="minorHAnsi" w:cs="Arial"/>
                <w:color w:val="000000"/>
                <w:sz w:val="20"/>
                <w:szCs w:val="20"/>
              </w:rPr>
            </w:pPr>
            <w:r w:rsidRPr="00BE5B6A">
              <w:rPr>
                <w:rFonts w:eastAsiaTheme="minorHAnsi" w:cs="Arial"/>
                <w:color w:val="000000"/>
                <w:sz w:val="20"/>
                <w:szCs w:val="20"/>
              </w:rPr>
              <w:t>Not appropriate</w:t>
            </w:r>
          </w:p>
        </w:tc>
        <w:tc>
          <w:tcPr>
            <w:tcW w:w="1251" w:type="dxa"/>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626"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642" w:type="dxa"/>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363"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820"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106"/>
          <w:jc w:val="center"/>
        </w:trPr>
        <w:tc>
          <w:tcPr>
            <w:tcW w:w="2403" w:type="dxa"/>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2575"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251" w:type="dxa"/>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626"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642" w:type="dxa"/>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1363"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c>
          <w:tcPr>
            <w:tcW w:w="3820" w:type="dxa"/>
            <w:gridSpan w:val="2"/>
            <w:tcBorders>
              <w:top w:val="nil"/>
              <w:left w:val="nil"/>
              <w:bottom w:val="nil"/>
              <w:right w:val="nil"/>
            </w:tcBorders>
            <w:tcMar>
              <w:top w:w="57" w:type="dxa"/>
              <w:left w:w="57" w:type="dxa"/>
              <w:bottom w:w="57" w:type="dxa"/>
              <w:right w:w="57" w:type="dxa"/>
            </w:tcMar>
          </w:tcPr>
          <w:p w:rsidR="00AD1B6C" w:rsidRPr="00BE5B6A" w:rsidRDefault="00AD1B6C" w:rsidP="00AD1B6C">
            <w:pPr>
              <w:autoSpaceDE w:val="0"/>
              <w:autoSpaceDN w:val="0"/>
              <w:adjustRightInd w:val="0"/>
              <w:jc w:val="right"/>
              <w:rPr>
                <w:rFonts w:eastAsiaTheme="minorHAnsi" w:cs="Arial"/>
                <w:color w:val="000000"/>
                <w:sz w:val="20"/>
                <w:szCs w:val="20"/>
              </w:rPr>
            </w:pPr>
          </w:p>
        </w:tc>
      </w:tr>
      <w:tr w:rsidR="00AD1B6C" w:rsidRPr="00BE5B6A" w:rsidTr="00B93430">
        <w:trPr>
          <w:trHeight w:val="667"/>
          <w:jc w:val="center"/>
        </w:trPr>
        <w:tc>
          <w:tcPr>
            <w:tcW w:w="13680" w:type="dxa"/>
            <w:gridSpan w:val="11"/>
            <w:tcBorders>
              <w:top w:val="nil"/>
              <w:left w:val="nil"/>
              <w:bottom w:val="nil"/>
              <w:right w:val="nil"/>
            </w:tcBorders>
            <w:tcMar>
              <w:top w:w="57" w:type="dxa"/>
              <w:left w:w="57" w:type="dxa"/>
              <w:bottom w:w="57" w:type="dxa"/>
              <w:right w:w="57" w:type="dxa"/>
            </w:tcMar>
          </w:tcPr>
          <w:p w:rsidR="00862A09" w:rsidRDefault="00AD1B6C" w:rsidP="00A814E4">
            <w:pPr>
              <w:autoSpaceDE w:val="0"/>
              <w:autoSpaceDN w:val="0"/>
              <w:adjustRightInd w:val="0"/>
              <w:jc w:val="both"/>
              <w:rPr>
                <w:rFonts w:eastAsiaTheme="minorHAnsi" w:cs="Arial"/>
                <w:color w:val="000000"/>
                <w:sz w:val="20"/>
                <w:szCs w:val="20"/>
              </w:rPr>
            </w:pPr>
            <w:r w:rsidRPr="00BE5B6A">
              <w:rPr>
                <w:rFonts w:eastAsiaTheme="minorHAnsi" w:cs="Arial"/>
                <w:b/>
                <w:bCs/>
                <w:color w:val="000000"/>
                <w:sz w:val="20"/>
                <w:szCs w:val="20"/>
                <w:u w:val="single"/>
              </w:rPr>
              <w:t>Notes:</w:t>
            </w:r>
            <w:r w:rsidRPr="00BE5B6A">
              <w:rPr>
                <w:rFonts w:eastAsiaTheme="minorHAnsi" w:cs="Arial"/>
                <w:color w:val="000000"/>
                <w:sz w:val="20"/>
                <w:szCs w:val="20"/>
              </w:rPr>
              <w:t xml:space="preserve"> </w:t>
            </w:r>
          </w:p>
          <w:p w:rsidR="00862A09" w:rsidRDefault="00862A09" w:rsidP="00A814E4">
            <w:pPr>
              <w:autoSpaceDE w:val="0"/>
              <w:autoSpaceDN w:val="0"/>
              <w:adjustRightInd w:val="0"/>
              <w:jc w:val="both"/>
              <w:rPr>
                <w:rFonts w:eastAsiaTheme="minorHAnsi" w:cs="Arial"/>
                <w:color w:val="000000"/>
                <w:sz w:val="20"/>
                <w:szCs w:val="20"/>
              </w:rPr>
            </w:pPr>
          </w:p>
          <w:p w:rsidR="00862A09" w:rsidRPr="00BE5B6A" w:rsidRDefault="00862A09" w:rsidP="00862A09">
            <w:pPr>
              <w:jc w:val="both"/>
              <w:rPr>
                <w:sz w:val="20"/>
                <w:szCs w:val="20"/>
              </w:rPr>
            </w:pPr>
            <w:r w:rsidRPr="00BE5B6A">
              <w:rPr>
                <w:sz w:val="20"/>
                <w:szCs w:val="20"/>
              </w:rPr>
              <w:t>This document is primarily focused on the acute sector. However, it is noted that mental health drugs such as clozapine and long acting atypical antipsychotic injections may be outsourced.</w:t>
            </w:r>
          </w:p>
          <w:p w:rsidR="00862A09" w:rsidRDefault="00862A09" w:rsidP="00A814E4">
            <w:pPr>
              <w:autoSpaceDE w:val="0"/>
              <w:autoSpaceDN w:val="0"/>
              <w:adjustRightInd w:val="0"/>
              <w:jc w:val="both"/>
              <w:rPr>
                <w:rFonts w:eastAsiaTheme="minorHAnsi" w:cs="Arial"/>
                <w:color w:val="000000"/>
                <w:sz w:val="20"/>
                <w:szCs w:val="20"/>
              </w:rPr>
            </w:pPr>
          </w:p>
          <w:p w:rsidR="00AD1B6C" w:rsidRPr="00BE5B6A" w:rsidRDefault="00AD1B6C" w:rsidP="00A814E4">
            <w:pPr>
              <w:autoSpaceDE w:val="0"/>
              <w:autoSpaceDN w:val="0"/>
              <w:adjustRightInd w:val="0"/>
              <w:jc w:val="both"/>
              <w:rPr>
                <w:rFonts w:eastAsiaTheme="minorHAnsi" w:cs="Arial"/>
                <w:color w:val="000000"/>
                <w:sz w:val="20"/>
                <w:szCs w:val="20"/>
              </w:rPr>
            </w:pPr>
            <w:r w:rsidRPr="00BE5B6A">
              <w:rPr>
                <w:rFonts w:eastAsiaTheme="minorHAnsi" w:cs="Arial"/>
                <w:color w:val="000000"/>
                <w:sz w:val="20"/>
                <w:szCs w:val="20"/>
              </w:rPr>
              <w:t>Homecare is suitable for regular supplies of medication where dose changes are infrequent and a delay in the supply of a dose adjustment will not compromise patient safety or outcome. Mid- and high-tech Homecare medicines services may be available but will require ad</w:t>
            </w:r>
            <w:r w:rsidR="00864559">
              <w:rPr>
                <w:rFonts w:eastAsiaTheme="minorHAnsi" w:cs="Arial"/>
                <w:color w:val="000000"/>
                <w:sz w:val="20"/>
                <w:szCs w:val="20"/>
              </w:rPr>
              <w:t>ditional work. The originating t</w:t>
            </w:r>
            <w:r w:rsidRPr="00BE5B6A">
              <w:rPr>
                <w:rFonts w:eastAsiaTheme="minorHAnsi" w:cs="Arial"/>
                <w:color w:val="000000"/>
                <w:sz w:val="20"/>
                <w:szCs w:val="20"/>
              </w:rPr>
              <w:t>rust always maintains responsibility and will be held to account for medicines supplied via Homecare companies; an SLA will be required with each provider.</w:t>
            </w:r>
          </w:p>
        </w:tc>
      </w:tr>
    </w:tbl>
    <w:p w:rsidR="007E7DBB" w:rsidRPr="00BE5B6A" w:rsidRDefault="007E7DBB">
      <w:pPr>
        <w:rPr>
          <w:sz w:val="20"/>
          <w:szCs w:val="20"/>
        </w:rPr>
      </w:pPr>
    </w:p>
    <w:p w:rsidR="00AD1B6C" w:rsidRPr="00BE5B6A" w:rsidRDefault="00AD1B6C">
      <w:pPr>
        <w:rPr>
          <w:sz w:val="20"/>
          <w:szCs w:val="20"/>
        </w:rPr>
      </w:pPr>
    </w:p>
    <w:p w:rsidR="00AD1B6C" w:rsidRDefault="00AD1B6C"/>
    <w:p w:rsidR="00BE5B6A" w:rsidRDefault="00BE5B6A"/>
    <w:p w:rsidR="00BE5B6A" w:rsidRDefault="00BE5B6A"/>
    <w:p w:rsidR="00BE5B6A" w:rsidRDefault="00BE5B6A"/>
    <w:p w:rsidR="00BE5B6A" w:rsidRDefault="00BE5B6A"/>
    <w:p w:rsidR="00BE5B6A" w:rsidRDefault="009F36EA" w:rsidP="009F36EA">
      <w:pPr>
        <w:tabs>
          <w:tab w:val="left" w:pos="8291"/>
        </w:tabs>
      </w:pPr>
      <w:r>
        <w:tab/>
      </w:r>
    </w:p>
    <w:p w:rsidR="00BE5B6A" w:rsidRDefault="00BE5B6A"/>
    <w:p w:rsidR="00AD1B6C" w:rsidRPr="004606B0" w:rsidRDefault="00AD1B6C" w:rsidP="00AD1B6C">
      <w:pPr>
        <w:shd w:val="clear" w:color="auto" w:fill="0070C0"/>
        <w:tabs>
          <w:tab w:val="left" w:pos="9295"/>
        </w:tabs>
        <w:rPr>
          <w:i/>
          <w:color w:val="FFFFFF" w:themeColor="background1"/>
          <w:sz w:val="22"/>
          <w:szCs w:val="22"/>
        </w:rPr>
      </w:pPr>
      <w:r w:rsidRPr="004606B0">
        <w:rPr>
          <w:rFonts w:cs="Arial"/>
          <w:b/>
          <w:color w:val="FFFFFF" w:themeColor="background1"/>
          <w:sz w:val="22"/>
          <w:szCs w:val="22"/>
        </w:rPr>
        <w:lastRenderedPageBreak/>
        <w:t>Appendix 3: Toolkit to support trusts when considering options for an Outsourced Out-Patient Dispensary service</w:t>
      </w:r>
    </w:p>
    <w:p w:rsidR="00AD1B6C" w:rsidRDefault="00AD1B6C"/>
    <w:p w:rsidR="00AD1B6C" w:rsidRPr="00BE5B6A" w:rsidRDefault="00213AAD">
      <w:pPr>
        <w:rPr>
          <w:b/>
          <w:sz w:val="20"/>
          <w:szCs w:val="20"/>
        </w:rPr>
      </w:pPr>
      <w:r>
        <w:rPr>
          <w:b/>
          <w:sz w:val="20"/>
          <w:szCs w:val="20"/>
        </w:rPr>
        <w:t>Homecare</w:t>
      </w:r>
      <w:r w:rsidR="004606B0">
        <w:rPr>
          <w:b/>
          <w:sz w:val="20"/>
          <w:szCs w:val="20"/>
        </w:rPr>
        <w:t>:</w:t>
      </w:r>
    </w:p>
    <w:p w:rsidR="00AD1B6C" w:rsidRPr="00BE5B6A" w:rsidRDefault="00AD1B6C">
      <w:pPr>
        <w:rPr>
          <w:sz w:val="20"/>
          <w:szCs w:val="20"/>
        </w:rPr>
      </w:pPr>
    </w:p>
    <w:p w:rsidR="00AD1B6C" w:rsidRPr="00BE5B6A" w:rsidRDefault="00AD1B6C" w:rsidP="00A814E4">
      <w:pPr>
        <w:spacing w:before="60" w:after="60"/>
        <w:jc w:val="both"/>
        <w:rPr>
          <w:rFonts w:eastAsiaTheme="minorHAnsi" w:cs="Arial"/>
          <w:sz w:val="20"/>
          <w:szCs w:val="20"/>
        </w:rPr>
      </w:pPr>
      <w:r w:rsidRPr="00BE5B6A">
        <w:rPr>
          <w:rFonts w:eastAsiaTheme="minorHAnsi" w:cs="Arial"/>
          <w:sz w:val="20"/>
          <w:szCs w:val="20"/>
        </w:rPr>
        <w:t>There are national documents available to assis</w:t>
      </w:r>
      <w:r w:rsidR="00864559">
        <w:rPr>
          <w:rFonts w:eastAsiaTheme="minorHAnsi" w:cs="Arial"/>
          <w:sz w:val="20"/>
          <w:szCs w:val="20"/>
        </w:rPr>
        <w:t>t national, regional and local t</w:t>
      </w:r>
      <w:r w:rsidRPr="00BE5B6A">
        <w:rPr>
          <w:rFonts w:eastAsiaTheme="minorHAnsi" w:cs="Arial"/>
          <w:sz w:val="20"/>
          <w:szCs w:val="20"/>
        </w:rPr>
        <w:t>rusts when contracting homecare services which include Service Specification Template, KPIs, patient registration and consent forms and a new services risk assessment document. There is comprehensive guidance and a training programme for the NHS on the management of complaints and incidents in homecare services. If you require assistance or would like advice and / or access to any of the additional resources that are available, please contact your Regional Outsourced Service Manager or your Regional Homecare Specialist in the first instance.</w:t>
      </w:r>
    </w:p>
    <w:p w:rsidR="00AD1B6C" w:rsidRPr="00BE5B6A" w:rsidRDefault="00AD1B6C" w:rsidP="00AD1B6C">
      <w:pPr>
        <w:spacing w:before="60" w:after="60"/>
        <w:rPr>
          <w:rFonts w:eastAsiaTheme="minorHAnsi" w:cs="Arial"/>
          <w:sz w:val="20"/>
          <w:szCs w:val="20"/>
        </w:rPr>
      </w:pPr>
    </w:p>
    <w:p w:rsidR="00AD1B6C" w:rsidRPr="00BE5B6A" w:rsidRDefault="00AD1B6C" w:rsidP="00A814E4">
      <w:pPr>
        <w:spacing w:before="60" w:after="60"/>
        <w:jc w:val="both"/>
        <w:rPr>
          <w:rFonts w:eastAsiaTheme="minorHAnsi" w:cs="Arial"/>
          <w:sz w:val="20"/>
          <w:szCs w:val="20"/>
        </w:rPr>
      </w:pPr>
      <w:r w:rsidRPr="00BE5B6A">
        <w:rPr>
          <w:rFonts w:eastAsiaTheme="minorHAnsi" w:cs="Arial"/>
          <w:sz w:val="20"/>
          <w:szCs w:val="20"/>
        </w:rPr>
        <w:t xml:space="preserve">If your Regional Homecare Specialist is unable to help, please contact your National Homecare Specialist.  Contact details of the homecare national and regional specialists are available at </w:t>
      </w:r>
      <w:hyperlink r:id="rId18" w:history="1">
        <w:r w:rsidRPr="00BE5B6A">
          <w:rPr>
            <w:rFonts w:eastAsiaTheme="minorHAnsi" w:cs="Arial"/>
            <w:color w:val="0000FF" w:themeColor="hyperlink"/>
            <w:sz w:val="20"/>
            <w:szCs w:val="20"/>
            <w:u w:val="single"/>
          </w:rPr>
          <w:t>https://www.sps.nhs.uk/articles/nhmc-homecare-regional-contacts/</w:t>
        </w:r>
      </w:hyperlink>
      <w:r w:rsidRPr="00BE5B6A">
        <w:rPr>
          <w:rFonts w:eastAsiaTheme="minorHAnsi" w:cs="Arial"/>
          <w:sz w:val="20"/>
          <w:szCs w:val="20"/>
        </w:rPr>
        <w:t xml:space="preserve"> .</w:t>
      </w:r>
    </w:p>
    <w:p w:rsidR="00AD1B6C" w:rsidRDefault="00AD1B6C" w:rsidP="00AD1B6C">
      <w:pPr>
        <w:spacing w:before="60" w:after="60"/>
        <w:rPr>
          <w:rFonts w:eastAsiaTheme="minorHAnsi" w:cs="Arial"/>
          <w:sz w:val="20"/>
          <w:szCs w:val="20"/>
        </w:rPr>
      </w:pPr>
    </w:p>
    <w:p w:rsidR="00AD1B6C" w:rsidRPr="00213AAD" w:rsidRDefault="00AD1B6C" w:rsidP="00AD1B6C">
      <w:pPr>
        <w:tabs>
          <w:tab w:val="left" w:pos="2085"/>
        </w:tabs>
        <w:spacing w:before="60" w:after="60"/>
        <w:rPr>
          <w:rFonts w:eastAsiaTheme="minorHAnsi" w:cs="Arial"/>
          <w:b/>
          <w:sz w:val="20"/>
          <w:szCs w:val="20"/>
        </w:rPr>
      </w:pPr>
      <w:r w:rsidRPr="00213AAD">
        <w:rPr>
          <w:rFonts w:eastAsiaTheme="minorHAnsi" w:cs="Arial"/>
          <w:b/>
          <w:sz w:val="20"/>
          <w:szCs w:val="20"/>
        </w:rPr>
        <w:t>Homecare Waste – London Initiative</w:t>
      </w:r>
    </w:p>
    <w:p w:rsidR="00E72E3F" w:rsidRPr="00BE5B6A" w:rsidRDefault="00E72E3F" w:rsidP="00AD1B6C">
      <w:pPr>
        <w:tabs>
          <w:tab w:val="left" w:pos="2085"/>
        </w:tabs>
        <w:spacing w:before="60" w:after="60"/>
        <w:rPr>
          <w:rFonts w:eastAsiaTheme="minorHAnsi" w:cs="Arial"/>
          <w:sz w:val="20"/>
          <w:szCs w:val="20"/>
          <w:u w:val="single"/>
        </w:rPr>
      </w:pPr>
    </w:p>
    <w:p w:rsidR="00AD1B6C" w:rsidRPr="00BE5B6A" w:rsidRDefault="00AD1B6C" w:rsidP="00AD1B6C">
      <w:pPr>
        <w:tabs>
          <w:tab w:val="left" w:pos="2085"/>
        </w:tabs>
        <w:spacing w:before="60" w:after="60"/>
        <w:rPr>
          <w:rFonts w:eastAsiaTheme="minorHAnsi" w:cs="Arial"/>
          <w:i/>
          <w:sz w:val="20"/>
          <w:szCs w:val="20"/>
        </w:rPr>
      </w:pPr>
      <w:r w:rsidRPr="00BE5B6A">
        <w:rPr>
          <w:rFonts w:eastAsiaTheme="minorHAnsi" w:cs="Arial"/>
          <w:i/>
          <w:sz w:val="20"/>
          <w:szCs w:val="20"/>
        </w:rPr>
        <w:t>Introduction</w:t>
      </w:r>
    </w:p>
    <w:p w:rsidR="00AD1B6C" w:rsidRPr="00BE5B6A" w:rsidRDefault="00AD1B6C" w:rsidP="00A814E4">
      <w:pPr>
        <w:tabs>
          <w:tab w:val="left" w:pos="2085"/>
        </w:tabs>
        <w:spacing w:before="60" w:after="60"/>
        <w:jc w:val="both"/>
        <w:rPr>
          <w:rFonts w:eastAsiaTheme="minorHAnsi" w:cs="Arial"/>
          <w:sz w:val="20"/>
          <w:szCs w:val="20"/>
        </w:rPr>
      </w:pPr>
      <w:r w:rsidRPr="00BE5B6A">
        <w:rPr>
          <w:rFonts w:eastAsiaTheme="minorHAnsi" w:cs="Arial"/>
          <w:sz w:val="20"/>
          <w:szCs w:val="20"/>
        </w:rPr>
        <w:t xml:space="preserve">Across London, we have a large cohort of patients on immune altering biologic medicines for rheumatology, gastroenterology and dermatology indications. The cost of providing these medicines and homecare services by Healthcare at Home (HAH) each month to patients within London is £8,555,318.09. Audits in other areas of the </w:t>
      </w:r>
      <w:r w:rsidR="00213AAD" w:rsidRPr="00BE5B6A">
        <w:rPr>
          <w:rFonts w:eastAsiaTheme="minorHAnsi" w:cs="Arial"/>
          <w:sz w:val="20"/>
          <w:szCs w:val="20"/>
        </w:rPr>
        <w:t>UK</w:t>
      </w:r>
      <w:r w:rsidRPr="00BE5B6A">
        <w:rPr>
          <w:rFonts w:eastAsiaTheme="minorHAnsi" w:cs="Arial"/>
          <w:sz w:val="20"/>
          <w:szCs w:val="20"/>
        </w:rPr>
        <w:t xml:space="preserve"> have shown that approximately 5% of medicines supplied through the Homecare route are wasted. All homecare biological medicines in London are dispensed and delivered by a commercial provider, with the main partner being Healthcare at Home which supplies in excess of 90% of these medicines via this route across London. NHS LPP has worked in collaboration with HAH to carry out this project. We have analysed the data that is already collected by HAH to determine:</w:t>
      </w:r>
    </w:p>
    <w:p w:rsidR="00AD1B6C" w:rsidRPr="00BE5B6A" w:rsidRDefault="00AD1B6C" w:rsidP="00213AAD">
      <w:pPr>
        <w:pStyle w:val="ListParagraph"/>
        <w:numPr>
          <w:ilvl w:val="0"/>
          <w:numId w:val="12"/>
        </w:numPr>
        <w:tabs>
          <w:tab w:val="left" w:pos="2085"/>
        </w:tabs>
        <w:spacing w:before="60" w:after="60"/>
        <w:ind w:left="714" w:hanging="357"/>
        <w:contextualSpacing w:val="0"/>
        <w:rPr>
          <w:rFonts w:eastAsiaTheme="minorHAnsi" w:cs="Arial"/>
          <w:sz w:val="20"/>
          <w:szCs w:val="20"/>
        </w:rPr>
      </w:pPr>
      <w:r w:rsidRPr="00BE5B6A">
        <w:rPr>
          <w:rFonts w:eastAsiaTheme="minorHAnsi" w:cs="Arial"/>
          <w:sz w:val="20"/>
          <w:szCs w:val="20"/>
        </w:rPr>
        <w:t>Does supply of medicines via Homecare increase the risk of waste?</w:t>
      </w:r>
    </w:p>
    <w:p w:rsidR="00AD1B6C" w:rsidRPr="00BE5B6A" w:rsidRDefault="00AD1B6C" w:rsidP="00213AAD">
      <w:pPr>
        <w:pStyle w:val="ListParagraph"/>
        <w:numPr>
          <w:ilvl w:val="0"/>
          <w:numId w:val="12"/>
        </w:numPr>
        <w:tabs>
          <w:tab w:val="left" w:pos="2085"/>
        </w:tabs>
        <w:spacing w:before="60" w:after="60"/>
        <w:ind w:left="714" w:hanging="357"/>
        <w:contextualSpacing w:val="0"/>
        <w:rPr>
          <w:rFonts w:eastAsiaTheme="minorHAnsi" w:cs="Arial"/>
          <w:sz w:val="20"/>
          <w:szCs w:val="20"/>
        </w:rPr>
      </w:pPr>
      <w:r w:rsidRPr="00BE5B6A">
        <w:rPr>
          <w:rFonts w:eastAsiaTheme="minorHAnsi" w:cs="Arial"/>
          <w:sz w:val="20"/>
          <w:szCs w:val="20"/>
        </w:rPr>
        <w:t>If medicines are wasted, what are the reasons for this waste?</w:t>
      </w:r>
    </w:p>
    <w:p w:rsidR="00AD1B6C" w:rsidRPr="00BE5B6A" w:rsidRDefault="00AD1B6C" w:rsidP="00213AAD">
      <w:pPr>
        <w:pStyle w:val="ListParagraph"/>
        <w:numPr>
          <w:ilvl w:val="0"/>
          <w:numId w:val="12"/>
        </w:numPr>
        <w:tabs>
          <w:tab w:val="left" w:pos="2085"/>
        </w:tabs>
        <w:spacing w:before="60" w:after="60"/>
        <w:ind w:left="714" w:hanging="357"/>
        <w:contextualSpacing w:val="0"/>
        <w:rPr>
          <w:rFonts w:eastAsiaTheme="minorHAnsi" w:cs="Arial"/>
          <w:sz w:val="20"/>
          <w:szCs w:val="20"/>
        </w:rPr>
      </w:pPr>
      <w:r w:rsidRPr="00BE5B6A">
        <w:rPr>
          <w:rFonts w:eastAsiaTheme="minorHAnsi" w:cs="Arial"/>
          <w:sz w:val="20"/>
          <w:szCs w:val="20"/>
        </w:rPr>
        <w:t>Does the waste relate to any particular group of patients?</w:t>
      </w:r>
    </w:p>
    <w:p w:rsidR="00AD1B6C" w:rsidRPr="00BE5B6A" w:rsidRDefault="00AD1B6C" w:rsidP="00213AAD">
      <w:pPr>
        <w:pStyle w:val="ListParagraph"/>
        <w:numPr>
          <w:ilvl w:val="0"/>
          <w:numId w:val="12"/>
        </w:numPr>
        <w:tabs>
          <w:tab w:val="left" w:pos="2085"/>
        </w:tabs>
        <w:spacing w:before="60" w:after="60"/>
        <w:ind w:left="714" w:hanging="357"/>
        <w:contextualSpacing w:val="0"/>
        <w:rPr>
          <w:rFonts w:eastAsiaTheme="minorHAnsi" w:cs="Arial"/>
          <w:sz w:val="20"/>
          <w:szCs w:val="20"/>
        </w:rPr>
      </w:pPr>
      <w:r w:rsidRPr="00BE5B6A">
        <w:rPr>
          <w:rFonts w:eastAsiaTheme="minorHAnsi" w:cs="Arial"/>
          <w:sz w:val="20"/>
          <w:szCs w:val="20"/>
        </w:rPr>
        <w:t>Are there any trends or patterns in where and how this waste occurs?</w:t>
      </w:r>
    </w:p>
    <w:p w:rsidR="00AD1B6C" w:rsidRPr="00BE5B6A" w:rsidRDefault="00AD1B6C" w:rsidP="00213AAD">
      <w:pPr>
        <w:pStyle w:val="ListParagraph"/>
        <w:numPr>
          <w:ilvl w:val="0"/>
          <w:numId w:val="12"/>
        </w:numPr>
        <w:tabs>
          <w:tab w:val="left" w:pos="2085"/>
        </w:tabs>
        <w:spacing w:before="60" w:after="60"/>
        <w:ind w:left="714" w:hanging="357"/>
        <w:contextualSpacing w:val="0"/>
        <w:rPr>
          <w:rFonts w:eastAsiaTheme="minorHAnsi" w:cs="Arial"/>
          <w:sz w:val="20"/>
          <w:szCs w:val="20"/>
        </w:rPr>
      </w:pPr>
      <w:r w:rsidRPr="00BE5B6A">
        <w:rPr>
          <w:rFonts w:eastAsiaTheme="minorHAnsi" w:cs="Arial"/>
          <w:sz w:val="20"/>
          <w:szCs w:val="20"/>
        </w:rPr>
        <w:t>Can we do anything about this waste?</w:t>
      </w:r>
    </w:p>
    <w:p w:rsidR="00BE5B6A" w:rsidRDefault="00BE5B6A" w:rsidP="00E72E3F">
      <w:pPr>
        <w:tabs>
          <w:tab w:val="left" w:pos="2085"/>
        </w:tabs>
        <w:spacing w:before="60" w:after="60"/>
        <w:rPr>
          <w:rFonts w:eastAsiaTheme="minorHAnsi" w:cs="Arial"/>
          <w:i/>
          <w:sz w:val="20"/>
          <w:szCs w:val="20"/>
        </w:rPr>
      </w:pPr>
    </w:p>
    <w:p w:rsidR="00862A09" w:rsidRDefault="00862A09" w:rsidP="00E72E3F">
      <w:pPr>
        <w:tabs>
          <w:tab w:val="left" w:pos="2085"/>
        </w:tabs>
        <w:spacing w:before="60" w:after="60"/>
        <w:rPr>
          <w:rFonts w:eastAsiaTheme="minorHAnsi" w:cs="Arial"/>
          <w:i/>
          <w:sz w:val="20"/>
          <w:szCs w:val="20"/>
        </w:rPr>
      </w:pPr>
    </w:p>
    <w:p w:rsidR="00E72E3F" w:rsidRPr="00E72E3F" w:rsidRDefault="00E72E3F" w:rsidP="00E72E3F">
      <w:pPr>
        <w:tabs>
          <w:tab w:val="left" w:pos="2085"/>
        </w:tabs>
        <w:spacing w:before="60" w:after="60"/>
        <w:rPr>
          <w:rFonts w:eastAsiaTheme="minorHAnsi" w:cs="Arial"/>
          <w:i/>
          <w:sz w:val="20"/>
          <w:szCs w:val="20"/>
        </w:rPr>
      </w:pPr>
      <w:r w:rsidRPr="00E72E3F">
        <w:rPr>
          <w:rFonts w:eastAsiaTheme="minorHAnsi" w:cs="Arial"/>
          <w:i/>
          <w:sz w:val="20"/>
          <w:szCs w:val="20"/>
        </w:rPr>
        <w:t>Methods</w:t>
      </w:r>
    </w:p>
    <w:p w:rsidR="00E72E3F" w:rsidRPr="00BE5B6A" w:rsidRDefault="00E72E3F" w:rsidP="00A814E4">
      <w:pPr>
        <w:tabs>
          <w:tab w:val="left" w:pos="2085"/>
        </w:tabs>
        <w:spacing w:before="60" w:after="60"/>
        <w:jc w:val="both"/>
        <w:rPr>
          <w:rFonts w:eastAsiaTheme="minorHAnsi" w:cs="Arial"/>
          <w:sz w:val="20"/>
          <w:szCs w:val="20"/>
        </w:rPr>
      </w:pPr>
      <w:r w:rsidRPr="00E72E3F">
        <w:rPr>
          <w:rFonts w:eastAsiaTheme="minorHAnsi" w:cs="Arial"/>
          <w:sz w:val="20"/>
          <w:szCs w:val="20"/>
        </w:rPr>
        <w:t xml:space="preserve">Healthcare at Home collected data for </w:t>
      </w:r>
      <w:proofErr w:type="spellStart"/>
      <w:r w:rsidRPr="00E72E3F">
        <w:rPr>
          <w:rFonts w:eastAsiaTheme="minorHAnsi" w:cs="Arial"/>
          <w:sz w:val="20"/>
          <w:szCs w:val="20"/>
        </w:rPr>
        <w:t>Humira</w:t>
      </w:r>
      <w:proofErr w:type="spellEnd"/>
      <w:r w:rsidRPr="00E72E3F">
        <w:rPr>
          <w:rFonts w:eastAsiaTheme="minorHAnsi" w:cs="Arial"/>
          <w:sz w:val="20"/>
          <w:szCs w:val="20"/>
        </w:rPr>
        <w:t xml:space="preserve">, </w:t>
      </w:r>
      <w:proofErr w:type="spellStart"/>
      <w:r w:rsidRPr="00E72E3F">
        <w:rPr>
          <w:rFonts w:eastAsiaTheme="minorHAnsi" w:cs="Arial"/>
          <w:sz w:val="20"/>
          <w:szCs w:val="20"/>
        </w:rPr>
        <w:t>Cimzia</w:t>
      </w:r>
      <w:proofErr w:type="spellEnd"/>
      <w:r w:rsidRPr="00E72E3F">
        <w:rPr>
          <w:rFonts w:eastAsiaTheme="minorHAnsi" w:cs="Arial"/>
          <w:sz w:val="20"/>
          <w:szCs w:val="20"/>
        </w:rPr>
        <w:t xml:space="preserve"> and Enbrel over 12 months for each London Trust that uses HAH for these products. The data collected included name of Trust, clinical speciality, name of medicine, amount returned, and reason for return, if it was destroyed, any credits and the cost of the returned medicine. The cost of waste as a percentage of total invoiced cost of all those medicines supplied was also considered. </w:t>
      </w:r>
    </w:p>
    <w:p w:rsidR="00E72E3F" w:rsidRPr="00E72E3F" w:rsidRDefault="00E72E3F" w:rsidP="00E72E3F">
      <w:pPr>
        <w:tabs>
          <w:tab w:val="left" w:pos="2085"/>
        </w:tabs>
        <w:spacing w:before="60" w:after="60"/>
        <w:rPr>
          <w:rFonts w:eastAsiaTheme="minorHAnsi" w:cs="Arial"/>
          <w:i/>
          <w:sz w:val="20"/>
          <w:szCs w:val="20"/>
        </w:rPr>
      </w:pPr>
      <w:r w:rsidRPr="00E72E3F">
        <w:rPr>
          <w:rFonts w:eastAsiaTheme="minorHAnsi" w:cs="Arial"/>
          <w:i/>
          <w:sz w:val="20"/>
          <w:szCs w:val="20"/>
        </w:rPr>
        <w:lastRenderedPageBreak/>
        <w:t>Results</w:t>
      </w:r>
    </w:p>
    <w:p w:rsidR="00E72E3F" w:rsidRPr="00E72E3F" w:rsidRDefault="003967A0" w:rsidP="00A814E4">
      <w:pPr>
        <w:tabs>
          <w:tab w:val="left" w:pos="2085"/>
        </w:tabs>
        <w:spacing w:before="60" w:after="60"/>
        <w:jc w:val="both"/>
        <w:rPr>
          <w:rFonts w:eastAsiaTheme="minorHAnsi" w:cs="Arial"/>
          <w:i/>
          <w:sz w:val="20"/>
          <w:szCs w:val="20"/>
        </w:rPr>
      </w:pPr>
      <w:r>
        <w:rPr>
          <w:rFonts w:eastAsiaTheme="minorHAnsi" w:cs="Arial"/>
          <w:sz w:val="20"/>
          <w:szCs w:val="20"/>
        </w:rPr>
        <w:t>During this</w:t>
      </w:r>
      <w:r w:rsidR="00E72E3F" w:rsidRPr="00E72E3F">
        <w:rPr>
          <w:rFonts w:eastAsiaTheme="minorHAnsi" w:cs="Arial"/>
          <w:sz w:val="20"/>
          <w:szCs w:val="20"/>
        </w:rPr>
        <w:t xml:space="preserve">12-month period, HAH dispensed £63,726,633 on biological medicines shown above. The amount of returned biologic medicines during this time however was 0.4% of this cost, a value of £227,688. There were differences between the Trusts in the number of incidents of return and the cost of these returns. </w:t>
      </w:r>
    </w:p>
    <w:p w:rsidR="00E72E3F" w:rsidRPr="00E72E3F" w:rsidRDefault="00E72E3F" w:rsidP="00A814E4">
      <w:pPr>
        <w:tabs>
          <w:tab w:val="left" w:pos="2085"/>
        </w:tabs>
        <w:spacing w:before="60" w:after="60"/>
        <w:jc w:val="both"/>
        <w:rPr>
          <w:rFonts w:eastAsiaTheme="minorHAnsi" w:cs="Arial"/>
          <w:sz w:val="20"/>
          <w:szCs w:val="20"/>
        </w:rPr>
      </w:pPr>
      <w:r w:rsidRPr="00E72E3F">
        <w:rPr>
          <w:rFonts w:eastAsiaTheme="minorHAnsi" w:cs="Arial"/>
          <w:sz w:val="20"/>
          <w:szCs w:val="20"/>
        </w:rPr>
        <w:t xml:space="preserve">There were a number of reasons recorded for medicines to be returned to HAH. The most common reason was that the patient was off treatment. With this data, we do not have a further breakdown of why the patient was off treatment, whether this was temporary or permanent. The incorrect storage temperature of medicines in the </w:t>
      </w:r>
      <w:proofErr w:type="gramStart"/>
      <w:r w:rsidRPr="00E72E3F">
        <w:rPr>
          <w:rFonts w:eastAsiaTheme="minorHAnsi" w:cs="Arial"/>
          <w:sz w:val="20"/>
          <w:szCs w:val="20"/>
        </w:rPr>
        <w:t>patients</w:t>
      </w:r>
      <w:proofErr w:type="gramEnd"/>
      <w:r w:rsidRPr="00E72E3F">
        <w:rPr>
          <w:rFonts w:eastAsiaTheme="minorHAnsi" w:cs="Arial"/>
          <w:sz w:val="20"/>
          <w:szCs w:val="20"/>
        </w:rPr>
        <w:t xml:space="preserve"> home was the third most common reason for returns.  </w:t>
      </w:r>
    </w:p>
    <w:p w:rsidR="00E72E3F" w:rsidRPr="00E72E3F" w:rsidRDefault="00E72E3F" w:rsidP="00A814E4">
      <w:pPr>
        <w:tabs>
          <w:tab w:val="left" w:pos="2085"/>
        </w:tabs>
        <w:spacing w:before="60" w:after="60"/>
        <w:jc w:val="both"/>
        <w:rPr>
          <w:rFonts w:eastAsiaTheme="minorHAnsi" w:cs="Arial"/>
          <w:sz w:val="20"/>
          <w:szCs w:val="20"/>
        </w:rPr>
      </w:pPr>
      <w:r w:rsidRPr="00E72E3F">
        <w:rPr>
          <w:rFonts w:eastAsiaTheme="minorHAnsi" w:cs="Arial"/>
          <w:sz w:val="20"/>
          <w:szCs w:val="20"/>
        </w:rPr>
        <w:t xml:space="preserve">The cost of waste as percentage of cost of all medicine returned was analysed by patent group. In this we saw that the returns from gastroenterology speciality were significantly higher than dermatology and rheumatology. This may be flawed however as there was a significant return from one Trust for this speciality. </w:t>
      </w:r>
    </w:p>
    <w:p w:rsidR="00E72E3F" w:rsidRPr="00BE5B6A" w:rsidRDefault="00E72E3F" w:rsidP="00E72E3F">
      <w:pPr>
        <w:tabs>
          <w:tab w:val="left" w:pos="2085"/>
        </w:tabs>
        <w:spacing w:before="60" w:after="60"/>
        <w:rPr>
          <w:rFonts w:eastAsiaTheme="minorHAnsi" w:cs="Arial"/>
          <w:sz w:val="20"/>
          <w:szCs w:val="20"/>
        </w:rPr>
      </w:pPr>
      <w:r w:rsidRPr="00E72E3F">
        <w:rPr>
          <w:rFonts w:eastAsiaTheme="minorHAnsi" w:cs="Arial"/>
          <w:sz w:val="20"/>
          <w:szCs w:val="20"/>
        </w:rPr>
        <w:t>Of the returned medicines described above, 100% had to be destroyed and with the cost of the waste being borne by the NHS</w:t>
      </w:r>
      <w:r w:rsidRPr="00BE5B6A">
        <w:rPr>
          <w:rFonts w:eastAsiaTheme="minorHAnsi" w:cs="Arial"/>
          <w:sz w:val="20"/>
          <w:szCs w:val="20"/>
        </w:rPr>
        <w:t>.</w:t>
      </w:r>
    </w:p>
    <w:p w:rsidR="00E72E3F" w:rsidRPr="00E72E3F" w:rsidRDefault="00E72E3F" w:rsidP="00E72E3F">
      <w:pPr>
        <w:tabs>
          <w:tab w:val="left" w:pos="2085"/>
        </w:tabs>
        <w:spacing w:before="60" w:after="60"/>
        <w:rPr>
          <w:rFonts w:eastAsiaTheme="minorHAnsi" w:cs="Arial"/>
          <w:sz w:val="20"/>
          <w:szCs w:val="20"/>
        </w:rPr>
      </w:pPr>
    </w:p>
    <w:p w:rsidR="00E72E3F" w:rsidRPr="00E72E3F" w:rsidRDefault="00E72E3F" w:rsidP="00E72E3F">
      <w:pPr>
        <w:tabs>
          <w:tab w:val="left" w:pos="2085"/>
        </w:tabs>
        <w:spacing w:before="60" w:after="60"/>
        <w:rPr>
          <w:rFonts w:eastAsiaTheme="minorHAnsi" w:cs="Arial"/>
          <w:i/>
          <w:sz w:val="20"/>
          <w:szCs w:val="20"/>
        </w:rPr>
      </w:pPr>
      <w:r w:rsidRPr="00E72E3F">
        <w:rPr>
          <w:rFonts w:eastAsiaTheme="minorHAnsi" w:cs="Arial"/>
          <w:i/>
          <w:sz w:val="20"/>
          <w:szCs w:val="20"/>
        </w:rPr>
        <w:t>Conclusion</w:t>
      </w:r>
    </w:p>
    <w:p w:rsidR="00E72E3F" w:rsidRPr="00E72E3F" w:rsidRDefault="00E72E3F" w:rsidP="00A814E4">
      <w:pPr>
        <w:tabs>
          <w:tab w:val="left" w:pos="2085"/>
        </w:tabs>
        <w:spacing w:before="60" w:after="60"/>
        <w:jc w:val="both"/>
        <w:rPr>
          <w:rFonts w:eastAsiaTheme="minorHAnsi" w:cs="Arial"/>
          <w:sz w:val="20"/>
          <w:szCs w:val="20"/>
        </w:rPr>
      </w:pPr>
      <w:r w:rsidRPr="00E72E3F">
        <w:rPr>
          <w:rFonts w:eastAsiaTheme="minorHAnsi" w:cs="Arial"/>
          <w:sz w:val="20"/>
          <w:szCs w:val="20"/>
        </w:rPr>
        <w:t xml:space="preserve">The initial data above shows a lower level of waste than previously reported for homecare supply of these medicines. However the data was incomplete as this is only data from one homecare provider, and took no account of possible differences in wastage between different patient groups or due to other variables. There were differences in the number of returns per Trust which did not appear to be directly related to the number of patients being treated at each. </w:t>
      </w:r>
    </w:p>
    <w:p w:rsidR="00E72E3F" w:rsidRPr="00BE5B6A" w:rsidRDefault="00E72E3F" w:rsidP="00A814E4">
      <w:pPr>
        <w:tabs>
          <w:tab w:val="left" w:pos="2085"/>
        </w:tabs>
        <w:spacing w:before="60" w:after="60"/>
        <w:jc w:val="both"/>
        <w:rPr>
          <w:rFonts w:eastAsiaTheme="minorHAnsi" w:cs="Arial"/>
          <w:sz w:val="20"/>
          <w:szCs w:val="20"/>
        </w:rPr>
      </w:pPr>
      <w:r w:rsidRPr="00E72E3F">
        <w:rPr>
          <w:rFonts w:eastAsiaTheme="minorHAnsi" w:cs="Arial"/>
          <w:sz w:val="20"/>
          <w:szCs w:val="20"/>
        </w:rPr>
        <w:t>The reasons for the returns seemed to vary but the predominated reason w</w:t>
      </w:r>
      <w:r w:rsidR="003967A0">
        <w:rPr>
          <w:rFonts w:eastAsiaTheme="minorHAnsi" w:cs="Arial"/>
          <w:sz w:val="20"/>
          <w:szCs w:val="20"/>
        </w:rPr>
        <w:t>as</w:t>
      </w:r>
      <w:r w:rsidRPr="00E72E3F">
        <w:rPr>
          <w:rFonts w:eastAsiaTheme="minorHAnsi" w:cs="Arial"/>
          <w:sz w:val="20"/>
          <w:szCs w:val="20"/>
        </w:rPr>
        <w:t xml:space="preserve"> the patient off </w:t>
      </w:r>
      <w:r w:rsidR="003967A0" w:rsidRPr="00E72E3F">
        <w:rPr>
          <w:rFonts w:eastAsiaTheme="minorHAnsi" w:cs="Arial"/>
          <w:sz w:val="20"/>
          <w:szCs w:val="20"/>
        </w:rPr>
        <w:t>treatment;</w:t>
      </w:r>
      <w:r w:rsidRPr="00E72E3F">
        <w:rPr>
          <w:rFonts w:eastAsiaTheme="minorHAnsi" w:cs="Arial"/>
          <w:sz w:val="20"/>
          <w:szCs w:val="20"/>
        </w:rPr>
        <w:t xml:space="preserve"> however this is unclear whether it was a short term or permanent discontinuation of therapy. Providers and commissioners should review the patient pathway to try to avoid deliveries if there is a likelihood of stopping   treatment or changing dose.  Our data also suggests that we need to improve patient education about the importance of storing these medicines appropriately, in particular if they require refrigeration.</w:t>
      </w:r>
    </w:p>
    <w:p w:rsidR="00E72E3F" w:rsidRPr="00E72E3F" w:rsidRDefault="00E72E3F" w:rsidP="00E72E3F">
      <w:pPr>
        <w:tabs>
          <w:tab w:val="left" w:pos="2085"/>
        </w:tabs>
        <w:spacing w:before="60" w:after="60"/>
        <w:rPr>
          <w:rFonts w:eastAsiaTheme="minorHAnsi" w:cs="Arial"/>
          <w:sz w:val="20"/>
          <w:szCs w:val="20"/>
        </w:rPr>
      </w:pPr>
    </w:p>
    <w:p w:rsidR="00E72E3F" w:rsidRPr="00E72E3F" w:rsidRDefault="00E72E3F" w:rsidP="00E72E3F">
      <w:pPr>
        <w:tabs>
          <w:tab w:val="left" w:pos="2085"/>
        </w:tabs>
        <w:spacing w:before="60" w:after="60"/>
        <w:rPr>
          <w:rFonts w:eastAsiaTheme="minorHAnsi" w:cs="Arial"/>
          <w:i/>
          <w:sz w:val="20"/>
          <w:szCs w:val="20"/>
        </w:rPr>
      </w:pPr>
      <w:r w:rsidRPr="00E72E3F">
        <w:rPr>
          <w:rFonts w:eastAsiaTheme="minorHAnsi" w:cs="Arial"/>
          <w:i/>
          <w:sz w:val="20"/>
          <w:szCs w:val="20"/>
        </w:rPr>
        <w:t>Future Plans</w:t>
      </w:r>
    </w:p>
    <w:p w:rsidR="00E72E3F" w:rsidRPr="00E72E3F" w:rsidRDefault="00E72E3F" w:rsidP="005E187B">
      <w:pPr>
        <w:numPr>
          <w:ilvl w:val="0"/>
          <w:numId w:val="13"/>
        </w:numPr>
        <w:tabs>
          <w:tab w:val="left" w:pos="2085"/>
        </w:tabs>
        <w:spacing w:before="60" w:after="60"/>
        <w:ind w:left="760" w:hanging="357"/>
        <w:rPr>
          <w:rFonts w:eastAsiaTheme="minorHAnsi" w:cs="Arial"/>
          <w:sz w:val="20"/>
          <w:szCs w:val="20"/>
        </w:rPr>
      </w:pPr>
      <w:r w:rsidRPr="00E72E3F">
        <w:rPr>
          <w:rFonts w:eastAsiaTheme="minorHAnsi" w:cs="Arial"/>
          <w:sz w:val="20"/>
          <w:szCs w:val="20"/>
        </w:rPr>
        <w:t>Healthcare at home are continuing to work to give LPP d</w:t>
      </w:r>
      <w:r w:rsidR="003967A0">
        <w:rPr>
          <w:rFonts w:eastAsiaTheme="minorHAnsi" w:cs="Arial"/>
          <w:sz w:val="20"/>
          <w:szCs w:val="20"/>
        </w:rPr>
        <w:t>ata on returns from other areas</w:t>
      </w:r>
    </w:p>
    <w:p w:rsidR="00E72E3F" w:rsidRPr="00E72E3F" w:rsidRDefault="00E72E3F" w:rsidP="005E187B">
      <w:pPr>
        <w:numPr>
          <w:ilvl w:val="0"/>
          <w:numId w:val="13"/>
        </w:numPr>
        <w:tabs>
          <w:tab w:val="left" w:pos="2085"/>
        </w:tabs>
        <w:spacing w:before="60" w:after="60"/>
        <w:ind w:left="760" w:hanging="357"/>
        <w:rPr>
          <w:rFonts w:eastAsiaTheme="minorHAnsi" w:cs="Arial"/>
          <w:sz w:val="20"/>
          <w:szCs w:val="20"/>
        </w:rPr>
      </w:pPr>
      <w:r w:rsidRPr="00E72E3F">
        <w:rPr>
          <w:rFonts w:eastAsiaTheme="minorHAnsi" w:cs="Arial"/>
          <w:sz w:val="20"/>
          <w:szCs w:val="20"/>
        </w:rPr>
        <w:t>A Pilot project is planned to take place with two London Trusts, looking at current returns for subcutaneous biological medicines, and  to see if intervention with patients can reduce this</w:t>
      </w:r>
    </w:p>
    <w:p w:rsidR="00E72E3F" w:rsidRPr="00E72E3F" w:rsidRDefault="00E72E3F" w:rsidP="005E187B">
      <w:pPr>
        <w:numPr>
          <w:ilvl w:val="0"/>
          <w:numId w:val="13"/>
        </w:numPr>
        <w:tabs>
          <w:tab w:val="left" w:pos="2085"/>
        </w:tabs>
        <w:spacing w:before="60" w:after="60"/>
        <w:ind w:left="760" w:hanging="357"/>
        <w:rPr>
          <w:rFonts w:eastAsiaTheme="minorHAnsi" w:cs="Arial"/>
          <w:sz w:val="20"/>
          <w:szCs w:val="20"/>
        </w:rPr>
      </w:pPr>
      <w:r w:rsidRPr="00E72E3F">
        <w:rPr>
          <w:rFonts w:eastAsiaTheme="minorHAnsi" w:cs="Arial"/>
          <w:sz w:val="20"/>
          <w:szCs w:val="20"/>
        </w:rPr>
        <w:t>Work with all homecare companies to include wastage in their monthly reporting to the regiona</w:t>
      </w:r>
      <w:r w:rsidR="003967A0">
        <w:rPr>
          <w:rFonts w:eastAsiaTheme="minorHAnsi" w:cs="Arial"/>
          <w:sz w:val="20"/>
          <w:szCs w:val="20"/>
        </w:rPr>
        <w:t>l lead so this can be monitored</w:t>
      </w:r>
    </w:p>
    <w:p w:rsidR="00E72E3F" w:rsidRPr="00E72E3F" w:rsidRDefault="00E72E3F" w:rsidP="005E187B">
      <w:pPr>
        <w:numPr>
          <w:ilvl w:val="0"/>
          <w:numId w:val="13"/>
        </w:numPr>
        <w:tabs>
          <w:tab w:val="left" w:pos="2085"/>
        </w:tabs>
        <w:spacing w:before="60" w:after="60"/>
        <w:ind w:left="760" w:hanging="357"/>
        <w:rPr>
          <w:rFonts w:eastAsiaTheme="minorHAnsi" w:cs="Arial"/>
          <w:sz w:val="20"/>
          <w:szCs w:val="20"/>
        </w:rPr>
      </w:pPr>
      <w:r w:rsidRPr="00E72E3F">
        <w:rPr>
          <w:rFonts w:eastAsiaTheme="minorHAnsi" w:cs="Arial"/>
          <w:sz w:val="20"/>
          <w:szCs w:val="20"/>
        </w:rPr>
        <w:t>To write up the above findings as a detailed report to enable healthcare professionals (HCPs) working in this area to make informed decisions on how t</w:t>
      </w:r>
      <w:r w:rsidR="003967A0">
        <w:rPr>
          <w:rFonts w:eastAsiaTheme="minorHAnsi" w:cs="Arial"/>
          <w:sz w:val="20"/>
          <w:szCs w:val="20"/>
        </w:rPr>
        <w:t>o improve practice reduce waste</w:t>
      </w:r>
    </w:p>
    <w:p w:rsidR="00E72E3F" w:rsidRPr="00BE5B6A" w:rsidRDefault="00E72E3F" w:rsidP="005E187B">
      <w:pPr>
        <w:numPr>
          <w:ilvl w:val="0"/>
          <w:numId w:val="13"/>
        </w:numPr>
        <w:tabs>
          <w:tab w:val="left" w:pos="2085"/>
        </w:tabs>
        <w:spacing w:before="60" w:after="60"/>
        <w:ind w:left="760" w:hanging="357"/>
        <w:rPr>
          <w:rFonts w:eastAsiaTheme="minorHAnsi" w:cs="Arial"/>
          <w:sz w:val="20"/>
          <w:szCs w:val="20"/>
        </w:rPr>
      </w:pPr>
      <w:r w:rsidRPr="00E72E3F">
        <w:rPr>
          <w:rFonts w:eastAsiaTheme="minorHAnsi" w:cs="Arial"/>
          <w:sz w:val="20"/>
          <w:szCs w:val="20"/>
        </w:rPr>
        <w:t>The above results indicate that the majority of this waste was avoidable. Review of care pathways and improved communication between the prescribing organisation and homecare suppliers will be pursued t</w:t>
      </w:r>
      <w:r w:rsidR="003967A0">
        <w:rPr>
          <w:rFonts w:eastAsiaTheme="minorHAnsi" w:cs="Arial"/>
          <w:sz w:val="20"/>
          <w:szCs w:val="20"/>
        </w:rPr>
        <w:t>o reduce waste</w:t>
      </w:r>
    </w:p>
    <w:p w:rsidR="005E187B" w:rsidRPr="00E72E3F" w:rsidRDefault="005E187B" w:rsidP="005E187B">
      <w:pPr>
        <w:tabs>
          <w:tab w:val="left" w:pos="2085"/>
        </w:tabs>
        <w:spacing w:before="60" w:after="60"/>
        <w:ind w:left="405"/>
        <w:rPr>
          <w:rFonts w:eastAsiaTheme="minorHAnsi" w:cs="Arial"/>
          <w:sz w:val="20"/>
          <w:szCs w:val="20"/>
        </w:rPr>
      </w:pPr>
    </w:p>
    <w:p w:rsidR="00E72E3F" w:rsidRPr="00BE5B6A" w:rsidRDefault="00E72E3F" w:rsidP="00E72E3F">
      <w:pPr>
        <w:tabs>
          <w:tab w:val="left" w:pos="2085"/>
        </w:tabs>
        <w:spacing w:before="60" w:after="60"/>
        <w:rPr>
          <w:rFonts w:eastAsiaTheme="minorHAnsi" w:cs="Arial"/>
          <w:i/>
          <w:sz w:val="20"/>
          <w:szCs w:val="20"/>
        </w:rPr>
      </w:pPr>
      <w:r w:rsidRPr="00FC4B76">
        <w:rPr>
          <w:rFonts w:eastAsiaTheme="minorHAnsi" w:cs="Arial"/>
          <w:sz w:val="20"/>
          <w:szCs w:val="20"/>
        </w:rPr>
        <w:t xml:space="preserve">  For further information contact</w:t>
      </w:r>
      <w:r w:rsidRPr="00E72E3F">
        <w:rPr>
          <w:rFonts w:eastAsiaTheme="minorHAnsi" w:cs="Arial"/>
          <w:i/>
          <w:sz w:val="20"/>
          <w:szCs w:val="20"/>
        </w:rPr>
        <w:t>:</w:t>
      </w:r>
      <w:r w:rsidRPr="00FC4B76">
        <w:rPr>
          <w:rFonts w:eastAsiaTheme="minorHAnsi" w:cs="Arial"/>
          <w:sz w:val="20"/>
          <w:szCs w:val="20"/>
        </w:rPr>
        <w:t xml:space="preserve"> </w:t>
      </w:r>
      <w:hyperlink r:id="rId19" w:history="1">
        <w:r w:rsidR="005E187B" w:rsidRPr="00FC4B76">
          <w:rPr>
            <w:rStyle w:val="Hyperlink"/>
            <w:rFonts w:eastAsiaTheme="minorHAnsi" w:cs="Arial"/>
            <w:color w:val="0033CC"/>
            <w:sz w:val="20"/>
            <w:szCs w:val="20"/>
          </w:rPr>
          <w:t>Jacqueline.eastwood@lpp.nhs.uk</w:t>
        </w:r>
      </w:hyperlink>
    </w:p>
    <w:p w:rsidR="005E187B" w:rsidRDefault="005E187B" w:rsidP="00E72E3F">
      <w:pPr>
        <w:tabs>
          <w:tab w:val="left" w:pos="2085"/>
        </w:tabs>
        <w:spacing w:before="60" w:after="60"/>
        <w:rPr>
          <w:rFonts w:eastAsiaTheme="minorHAnsi" w:cs="Arial"/>
          <w:i/>
          <w:sz w:val="22"/>
          <w:szCs w:val="22"/>
        </w:rPr>
      </w:pPr>
    </w:p>
    <w:p w:rsidR="005E187B" w:rsidRDefault="005E187B" w:rsidP="00E72E3F">
      <w:pPr>
        <w:tabs>
          <w:tab w:val="left" w:pos="2085"/>
        </w:tabs>
        <w:spacing w:before="60" w:after="60"/>
        <w:rPr>
          <w:rFonts w:eastAsiaTheme="minorHAnsi" w:cs="Arial"/>
          <w:i/>
          <w:sz w:val="22"/>
          <w:szCs w:val="22"/>
        </w:rPr>
      </w:pPr>
    </w:p>
    <w:p w:rsidR="005E187B" w:rsidRDefault="005E187B" w:rsidP="005E187B">
      <w:pPr>
        <w:tabs>
          <w:tab w:val="left" w:pos="2085"/>
        </w:tabs>
        <w:spacing w:before="60" w:after="60"/>
        <w:rPr>
          <w:rFonts w:eastAsiaTheme="minorHAnsi" w:cs="Arial"/>
          <w:b/>
          <w:sz w:val="20"/>
          <w:szCs w:val="20"/>
        </w:rPr>
      </w:pPr>
      <w:r w:rsidRPr="005E187B">
        <w:rPr>
          <w:rFonts w:eastAsiaTheme="minorHAnsi" w:cs="Arial"/>
          <w:b/>
          <w:sz w:val="20"/>
          <w:szCs w:val="20"/>
        </w:rPr>
        <w:t>Outsourced Outpatient Pharmacy Model</w:t>
      </w:r>
      <w:r w:rsidR="004606B0">
        <w:rPr>
          <w:rFonts w:eastAsiaTheme="minorHAnsi" w:cs="Arial"/>
          <w:b/>
          <w:sz w:val="20"/>
          <w:szCs w:val="20"/>
        </w:rPr>
        <w:t>:</w:t>
      </w:r>
    </w:p>
    <w:p w:rsidR="003967A0" w:rsidRPr="005E187B" w:rsidRDefault="003967A0" w:rsidP="005E187B">
      <w:pPr>
        <w:tabs>
          <w:tab w:val="left" w:pos="2085"/>
        </w:tabs>
        <w:spacing w:before="60" w:after="60"/>
        <w:rPr>
          <w:rFonts w:eastAsiaTheme="minorHAnsi" w:cs="Arial"/>
          <w:sz w:val="20"/>
          <w:szCs w:val="20"/>
        </w:rPr>
      </w:pPr>
    </w:p>
    <w:p w:rsidR="005E187B" w:rsidRPr="005E187B" w:rsidRDefault="005E187B" w:rsidP="005E187B">
      <w:pPr>
        <w:tabs>
          <w:tab w:val="left" w:pos="2085"/>
        </w:tabs>
        <w:spacing w:before="60" w:after="60"/>
        <w:rPr>
          <w:rFonts w:eastAsiaTheme="minorHAnsi" w:cs="Arial"/>
          <w:sz w:val="20"/>
          <w:szCs w:val="20"/>
        </w:rPr>
      </w:pPr>
      <w:r w:rsidRPr="005E187B">
        <w:rPr>
          <w:rFonts w:eastAsiaTheme="minorHAnsi" w:cs="Arial"/>
          <w:sz w:val="20"/>
          <w:szCs w:val="20"/>
        </w:rPr>
        <w:t>In London, East of England and Thames Valley &amp; Wessex areas an outsourced contract management group has been set up to focus:</w:t>
      </w:r>
    </w:p>
    <w:p w:rsidR="005E187B" w:rsidRPr="005E187B" w:rsidRDefault="003967A0" w:rsidP="003967A0">
      <w:pPr>
        <w:numPr>
          <w:ilvl w:val="0"/>
          <w:numId w:val="14"/>
        </w:numPr>
        <w:tabs>
          <w:tab w:val="left" w:pos="2085"/>
        </w:tabs>
        <w:spacing w:before="60" w:after="60"/>
        <w:ind w:left="777" w:hanging="357"/>
        <w:rPr>
          <w:rFonts w:eastAsiaTheme="minorHAnsi" w:cs="Arial"/>
          <w:sz w:val="20"/>
          <w:szCs w:val="20"/>
        </w:rPr>
      </w:pPr>
      <w:r>
        <w:rPr>
          <w:rFonts w:eastAsiaTheme="minorHAnsi" w:cs="Arial"/>
          <w:sz w:val="20"/>
          <w:szCs w:val="20"/>
        </w:rPr>
        <w:t>O</w:t>
      </w:r>
      <w:r w:rsidR="005E187B" w:rsidRPr="005E187B">
        <w:rPr>
          <w:rFonts w:eastAsiaTheme="minorHAnsi" w:cs="Arial"/>
          <w:sz w:val="20"/>
          <w:szCs w:val="20"/>
        </w:rPr>
        <w:t>n issues that they have encountered in setting up an outsourced supply route</w:t>
      </w:r>
    </w:p>
    <w:p w:rsidR="005E187B" w:rsidRPr="005E187B" w:rsidRDefault="003967A0" w:rsidP="003967A0">
      <w:pPr>
        <w:numPr>
          <w:ilvl w:val="0"/>
          <w:numId w:val="14"/>
        </w:numPr>
        <w:tabs>
          <w:tab w:val="left" w:pos="2085"/>
        </w:tabs>
        <w:spacing w:before="60" w:after="60"/>
        <w:ind w:left="777" w:hanging="357"/>
        <w:rPr>
          <w:rFonts w:eastAsiaTheme="minorHAnsi" w:cs="Arial"/>
          <w:sz w:val="20"/>
          <w:szCs w:val="20"/>
        </w:rPr>
      </w:pPr>
      <w:r>
        <w:rPr>
          <w:rFonts w:eastAsiaTheme="minorHAnsi" w:cs="Arial"/>
          <w:sz w:val="20"/>
          <w:szCs w:val="20"/>
        </w:rPr>
        <w:t>L</w:t>
      </w:r>
      <w:r w:rsidR="005E187B" w:rsidRPr="005E187B">
        <w:rPr>
          <w:rFonts w:eastAsiaTheme="minorHAnsi" w:cs="Arial"/>
          <w:sz w:val="20"/>
          <w:szCs w:val="20"/>
        </w:rPr>
        <w:t>earnings from setting up such supply routes</w:t>
      </w:r>
    </w:p>
    <w:p w:rsidR="005E187B" w:rsidRPr="005E187B" w:rsidRDefault="003967A0" w:rsidP="003967A0">
      <w:pPr>
        <w:numPr>
          <w:ilvl w:val="0"/>
          <w:numId w:val="14"/>
        </w:numPr>
        <w:tabs>
          <w:tab w:val="left" w:pos="2085"/>
        </w:tabs>
        <w:spacing w:before="60" w:after="60"/>
        <w:ind w:left="777" w:hanging="357"/>
        <w:rPr>
          <w:rFonts w:eastAsiaTheme="minorHAnsi" w:cs="Arial"/>
          <w:sz w:val="20"/>
          <w:szCs w:val="20"/>
        </w:rPr>
      </w:pPr>
      <w:r>
        <w:rPr>
          <w:rFonts w:eastAsiaTheme="minorHAnsi" w:cs="Arial"/>
          <w:sz w:val="20"/>
          <w:szCs w:val="20"/>
        </w:rPr>
        <w:t>S</w:t>
      </w:r>
      <w:r w:rsidR="005E187B" w:rsidRPr="005E187B">
        <w:rPr>
          <w:rFonts w:eastAsiaTheme="minorHAnsi" w:cs="Arial"/>
          <w:sz w:val="20"/>
          <w:szCs w:val="20"/>
        </w:rPr>
        <w:t>upport for trusts looking at developing an outsourced supply route</w:t>
      </w:r>
    </w:p>
    <w:p w:rsidR="005E187B" w:rsidRPr="00BE5B6A" w:rsidRDefault="005E187B" w:rsidP="005E187B">
      <w:pPr>
        <w:tabs>
          <w:tab w:val="left" w:pos="2085"/>
        </w:tabs>
        <w:spacing w:before="60" w:after="60"/>
        <w:rPr>
          <w:rFonts w:eastAsiaTheme="minorHAnsi" w:cs="Arial"/>
          <w:sz w:val="20"/>
          <w:szCs w:val="20"/>
        </w:rPr>
      </w:pPr>
    </w:p>
    <w:p w:rsidR="005E187B" w:rsidRPr="00BE5B6A" w:rsidRDefault="005E187B" w:rsidP="00A814E4">
      <w:pPr>
        <w:tabs>
          <w:tab w:val="left" w:pos="2085"/>
        </w:tabs>
        <w:spacing w:before="60" w:after="60"/>
        <w:jc w:val="both"/>
        <w:rPr>
          <w:rFonts w:eastAsiaTheme="minorHAnsi" w:cs="Arial"/>
          <w:sz w:val="20"/>
          <w:szCs w:val="20"/>
        </w:rPr>
      </w:pPr>
      <w:r w:rsidRPr="005E187B">
        <w:rPr>
          <w:rFonts w:eastAsiaTheme="minorHAnsi" w:cs="Arial"/>
          <w:sz w:val="20"/>
          <w:szCs w:val="20"/>
        </w:rPr>
        <w:t xml:space="preserve">This group does liaise with the regional procurement pharmacists in Yorkshire and North West England to ensure that any documents are shared. To date a standard set of service KPIs have been designed with the aim that these are used for all services going forward as the minimum data set. This will allow the NHS to benchmark the services being provided. </w:t>
      </w:r>
    </w:p>
    <w:p w:rsidR="005E187B" w:rsidRPr="005E187B" w:rsidRDefault="005E187B" w:rsidP="005E187B">
      <w:pPr>
        <w:tabs>
          <w:tab w:val="left" w:pos="2085"/>
        </w:tabs>
        <w:spacing w:before="60" w:after="60"/>
        <w:rPr>
          <w:rFonts w:eastAsiaTheme="minorHAnsi" w:cs="Arial"/>
          <w:sz w:val="20"/>
          <w:szCs w:val="20"/>
        </w:rPr>
      </w:pPr>
    </w:p>
    <w:p w:rsidR="005E187B" w:rsidRPr="00BE5B6A" w:rsidRDefault="005E187B" w:rsidP="005E187B">
      <w:pPr>
        <w:tabs>
          <w:tab w:val="left" w:pos="2085"/>
        </w:tabs>
        <w:spacing w:before="60" w:after="60"/>
        <w:rPr>
          <w:rFonts w:eastAsiaTheme="minorHAnsi" w:cs="Arial"/>
          <w:sz w:val="20"/>
          <w:szCs w:val="20"/>
        </w:rPr>
      </w:pPr>
      <w:r w:rsidRPr="005E187B">
        <w:rPr>
          <w:rFonts w:eastAsiaTheme="minorHAnsi" w:cs="Arial"/>
          <w:sz w:val="20"/>
          <w:szCs w:val="20"/>
        </w:rPr>
        <w:t xml:space="preserve">There is a plan to set up a national group with a similar remit as the National Homecare Medicines Committee, but for outsourced outpatient pharmacy services, so a national plan of standardisation can be implemented to ensure that the governance for these services is aligned across England. </w:t>
      </w:r>
    </w:p>
    <w:p w:rsidR="005E187B" w:rsidRDefault="005E187B" w:rsidP="005E187B">
      <w:pPr>
        <w:tabs>
          <w:tab w:val="left" w:pos="2085"/>
        </w:tabs>
        <w:spacing w:before="60" w:after="60"/>
        <w:rPr>
          <w:rFonts w:eastAsiaTheme="minorHAnsi" w:cs="Arial"/>
          <w:sz w:val="22"/>
          <w:szCs w:val="22"/>
        </w:rPr>
      </w:pPr>
    </w:p>
    <w:p w:rsidR="003967A0" w:rsidRDefault="003967A0" w:rsidP="005E187B">
      <w:pPr>
        <w:tabs>
          <w:tab w:val="left" w:pos="2085"/>
        </w:tabs>
        <w:spacing w:before="60" w:after="60"/>
        <w:rPr>
          <w:rFonts w:eastAsiaTheme="minorHAnsi" w:cs="Arial"/>
          <w:sz w:val="22"/>
          <w:szCs w:val="22"/>
        </w:rPr>
      </w:pPr>
    </w:p>
    <w:p w:rsidR="005E187B" w:rsidRPr="005E187B" w:rsidRDefault="005E187B" w:rsidP="005E187B">
      <w:pPr>
        <w:tabs>
          <w:tab w:val="left" w:pos="2085"/>
        </w:tabs>
        <w:spacing w:before="60" w:after="60"/>
        <w:rPr>
          <w:rFonts w:eastAsiaTheme="minorHAnsi" w:cs="Arial"/>
          <w:sz w:val="20"/>
          <w:szCs w:val="20"/>
        </w:rPr>
      </w:pPr>
    </w:p>
    <w:p w:rsidR="005E187B" w:rsidRPr="005E187B" w:rsidRDefault="005E187B" w:rsidP="005E187B">
      <w:pPr>
        <w:autoSpaceDE w:val="0"/>
        <w:autoSpaceDN w:val="0"/>
        <w:adjustRightInd w:val="0"/>
        <w:spacing w:before="60" w:after="60"/>
        <w:rPr>
          <w:rFonts w:eastAsiaTheme="minorHAnsi" w:cs="Arial"/>
          <w:b/>
          <w:color w:val="000000"/>
          <w:sz w:val="20"/>
          <w:szCs w:val="20"/>
        </w:rPr>
      </w:pPr>
      <w:r w:rsidRPr="005E187B">
        <w:rPr>
          <w:rFonts w:eastAsiaTheme="minorHAnsi" w:cs="Arial"/>
          <w:b/>
          <w:color w:val="000000"/>
          <w:sz w:val="20"/>
          <w:szCs w:val="20"/>
        </w:rPr>
        <w:t>NHS London Procurement Partnership Framework agreement for the provision of outpatie</w:t>
      </w:r>
      <w:r w:rsidR="003967A0" w:rsidRPr="003967A0">
        <w:rPr>
          <w:rFonts w:eastAsiaTheme="minorHAnsi" w:cs="Arial"/>
          <w:b/>
          <w:color w:val="000000"/>
          <w:sz w:val="20"/>
          <w:szCs w:val="20"/>
        </w:rPr>
        <w:t>nt pharmacy dispensing services</w:t>
      </w:r>
    </w:p>
    <w:p w:rsidR="005E187B" w:rsidRPr="005E187B" w:rsidRDefault="005E187B" w:rsidP="005E187B">
      <w:pPr>
        <w:autoSpaceDE w:val="0"/>
        <w:autoSpaceDN w:val="0"/>
        <w:adjustRightInd w:val="0"/>
        <w:spacing w:before="60" w:after="60"/>
        <w:rPr>
          <w:rFonts w:eastAsiaTheme="minorHAnsi" w:cs="Arial"/>
          <w:color w:val="000000"/>
          <w:sz w:val="20"/>
          <w:szCs w:val="20"/>
        </w:rPr>
      </w:pPr>
    </w:p>
    <w:p w:rsidR="005E187B" w:rsidRPr="005E187B" w:rsidRDefault="005E187B" w:rsidP="00A814E4">
      <w:pPr>
        <w:autoSpaceDE w:val="0"/>
        <w:autoSpaceDN w:val="0"/>
        <w:adjustRightInd w:val="0"/>
        <w:spacing w:before="60" w:after="60"/>
        <w:jc w:val="both"/>
        <w:rPr>
          <w:rFonts w:eastAsiaTheme="minorHAnsi" w:cs="Arial"/>
          <w:color w:val="000000"/>
          <w:sz w:val="20"/>
          <w:szCs w:val="20"/>
        </w:rPr>
      </w:pPr>
      <w:r w:rsidRPr="005E187B">
        <w:rPr>
          <w:rFonts w:eastAsiaTheme="minorHAnsi" w:cs="Arial"/>
          <w:color w:val="000000"/>
          <w:sz w:val="20"/>
          <w:szCs w:val="20"/>
        </w:rPr>
        <w:t xml:space="preserve">With an increasing number of NHS organisations looking to generate efficiencies and service improvements in Outpatient Pharmacy Dispensing (OPD), NHS London Procurement Partnership (LPP) took the decision to procure a framework agreement for the provision of outpatient pharmacy dispensing services LPP. The framework agreement which was awarded for a four year period from 1st January 2017 encompasses the following services within the provision of OPD: </w:t>
      </w:r>
    </w:p>
    <w:p w:rsidR="005E187B" w:rsidRPr="00BE5B6A" w:rsidRDefault="005E187B" w:rsidP="00304019">
      <w:pPr>
        <w:pStyle w:val="ListParagraph"/>
        <w:numPr>
          <w:ilvl w:val="0"/>
          <w:numId w:val="30"/>
        </w:numPr>
        <w:autoSpaceDE w:val="0"/>
        <w:autoSpaceDN w:val="0"/>
        <w:adjustRightInd w:val="0"/>
        <w:spacing w:before="60" w:after="60"/>
        <w:contextualSpacing w:val="0"/>
        <w:rPr>
          <w:rFonts w:eastAsiaTheme="minorHAnsi" w:cs="Arial"/>
          <w:color w:val="000000"/>
          <w:sz w:val="20"/>
          <w:szCs w:val="20"/>
        </w:rPr>
      </w:pPr>
      <w:r w:rsidRPr="00BE5B6A">
        <w:rPr>
          <w:rFonts w:eastAsiaTheme="minorHAnsi" w:cs="Arial"/>
          <w:bCs/>
          <w:color w:val="000000"/>
          <w:sz w:val="20"/>
          <w:szCs w:val="20"/>
        </w:rPr>
        <w:t xml:space="preserve">Outpatient Pharmacy Dispensing services </w:t>
      </w:r>
    </w:p>
    <w:p w:rsidR="005E187B" w:rsidRPr="00BE5B6A" w:rsidRDefault="005E187B" w:rsidP="00304019">
      <w:pPr>
        <w:pStyle w:val="ListParagraph"/>
        <w:numPr>
          <w:ilvl w:val="0"/>
          <w:numId w:val="30"/>
        </w:numPr>
        <w:autoSpaceDE w:val="0"/>
        <w:autoSpaceDN w:val="0"/>
        <w:adjustRightInd w:val="0"/>
        <w:spacing w:before="60" w:after="60"/>
        <w:contextualSpacing w:val="0"/>
        <w:rPr>
          <w:rFonts w:eastAsiaTheme="minorHAnsi" w:cs="Arial"/>
          <w:color w:val="000000"/>
          <w:sz w:val="20"/>
          <w:szCs w:val="20"/>
        </w:rPr>
      </w:pPr>
      <w:r w:rsidRPr="00BE5B6A">
        <w:rPr>
          <w:rFonts w:eastAsiaTheme="minorHAnsi" w:cs="Arial"/>
          <w:bCs/>
          <w:color w:val="000000"/>
          <w:sz w:val="20"/>
          <w:szCs w:val="20"/>
        </w:rPr>
        <w:t xml:space="preserve">Emergency Department Dispensing services </w:t>
      </w:r>
    </w:p>
    <w:p w:rsidR="005E187B" w:rsidRPr="00BE5B6A" w:rsidRDefault="005E187B" w:rsidP="00304019">
      <w:pPr>
        <w:pStyle w:val="ListParagraph"/>
        <w:numPr>
          <w:ilvl w:val="0"/>
          <w:numId w:val="30"/>
        </w:numPr>
        <w:autoSpaceDE w:val="0"/>
        <w:autoSpaceDN w:val="0"/>
        <w:adjustRightInd w:val="0"/>
        <w:spacing w:before="60" w:after="60"/>
        <w:contextualSpacing w:val="0"/>
        <w:rPr>
          <w:rFonts w:eastAsiaTheme="minorHAnsi" w:cs="Arial"/>
          <w:color w:val="000000"/>
          <w:sz w:val="20"/>
          <w:szCs w:val="20"/>
        </w:rPr>
      </w:pPr>
      <w:r w:rsidRPr="00BE5B6A">
        <w:rPr>
          <w:rFonts w:eastAsiaTheme="minorHAnsi" w:cs="Arial"/>
          <w:bCs/>
          <w:color w:val="000000"/>
          <w:sz w:val="20"/>
          <w:szCs w:val="20"/>
        </w:rPr>
        <w:t xml:space="preserve">Provision of Retail Pharmacy services </w:t>
      </w:r>
    </w:p>
    <w:p w:rsidR="005E187B" w:rsidRPr="00BE5B6A" w:rsidRDefault="005E187B" w:rsidP="00304019">
      <w:pPr>
        <w:pStyle w:val="ListParagraph"/>
        <w:numPr>
          <w:ilvl w:val="0"/>
          <w:numId w:val="30"/>
        </w:numPr>
        <w:autoSpaceDE w:val="0"/>
        <w:autoSpaceDN w:val="0"/>
        <w:adjustRightInd w:val="0"/>
        <w:spacing w:before="60" w:after="60"/>
        <w:contextualSpacing w:val="0"/>
        <w:rPr>
          <w:rFonts w:eastAsiaTheme="minorHAnsi" w:cs="Arial"/>
          <w:color w:val="000000"/>
          <w:sz w:val="20"/>
          <w:szCs w:val="20"/>
        </w:rPr>
      </w:pPr>
      <w:r w:rsidRPr="00BE5B6A">
        <w:rPr>
          <w:rFonts w:eastAsiaTheme="minorHAnsi" w:cs="Arial"/>
          <w:bCs/>
          <w:color w:val="000000"/>
          <w:sz w:val="20"/>
          <w:szCs w:val="20"/>
        </w:rPr>
        <w:t xml:space="preserve">Outpatients Pharmacy Dispensing Home Delivery Service </w:t>
      </w:r>
    </w:p>
    <w:p w:rsidR="005E187B" w:rsidRPr="00BE5B6A" w:rsidRDefault="005E187B" w:rsidP="00304019">
      <w:pPr>
        <w:pStyle w:val="ListParagraph"/>
        <w:numPr>
          <w:ilvl w:val="0"/>
          <w:numId w:val="30"/>
        </w:numPr>
        <w:autoSpaceDE w:val="0"/>
        <w:autoSpaceDN w:val="0"/>
        <w:adjustRightInd w:val="0"/>
        <w:spacing w:before="60" w:after="60"/>
        <w:contextualSpacing w:val="0"/>
        <w:rPr>
          <w:rFonts w:eastAsiaTheme="minorHAnsi" w:cs="Arial"/>
          <w:bCs/>
          <w:color w:val="000000"/>
          <w:sz w:val="20"/>
          <w:szCs w:val="20"/>
        </w:rPr>
      </w:pPr>
      <w:r w:rsidRPr="00BE5B6A">
        <w:rPr>
          <w:rFonts w:eastAsiaTheme="minorHAnsi" w:cs="Arial"/>
          <w:bCs/>
          <w:color w:val="000000"/>
          <w:sz w:val="20"/>
          <w:szCs w:val="20"/>
        </w:rPr>
        <w:t xml:space="preserve">Discharge to take out or take away (TTO/TTA) Medicines Dispensing </w:t>
      </w:r>
    </w:p>
    <w:p w:rsidR="005E187B" w:rsidRDefault="005E187B" w:rsidP="005E187B">
      <w:pPr>
        <w:tabs>
          <w:tab w:val="left" w:pos="2085"/>
        </w:tabs>
        <w:spacing w:before="60" w:after="60"/>
        <w:rPr>
          <w:rFonts w:eastAsiaTheme="minorHAnsi" w:cs="Arial"/>
          <w:color w:val="000000"/>
          <w:sz w:val="20"/>
          <w:szCs w:val="20"/>
        </w:rPr>
      </w:pPr>
    </w:p>
    <w:p w:rsidR="003967A0" w:rsidRDefault="003967A0" w:rsidP="005E187B">
      <w:pPr>
        <w:tabs>
          <w:tab w:val="left" w:pos="2085"/>
        </w:tabs>
        <w:spacing w:before="60" w:after="60"/>
        <w:rPr>
          <w:rFonts w:eastAsiaTheme="minorHAnsi" w:cs="Arial"/>
          <w:color w:val="000000"/>
          <w:sz w:val="20"/>
          <w:szCs w:val="20"/>
        </w:rPr>
      </w:pPr>
    </w:p>
    <w:p w:rsidR="003967A0" w:rsidRPr="005E187B" w:rsidRDefault="003967A0" w:rsidP="005E187B">
      <w:pPr>
        <w:tabs>
          <w:tab w:val="left" w:pos="2085"/>
        </w:tabs>
        <w:spacing w:before="60" w:after="60"/>
        <w:rPr>
          <w:rFonts w:eastAsiaTheme="minorHAnsi" w:cs="Arial"/>
          <w:color w:val="000000"/>
          <w:sz w:val="20"/>
          <w:szCs w:val="20"/>
        </w:rPr>
      </w:pPr>
    </w:p>
    <w:p w:rsidR="005E187B" w:rsidRPr="005E187B" w:rsidRDefault="005E187B" w:rsidP="005E187B">
      <w:pPr>
        <w:tabs>
          <w:tab w:val="left" w:pos="2085"/>
        </w:tabs>
        <w:spacing w:before="60" w:after="60"/>
        <w:rPr>
          <w:rFonts w:eastAsiaTheme="minorHAnsi" w:cs="Arial"/>
          <w:color w:val="000000"/>
          <w:sz w:val="20"/>
          <w:szCs w:val="20"/>
        </w:rPr>
      </w:pPr>
      <w:r w:rsidRPr="005E187B">
        <w:rPr>
          <w:rFonts w:eastAsiaTheme="minorHAnsi" w:cs="Arial"/>
          <w:color w:val="000000"/>
          <w:sz w:val="20"/>
          <w:szCs w:val="20"/>
        </w:rPr>
        <w:t>The suppliers who have been awarded to the framework agreement are as follows:</w:t>
      </w:r>
    </w:p>
    <w:p w:rsidR="005E187B" w:rsidRPr="005E187B" w:rsidRDefault="005E187B" w:rsidP="005E187B">
      <w:pPr>
        <w:numPr>
          <w:ilvl w:val="0"/>
          <w:numId w:val="15"/>
        </w:numPr>
        <w:tabs>
          <w:tab w:val="left" w:pos="2085"/>
        </w:tabs>
        <w:spacing w:before="60" w:after="60"/>
        <w:ind w:left="714" w:hanging="357"/>
        <w:rPr>
          <w:rFonts w:eastAsiaTheme="minorHAnsi" w:cs="Arial"/>
          <w:sz w:val="20"/>
          <w:szCs w:val="20"/>
          <w:lang w:val="en"/>
        </w:rPr>
      </w:pPr>
      <w:r w:rsidRPr="005E187B">
        <w:rPr>
          <w:rFonts w:eastAsiaTheme="minorHAnsi" w:cs="Arial"/>
          <w:sz w:val="20"/>
          <w:szCs w:val="20"/>
          <w:lang w:val="en"/>
        </w:rPr>
        <w:t>Fairview Health Partnerships Ltd</w:t>
      </w:r>
    </w:p>
    <w:p w:rsidR="005E187B" w:rsidRPr="005E187B" w:rsidRDefault="005E187B" w:rsidP="005E187B">
      <w:pPr>
        <w:numPr>
          <w:ilvl w:val="0"/>
          <w:numId w:val="15"/>
        </w:numPr>
        <w:tabs>
          <w:tab w:val="left" w:pos="2085"/>
        </w:tabs>
        <w:spacing w:before="60" w:after="60"/>
        <w:ind w:left="714" w:hanging="357"/>
        <w:rPr>
          <w:rFonts w:eastAsiaTheme="minorHAnsi" w:cs="Arial"/>
          <w:sz w:val="20"/>
          <w:szCs w:val="20"/>
          <w:lang w:val="en"/>
        </w:rPr>
      </w:pPr>
      <w:r w:rsidRPr="005E187B">
        <w:rPr>
          <w:rFonts w:eastAsiaTheme="minorHAnsi" w:cs="Arial"/>
          <w:sz w:val="20"/>
          <w:szCs w:val="20"/>
          <w:lang w:val="en"/>
        </w:rPr>
        <w:t>Lloyds</w:t>
      </w:r>
      <w:r w:rsidR="00BE5B6A">
        <w:rPr>
          <w:rFonts w:eastAsiaTheme="minorHAnsi" w:cs="Arial"/>
          <w:sz w:val="20"/>
          <w:szCs w:val="20"/>
          <w:lang w:val="en"/>
        </w:rPr>
        <w:t xml:space="preserve"> </w:t>
      </w:r>
      <w:r w:rsidRPr="005E187B">
        <w:rPr>
          <w:rFonts w:eastAsiaTheme="minorHAnsi" w:cs="Arial"/>
          <w:sz w:val="20"/>
          <w:szCs w:val="20"/>
          <w:lang w:val="en"/>
        </w:rPr>
        <w:t>Pharmacy</w:t>
      </w:r>
    </w:p>
    <w:p w:rsidR="005E187B" w:rsidRPr="005E187B" w:rsidRDefault="005E187B" w:rsidP="005E187B">
      <w:pPr>
        <w:numPr>
          <w:ilvl w:val="0"/>
          <w:numId w:val="15"/>
        </w:numPr>
        <w:tabs>
          <w:tab w:val="left" w:pos="2085"/>
        </w:tabs>
        <w:spacing w:before="60" w:after="60" w:line="276" w:lineRule="auto"/>
        <w:ind w:left="714" w:hanging="357"/>
        <w:rPr>
          <w:rFonts w:eastAsiaTheme="minorHAnsi" w:cs="Arial"/>
          <w:sz w:val="20"/>
          <w:szCs w:val="20"/>
          <w:lang w:val="en"/>
        </w:rPr>
      </w:pPr>
      <w:r w:rsidRPr="005E187B">
        <w:rPr>
          <w:rFonts w:eastAsiaTheme="minorHAnsi" w:cs="Arial"/>
          <w:sz w:val="20"/>
          <w:szCs w:val="20"/>
          <w:lang w:val="en"/>
        </w:rPr>
        <w:t>Rowlands Pharmacy</w:t>
      </w:r>
    </w:p>
    <w:p w:rsidR="005E187B" w:rsidRDefault="005E187B" w:rsidP="005E187B">
      <w:pPr>
        <w:tabs>
          <w:tab w:val="left" w:pos="2085"/>
        </w:tabs>
        <w:spacing w:before="60" w:after="60"/>
        <w:rPr>
          <w:rFonts w:eastAsiaTheme="minorHAnsi" w:cs="Arial"/>
          <w:sz w:val="22"/>
          <w:szCs w:val="22"/>
          <w:lang w:val="en"/>
        </w:rPr>
      </w:pPr>
    </w:p>
    <w:p w:rsidR="005E187B" w:rsidRPr="005E187B" w:rsidRDefault="005E187B" w:rsidP="00A814E4">
      <w:pPr>
        <w:tabs>
          <w:tab w:val="left" w:pos="2085"/>
        </w:tabs>
        <w:spacing w:before="60" w:after="60"/>
        <w:jc w:val="both"/>
        <w:rPr>
          <w:rFonts w:eastAsiaTheme="minorHAnsi" w:cs="Arial"/>
          <w:sz w:val="20"/>
          <w:szCs w:val="20"/>
          <w:lang w:val="en"/>
        </w:rPr>
      </w:pPr>
      <w:r w:rsidRPr="005E187B">
        <w:rPr>
          <w:rFonts w:eastAsiaTheme="minorHAnsi" w:cs="Arial"/>
          <w:sz w:val="20"/>
          <w:szCs w:val="20"/>
          <w:lang w:val="en"/>
        </w:rPr>
        <w:t>Further information and an access agreement can be found on the LPP website (</w:t>
      </w:r>
      <w:hyperlink r:id="rId20" w:history="1">
        <w:r w:rsidRPr="00BE5B6A">
          <w:rPr>
            <w:rFonts w:eastAsiaTheme="minorHAnsi" w:cs="Arial"/>
            <w:color w:val="0000FF" w:themeColor="hyperlink"/>
            <w:sz w:val="20"/>
            <w:szCs w:val="20"/>
            <w:u w:val="single"/>
            <w:lang w:val="en"/>
          </w:rPr>
          <w:t>http://www.lpp.nhs.uk/categories/medicines-optimisation-pharmacy-procurement/secondary-care/outpatient-pharmacy-dispensing-services-framework-agreement/</w:t>
        </w:r>
      </w:hyperlink>
      <w:r w:rsidRPr="005E187B">
        <w:rPr>
          <w:rFonts w:eastAsiaTheme="minorHAnsi" w:cs="Arial"/>
          <w:sz w:val="20"/>
          <w:szCs w:val="20"/>
          <w:lang w:val="en"/>
        </w:rPr>
        <w:t xml:space="preserve"> ). The award of a trust contract for these services is via a further competition process with provision all the documents required within a further competition toolkit put together by LPP. </w:t>
      </w:r>
    </w:p>
    <w:p w:rsidR="005E187B" w:rsidRPr="005E187B" w:rsidRDefault="005E187B" w:rsidP="005E187B">
      <w:pPr>
        <w:tabs>
          <w:tab w:val="left" w:pos="2085"/>
        </w:tabs>
        <w:spacing w:before="60" w:after="60"/>
        <w:rPr>
          <w:rFonts w:eastAsiaTheme="minorHAnsi" w:cs="Arial"/>
          <w:sz w:val="20"/>
          <w:szCs w:val="20"/>
          <w:lang w:val="en"/>
        </w:rPr>
      </w:pPr>
    </w:p>
    <w:p w:rsidR="005E187B" w:rsidRPr="005E187B" w:rsidRDefault="005E187B" w:rsidP="005E187B">
      <w:pPr>
        <w:tabs>
          <w:tab w:val="left" w:pos="2085"/>
        </w:tabs>
        <w:spacing w:before="60" w:after="60"/>
        <w:rPr>
          <w:rFonts w:eastAsiaTheme="minorHAnsi" w:cs="Arial"/>
          <w:i/>
          <w:sz w:val="22"/>
          <w:szCs w:val="22"/>
        </w:rPr>
      </w:pPr>
      <w:r w:rsidRPr="00FC4B76">
        <w:rPr>
          <w:rFonts w:eastAsiaTheme="minorHAnsi" w:cs="Arial"/>
          <w:sz w:val="20"/>
          <w:szCs w:val="20"/>
        </w:rPr>
        <w:t xml:space="preserve">For further information contact: </w:t>
      </w:r>
      <w:hyperlink r:id="rId21" w:history="1">
        <w:r w:rsidR="00133707" w:rsidRPr="00FC4B76">
          <w:rPr>
            <w:rStyle w:val="Hyperlink"/>
            <w:rFonts w:eastAsiaTheme="minorHAnsi" w:cs="Arial"/>
            <w:color w:val="0033CC"/>
            <w:sz w:val="20"/>
            <w:szCs w:val="20"/>
          </w:rPr>
          <w:t>Jacqueline.eastwood@lpp.nhs.uk</w:t>
        </w:r>
      </w:hyperlink>
      <w:r w:rsidR="00133707" w:rsidRPr="00133707">
        <w:rPr>
          <w:rFonts w:eastAsiaTheme="minorHAnsi" w:cs="Arial"/>
          <w:i/>
          <w:color w:val="0033CC"/>
          <w:sz w:val="20"/>
          <w:szCs w:val="20"/>
        </w:rPr>
        <w:t xml:space="preserve"> </w:t>
      </w:r>
    </w:p>
    <w:p w:rsidR="005E187B" w:rsidRDefault="005E187B" w:rsidP="005E187B">
      <w:pPr>
        <w:tabs>
          <w:tab w:val="left" w:pos="2085"/>
        </w:tabs>
        <w:spacing w:after="200" w:line="276" w:lineRule="auto"/>
        <w:rPr>
          <w:rFonts w:eastAsiaTheme="minorHAnsi" w:cs="Arial"/>
          <w:sz w:val="22"/>
          <w:szCs w:val="22"/>
          <w:u w:val="single"/>
        </w:rPr>
      </w:pPr>
    </w:p>
    <w:p w:rsidR="003967A0" w:rsidRDefault="003967A0" w:rsidP="005E187B">
      <w:pPr>
        <w:tabs>
          <w:tab w:val="left" w:pos="2085"/>
        </w:tabs>
        <w:spacing w:after="200" w:line="276" w:lineRule="auto"/>
        <w:rPr>
          <w:rFonts w:eastAsiaTheme="minorHAnsi" w:cs="Arial"/>
          <w:sz w:val="22"/>
          <w:szCs w:val="22"/>
          <w:u w:val="single"/>
        </w:rPr>
      </w:pPr>
    </w:p>
    <w:p w:rsidR="005E187B" w:rsidRPr="003967A0" w:rsidRDefault="005E187B" w:rsidP="005E187B">
      <w:pPr>
        <w:tabs>
          <w:tab w:val="left" w:pos="2085"/>
        </w:tabs>
        <w:spacing w:before="60" w:after="60"/>
        <w:rPr>
          <w:rFonts w:eastAsiaTheme="minorHAnsi" w:cs="Arial"/>
          <w:b/>
          <w:sz w:val="20"/>
          <w:szCs w:val="20"/>
        </w:rPr>
      </w:pPr>
      <w:r w:rsidRPr="005E187B">
        <w:rPr>
          <w:rFonts w:eastAsiaTheme="minorHAnsi" w:cs="Arial"/>
          <w:b/>
          <w:sz w:val="20"/>
          <w:szCs w:val="20"/>
        </w:rPr>
        <w:t xml:space="preserve">Case study: Set up of </w:t>
      </w:r>
      <w:proofErr w:type="spellStart"/>
      <w:r w:rsidRPr="005E187B">
        <w:rPr>
          <w:rFonts w:eastAsiaTheme="minorHAnsi" w:cs="Arial"/>
          <w:b/>
          <w:sz w:val="20"/>
          <w:szCs w:val="20"/>
        </w:rPr>
        <w:t>Pharm@Sea</w:t>
      </w:r>
      <w:proofErr w:type="spellEnd"/>
      <w:r w:rsidRPr="005E187B">
        <w:rPr>
          <w:rFonts w:eastAsiaTheme="minorHAnsi" w:cs="Arial"/>
          <w:b/>
          <w:sz w:val="20"/>
          <w:szCs w:val="20"/>
        </w:rPr>
        <w:t>, a private limited company and wholly owned subsidiary of Brighton &amp; Sussex Univer</w:t>
      </w:r>
      <w:r w:rsidR="003967A0" w:rsidRPr="003967A0">
        <w:rPr>
          <w:rFonts w:eastAsiaTheme="minorHAnsi" w:cs="Arial"/>
          <w:b/>
          <w:sz w:val="20"/>
          <w:szCs w:val="20"/>
        </w:rPr>
        <w:t>sity Hospitals NHS Trust (BSUH)</w:t>
      </w:r>
    </w:p>
    <w:p w:rsidR="005E187B" w:rsidRPr="005E187B" w:rsidRDefault="005E187B" w:rsidP="005E187B">
      <w:pPr>
        <w:tabs>
          <w:tab w:val="left" w:pos="2085"/>
        </w:tabs>
        <w:spacing w:before="60" w:after="60"/>
        <w:rPr>
          <w:rFonts w:eastAsiaTheme="minorHAnsi" w:cs="Arial"/>
          <w:sz w:val="20"/>
          <w:szCs w:val="20"/>
          <w:u w:val="single"/>
        </w:rPr>
      </w:pPr>
    </w:p>
    <w:p w:rsidR="005E187B" w:rsidRPr="00BE5B6A" w:rsidRDefault="005E187B" w:rsidP="00A814E4">
      <w:pPr>
        <w:tabs>
          <w:tab w:val="left" w:pos="2085"/>
        </w:tabs>
        <w:spacing w:before="60" w:after="60"/>
        <w:jc w:val="both"/>
        <w:rPr>
          <w:rFonts w:eastAsiaTheme="minorHAnsi" w:cs="Arial"/>
          <w:sz w:val="20"/>
          <w:szCs w:val="20"/>
        </w:rPr>
      </w:pPr>
      <w:r w:rsidRPr="005E187B">
        <w:rPr>
          <w:rFonts w:eastAsiaTheme="minorHAnsi" w:cs="Arial"/>
          <w:sz w:val="20"/>
          <w:szCs w:val="20"/>
        </w:rPr>
        <w:t>BSUH set itself a highly ambitious plan in 2013 to transform its pharmacy operations to help drive improvements in patient experience and efficiency. It was recognised that the quality of service could be improved through the separation of inpatient and outpatient pharmacy services, thus ensuring each dispensary team could focus on one core activity. In order to do this, an options appraisal was carried out to explore whether the outpatient service should remain in-house; be outsourced to a third party provider or a new wholly owned subsidiary company be set up to run the service.</w:t>
      </w:r>
    </w:p>
    <w:p w:rsidR="005E187B" w:rsidRPr="005E187B" w:rsidRDefault="005E187B" w:rsidP="005E187B">
      <w:pPr>
        <w:tabs>
          <w:tab w:val="left" w:pos="2085"/>
        </w:tabs>
        <w:spacing w:before="60" w:after="60"/>
        <w:rPr>
          <w:rFonts w:eastAsiaTheme="minorHAnsi" w:cs="Arial"/>
          <w:sz w:val="20"/>
          <w:szCs w:val="20"/>
        </w:rPr>
      </w:pPr>
    </w:p>
    <w:p w:rsidR="005E187B" w:rsidRPr="005E187B" w:rsidRDefault="005E187B" w:rsidP="005E187B">
      <w:pPr>
        <w:tabs>
          <w:tab w:val="left" w:pos="2085"/>
        </w:tabs>
        <w:spacing w:before="60" w:after="60"/>
        <w:rPr>
          <w:rFonts w:eastAsiaTheme="minorHAnsi" w:cs="Arial"/>
          <w:sz w:val="20"/>
          <w:szCs w:val="20"/>
        </w:rPr>
      </w:pPr>
      <w:r w:rsidRPr="005E187B">
        <w:rPr>
          <w:rFonts w:eastAsiaTheme="minorHAnsi" w:cs="Arial"/>
          <w:sz w:val="20"/>
          <w:szCs w:val="20"/>
        </w:rPr>
        <w:t>To decide on the best model for the outpatient pharmacy service, the options appraisal evaluated:</w:t>
      </w:r>
    </w:p>
    <w:p w:rsidR="005E187B" w:rsidRPr="005E187B" w:rsidRDefault="005E187B" w:rsidP="00304019">
      <w:pPr>
        <w:numPr>
          <w:ilvl w:val="0"/>
          <w:numId w:val="29"/>
        </w:numPr>
        <w:tabs>
          <w:tab w:val="left" w:pos="2085"/>
        </w:tabs>
        <w:spacing w:before="60" w:after="60"/>
        <w:rPr>
          <w:rFonts w:eastAsiaTheme="minorHAnsi" w:cs="Arial"/>
          <w:sz w:val="20"/>
          <w:szCs w:val="20"/>
        </w:rPr>
      </w:pPr>
      <w:r w:rsidRPr="005E187B">
        <w:rPr>
          <w:rFonts w:eastAsiaTheme="minorHAnsi" w:cs="Arial"/>
          <w:sz w:val="20"/>
          <w:szCs w:val="20"/>
        </w:rPr>
        <w:t>Patient benefits of each option</w:t>
      </w:r>
    </w:p>
    <w:p w:rsidR="005E187B" w:rsidRPr="005E187B" w:rsidRDefault="005E187B" w:rsidP="00304019">
      <w:pPr>
        <w:numPr>
          <w:ilvl w:val="0"/>
          <w:numId w:val="29"/>
        </w:numPr>
        <w:tabs>
          <w:tab w:val="left" w:pos="2085"/>
        </w:tabs>
        <w:spacing w:before="60" w:after="60"/>
        <w:rPr>
          <w:rFonts w:eastAsiaTheme="minorHAnsi" w:cs="Arial"/>
          <w:sz w:val="20"/>
          <w:szCs w:val="20"/>
        </w:rPr>
      </w:pPr>
      <w:r w:rsidRPr="005E187B">
        <w:rPr>
          <w:rFonts w:eastAsiaTheme="minorHAnsi" w:cs="Arial"/>
          <w:sz w:val="20"/>
          <w:szCs w:val="20"/>
        </w:rPr>
        <w:t>Costs of each option</w:t>
      </w:r>
    </w:p>
    <w:p w:rsidR="005E187B" w:rsidRPr="005E187B" w:rsidRDefault="005E187B" w:rsidP="00304019">
      <w:pPr>
        <w:numPr>
          <w:ilvl w:val="0"/>
          <w:numId w:val="29"/>
        </w:numPr>
        <w:tabs>
          <w:tab w:val="left" w:pos="2085"/>
        </w:tabs>
        <w:spacing w:before="60" w:after="60"/>
        <w:rPr>
          <w:rFonts w:eastAsiaTheme="minorHAnsi" w:cs="Arial"/>
          <w:sz w:val="20"/>
          <w:szCs w:val="20"/>
        </w:rPr>
      </w:pPr>
      <w:r w:rsidRPr="005E187B">
        <w:rPr>
          <w:rFonts w:eastAsiaTheme="minorHAnsi" w:cs="Arial"/>
          <w:sz w:val="20"/>
          <w:szCs w:val="20"/>
        </w:rPr>
        <w:t xml:space="preserve">Which option best fitted BSUH’s strategic objectives </w:t>
      </w:r>
    </w:p>
    <w:p w:rsidR="005E187B" w:rsidRPr="00BE5B6A" w:rsidRDefault="005E187B" w:rsidP="005E187B">
      <w:pPr>
        <w:tabs>
          <w:tab w:val="left" w:pos="2085"/>
        </w:tabs>
        <w:spacing w:before="60" w:after="60"/>
        <w:rPr>
          <w:rFonts w:eastAsiaTheme="minorHAnsi" w:cs="Arial"/>
          <w:sz w:val="20"/>
          <w:szCs w:val="20"/>
        </w:rPr>
      </w:pPr>
    </w:p>
    <w:p w:rsidR="005E187B" w:rsidRPr="005E187B" w:rsidRDefault="005E187B" w:rsidP="00A814E4">
      <w:pPr>
        <w:tabs>
          <w:tab w:val="left" w:pos="2085"/>
        </w:tabs>
        <w:spacing w:before="60" w:after="60"/>
        <w:jc w:val="both"/>
        <w:rPr>
          <w:rFonts w:eastAsiaTheme="minorHAnsi" w:cs="Arial"/>
          <w:sz w:val="20"/>
          <w:szCs w:val="20"/>
        </w:rPr>
      </w:pPr>
      <w:r w:rsidRPr="005E187B">
        <w:rPr>
          <w:rFonts w:eastAsiaTheme="minorHAnsi" w:cs="Arial"/>
          <w:sz w:val="20"/>
          <w:szCs w:val="20"/>
        </w:rPr>
        <w:t>Whilst benefits were seen for all options, the leading option for BSUH was to set up a wholly owned subsidiary company to run its outpatient pharmacy service. There were many reasons for taking this option but a key one was that this model of employing staff from hospital and the community to run the service took the best from the NHS in terms of high quality clinical skills, practices and a deep knowledge base, and combined this with the opportunity to learn from the commercial sector. This joint model was felt to be best placed to focus on outstanding care for the customer, to drive efficiency savings, seek new revenue opportunities, and exploit innovative ideas.</w:t>
      </w:r>
    </w:p>
    <w:p w:rsidR="005E187B" w:rsidRPr="00BE5B6A" w:rsidRDefault="005E187B" w:rsidP="005E187B">
      <w:pPr>
        <w:tabs>
          <w:tab w:val="left" w:pos="2085"/>
        </w:tabs>
        <w:spacing w:before="60" w:after="60"/>
        <w:rPr>
          <w:rFonts w:eastAsiaTheme="minorHAnsi" w:cs="Arial"/>
          <w:sz w:val="20"/>
          <w:szCs w:val="20"/>
        </w:rPr>
      </w:pPr>
    </w:p>
    <w:p w:rsidR="005E187B" w:rsidRPr="005E187B" w:rsidRDefault="005E187B" w:rsidP="00A814E4">
      <w:pPr>
        <w:tabs>
          <w:tab w:val="left" w:pos="2085"/>
        </w:tabs>
        <w:spacing w:before="60" w:after="60"/>
        <w:jc w:val="both"/>
        <w:rPr>
          <w:rFonts w:eastAsiaTheme="minorHAnsi" w:cs="Arial"/>
          <w:sz w:val="20"/>
          <w:szCs w:val="20"/>
        </w:rPr>
      </w:pPr>
      <w:r w:rsidRPr="005E187B">
        <w:rPr>
          <w:rFonts w:eastAsiaTheme="minorHAnsi" w:cs="Arial"/>
          <w:sz w:val="20"/>
          <w:szCs w:val="20"/>
        </w:rPr>
        <w:t xml:space="preserve">There were additional qualitative benefits to the pharmacy department by choosing this option. It allowed training opportunities across hospital and community pharmacy areas and enabled a joint working environment with support for each other. </w:t>
      </w:r>
    </w:p>
    <w:p w:rsidR="005E187B" w:rsidRPr="00BE5B6A" w:rsidRDefault="005E187B" w:rsidP="005E187B">
      <w:pPr>
        <w:tabs>
          <w:tab w:val="left" w:pos="2085"/>
        </w:tabs>
        <w:spacing w:before="60" w:after="60"/>
        <w:rPr>
          <w:rFonts w:eastAsiaTheme="minorHAnsi" w:cs="Arial"/>
          <w:sz w:val="20"/>
          <w:szCs w:val="20"/>
        </w:rPr>
      </w:pPr>
    </w:p>
    <w:p w:rsidR="005E187B" w:rsidRPr="005E187B" w:rsidRDefault="005E187B" w:rsidP="00A814E4">
      <w:pPr>
        <w:tabs>
          <w:tab w:val="left" w:pos="2085"/>
        </w:tabs>
        <w:spacing w:before="60" w:after="60"/>
        <w:jc w:val="both"/>
        <w:rPr>
          <w:rFonts w:eastAsiaTheme="minorHAnsi" w:cs="Arial"/>
          <w:sz w:val="20"/>
          <w:szCs w:val="20"/>
        </w:rPr>
      </w:pPr>
      <w:r w:rsidRPr="005E187B">
        <w:rPr>
          <w:rFonts w:eastAsiaTheme="minorHAnsi" w:cs="Arial"/>
          <w:sz w:val="20"/>
          <w:szCs w:val="20"/>
        </w:rPr>
        <w:t xml:space="preserve">The wholly Trust owned subsidiary company (called </w:t>
      </w:r>
      <w:proofErr w:type="spellStart"/>
      <w:r w:rsidRPr="005E187B">
        <w:rPr>
          <w:rFonts w:eastAsiaTheme="minorHAnsi" w:cs="Arial"/>
          <w:sz w:val="20"/>
          <w:szCs w:val="20"/>
        </w:rPr>
        <w:t>Pharm@Sea</w:t>
      </w:r>
      <w:proofErr w:type="spellEnd"/>
      <w:r w:rsidRPr="005E187B">
        <w:rPr>
          <w:rFonts w:eastAsiaTheme="minorHAnsi" w:cs="Arial"/>
          <w:sz w:val="20"/>
          <w:szCs w:val="20"/>
        </w:rPr>
        <w:t>©) also allowed the Trust  to gain experience of developing a new business with a dedicated Board of Directors that would oversee the running and development of the business to provide services in addition to dispensing (e.g. Homecare, flu vaccinations, clinics).</w:t>
      </w:r>
    </w:p>
    <w:p w:rsidR="005E187B" w:rsidRDefault="005E187B" w:rsidP="005E187B">
      <w:pPr>
        <w:tabs>
          <w:tab w:val="left" w:pos="2085"/>
        </w:tabs>
        <w:spacing w:before="60" w:after="60"/>
        <w:rPr>
          <w:rFonts w:eastAsiaTheme="minorHAnsi" w:cs="Arial"/>
          <w:sz w:val="22"/>
          <w:szCs w:val="22"/>
        </w:rPr>
      </w:pPr>
    </w:p>
    <w:p w:rsidR="00D56518" w:rsidRPr="005E187B" w:rsidRDefault="005E187B" w:rsidP="00415A56">
      <w:pPr>
        <w:tabs>
          <w:tab w:val="left" w:pos="2085"/>
        </w:tabs>
        <w:spacing w:before="60" w:after="60"/>
        <w:rPr>
          <w:rFonts w:eastAsiaTheme="minorHAnsi" w:cs="Arial"/>
          <w:sz w:val="20"/>
          <w:szCs w:val="20"/>
        </w:rPr>
      </w:pPr>
      <w:r w:rsidRPr="005E187B">
        <w:rPr>
          <w:rFonts w:eastAsiaTheme="minorHAnsi" w:cs="Arial"/>
          <w:sz w:val="20"/>
          <w:szCs w:val="20"/>
        </w:rPr>
        <w:t>A number of patient benefits have been realised with this model:</w:t>
      </w:r>
    </w:p>
    <w:p w:rsidR="005E187B" w:rsidRPr="005E187B" w:rsidRDefault="005E187B" w:rsidP="00415A56">
      <w:pPr>
        <w:numPr>
          <w:ilvl w:val="0"/>
          <w:numId w:val="16"/>
        </w:numPr>
        <w:tabs>
          <w:tab w:val="left" w:pos="2085"/>
        </w:tabs>
        <w:spacing w:before="60" w:after="60"/>
        <w:rPr>
          <w:rFonts w:eastAsiaTheme="minorHAnsi" w:cs="Arial"/>
          <w:sz w:val="20"/>
          <w:szCs w:val="20"/>
        </w:rPr>
      </w:pPr>
      <w:r w:rsidRPr="005E187B">
        <w:rPr>
          <w:rFonts w:eastAsiaTheme="minorHAnsi" w:cs="Arial"/>
          <w:sz w:val="20"/>
          <w:szCs w:val="20"/>
        </w:rPr>
        <w:t xml:space="preserve">9 minute average turnaround times for prescriptions, reduced from an average of 40 minutes before the establishment of </w:t>
      </w:r>
      <w:proofErr w:type="spellStart"/>
      <w:r w:rsidRPr="005E187B">
        <w:rPr>
          <w:rFonts w:eastAsiaTheme="minorHAnsi" w:cs="Arial"/>
          <w:sz w:val="20"/>
          <w:szCs w:val="20"/>
        </w:rPr>
        <w:t>Pharm@Sea</w:t>
      </w:r>
      <w:proofErr w:type="spellEnd"/>
      <w:r w:rsidRPr="005E187B">
        <w:rPr>
          <w:rFonts w:eastAsiaTheme="minorHAnsi" w:cs="Arial"/>
          <w:sz w:val="20"/>
          <w:szCs w:val="20"/>
        </w:rPr>
        <w:t xml:space="preserve"> </w:t>
      </w:r>
    </w:p>
    <w:p w:rsidR="005E187B" w:rsidRPr="005E187B" w:rsidRDefault="005E187B" w:rsidP="00415A56">
      <w:pPr>
        <w:numPr>
          <w:ilvl w:val="0"/>
          <w:numId w:val="16"/>
        </w:numPr>
        <w:tabs>
          <w:tab w:val="left" w:pos="2085"/>
        </w:tabs>
        <w:spacing w:before="60" w:after="60"/>
        <w:rPr>
          <w:rFonts w:eastAsiaTheme="minorHAnsi" w:cs="Arial"/>
          <w:sz w:val="20"/>
          <w:szCs w:val="20"/>
        </w:rPr>
      </w:pPr>
      <w:r w:rsidRPr="005E187B">
        <w:rPr>
          <w:rFonts w:eastAsiaTheme="minorHAnsi" w:cs="Arial"/>
          <w:sz w:val="20"/>
          <w:szCs w:val="20"/>
        </w:rPr>
        <w:t>Over 90% of all outpatient prescriptions are dispensed and returned to the patient within 15 minutes</w:t>
      </w:r>
    </w:p>
    <w:p w:rsidR="005E187B" w:rsidRPr="005E187B" w:rsidRDefault="005E187B" w:rsidP="00415A56">
      <w:pPr>
        <w:numPr>
          <w:ilvl w:val="0"/>
          <w:numId w:val="16"/>
        </w:numPr>
        <w:tabs>
          <w:tab w:val="left" w:pos="2085"/>
        </w:tabs>
        <w:spacing w:before="60" w:after="60"/>
        <w:rPr>
          <w:rFonts w:eastAsiaTheme="minorHAnsi" w:cs="Arial"/>
          <w:sz w:val="20"/>
          <w:szCs w:val="20"/>
        </w:rPr>
      </w:pPr>
      <w:r w:rsidRPr="005E187B">
        <w:rPr>
          <w:rFonts w:eastAsiaTheme="minorHAnsi" w:cs="Arial"/>
          <w:sz w:val="20"/>
          <w:szCs w:val="20"/>
        </w:rPr>
        <w:t>93% of service users rate the pharmacy as ‘excellent’ or ‘very good’ overall</w:t>
      </w:r>
    </w:p>
    <w:p w:rsidR="005E187B" w:rsidRPr="005E187B" w:rsidRDefault="005E187B" w:rsidP="00415A56">
      <w:pPr>
        <w:numPr>
          <w:ilvl w:val="0"/>
          <w:numId w:val="16"/>
        </w:numPr>
        <w:tabs>
          <w:tab w:val="left" w:pos="2085"/>
        </w:tabs>
        <w:spacing w:before="60" w:after="60"/>
        <w:rPr>
          <w:rFonts w:eastAsiaTheme="minorHAnsi" w:cs="Arial"/>
          <w:sz w:val="20"/>
          <w:szCs w:val="20"/>
        </w:rPr>
      </w:pPr>
      <w:r w:rsidRPr="005E187B">
        <w:rPr>
          <w:rFonts w:eastAsiaTheme="minorHAnsi" w:cs="Arial"/>
          <w:sz w:val="20"/>
          <w:szCs w:val="20"/>
        </w:rPr>
        <w:t>Further value is also added to our patients, provided through ancillary services such as providing flu vaccines, Pertussis vaccines and a smoking cessation service</w:t>
      </w:r>
    </w:p>
    <w:p w:rsidR="00D56518" w:rsidRPr="00BE5B6A" w:rsidRDefault="00D56518" w:rsidP="00415A56">
      <w:pPr>
        <w:tabs>
          <w:tab w:val="left" w:pos="2085"/>
        </w:tabs>
        <w:spacing w:before="60" w:after="60"/>
        <w:rPr>
          <w:rFonts w:eastAsiaTheme="minorHAnsi" w:cs="Arial"/>
          <w:sz w:val="20"/>
          <w:szCs w:val="20"/>
        </w:rPr>
      </w:pPr>
    </w:p>
    <w:p w:rsidR="00D56518" w:rsidRPr="005E187B" w:rsidRDefault="005E187B" w:rsidP="00415A56">
      <w:pPr>
        <w:tabs>
          <w:tab w:val="left" w:pos="2085"/>
        </w:tabs>
        <w:spacing w:before="60" w:after="60"/>
        <w:rPr>
          <w:rFonts w:eastAsiaTheme="minorHAnsi" w:cs="Arial"/>
          <w:sz w:val="20"/>
          <w:szCs w:val="20"/>
        </w:rPr>
      </w:pPr>
      <w:r w:rsidRPr="005E187B">
        <w:rPr>
          <w:rFonts w:eastAsiaTheme="minorHAnsi" w:cs="Arial"/>
          <w:sz w:val="20"/>
          <w:szCs w:val="20"/>
        </w:rPr>
        <w:t>Benefits to the Trust can also be demonstrated:</w:t>
      </w:r>
    </w:p>
    <w:p w:rsidR="005E187B" w:rsidRPr="005E187B" w:rsidRDefault="005E187B" w:rsidP="00415A56">
      <w:pPr>
        <w:numPr>
          <w:ilvl w:val="0"/>
          <w:numId w:val="17"/>
        </w:numPr>
        <w:tabs>
          <w:tab w:val="left" w:pos="2085"/>
        </w:tabs>
        <w:spacing w:before="60" w:after="60"/>
        <w:rPr>
          <w:rFonts w:eastAsiaTheme="minorHAnsi" w:cs="Arial"/>
          <w:sz w:val="20"/>
          <w:szCs w:val="20"/>
        </w:rPr>
      </w:pPr>
      <w:r w:rsidRPr="005E187B">
        <w:rPr>
          <w:rFonts w:eastAsiaTheme="minorHAnsi" w:cs="Arial"/>
          <w:sz w:val="20"/>
          <w:szCs w:val="20"/>
        </w:rPr>
        <w:t>Quality improvements:</w:t>
      </w:r>
    </w:p>
    <w:p w:rsidR="005E187B" w:rsidRPr="005E187B" w:rsidRDefault="005E187B" w:rsidP="00415A56">
      <w:pPr>
        <w:numPr>
          <w:ilvl w:val="1"/>
          <w:numId w:val="17"/>
        </w:numPr>
        <w:tabs>
          <w:tab w:val="left" w:pos="2085"/>
        </w:tabs>
        <w:spacing w:before="60" w:after="60"/>
        <w:rPr>
          <w:rFonts w:eastAsiaTheme="minorHAnsi" w:cs="Arial"/>
          <w:sz w:val="20"/>
          <w:szCs w:val="20"/>
        </w:rPr>
      </w:pPr>
      <w:r w:rsidRPr="005E187B">
        <w:rPr>
          <w:rFonts w:eastAsiaTheme="minorHAnsi" w:cs="Arial"/>
          <w:sz w:val="20"/>
          <w:szCs w:val="20"/>
        </w:rPr>
        <w:t>Turnaround times for discharge medicines (TTO’s) halved from an average of 2 hours to 59 minutes</w:t>
      </w:r>
    </w:p>
    <w:p w:rsidR="005E187B" w:rsidRPr="005E187B" w:rsidRDefault="005E187B" w:rsidP="00415A56">
      <w:pPr>
        <w:numPr>
          <w:ilvl w:val="1"/>
          <w:numId w:val="17"/>
        </w:numPr>
        <w:tabs>
          <w:tab w:val="left" w:pos="2085"/>
        </w:tabs>
        <w:spacing w:before="60" w:after="60"/>
        <w:rPr>
          <w:rFonts w:eastAsiaTheme="minorHAnsi" w:cs="Arial"/>
          <w:sz w:val="20"/>
          <w:szCs w:val="20"/>
        </w:rPr>
      </w:pPr>
      <w:r w:rsidRPr="005E187B">
        <w:rPr>
          <w:rFonts w:eastAsiaTheme="minorHAnsi" w:cs="Arial"/>
          <w:sz w:val="20"/>
          <w:szCs w:val="20"/>
        </w:rPr>
        <w:t xml:space="preserve">Supporting improvements in patient flow, e.g. Paediatric Day Case dispensing by </w:t>
      </w:r>
      <w:proofErr w:type="spellStart"/>
      <w:r w:rsidRPr="005E187B">
        <w:rPr>
          <w:rFonts w:eastAsiaTheme="minorHAnsi" w:cs="Arial"/>
          <w:sz w:val="20"/>
          <w:szCs w:val="20"/>
        </w:rPr>
        <w:t>Pharm@Sea</w:t>
      </w:r>
      <w:proofErr w:type="spellEnd"/>
      <w:r w:rsidRPr="005E187B">
        <w:rPr>
          <w:rFonts w:eastAsiaTheme="minorHAnsi" w:cs="Arial"/>
          <w:sz w:val="20"/>
          <w:szCs w:val="20"/>
        </w:rPr>
        <w:t>, where improved dispensing efficiency means 25% more patients are seen per month</w:t>
      </w:r>
    </w:p>
    <w:p w:rsidR="005E187B" w:rsidRPr="005E187B" w:rsidRDefault="005E187B" w:rsidP="00415A56">
      <w:pPr>
        <w:numPr>
          <w:ilvl w:val="0"/>
          <w:numId w:val="17"/>
        </w:numPr>
        <w:tabs>
          <w:tab w:val="left" w:pos="2085"/>
        </w:tabs>
        <w:spacing w:before="60" w:after="60"/>
        <w:rPr>
          <w:rFonts w:eastAsiaTheme="minorHAnsi" w:cs="Arial"/>
          <w:sz w:val="20"/>
          <w:szCs w:val="20"/>
        </w:rPr>
      </w:pPr>
      <w:r w:rsidRPr="005E187B">
        <w:rPr>
          <w:rFonts w:eastAsiaTheme="minorHAnsi" w:cs="Arial"/>
          <w:sz w:val="20"/>
          <w:szCs w:val="20"/>
        </w:rPr>
        <w:t>Financial benefits:</w:t>
      </w:r>
    </w:p>
    <w:p w:rsidR="005E187B" w:rsidRPr="005E187B" w:rsidRDefault="005E187B" w:rsidP="00415A56">
      <w:pPr>
        <w:numPr>
          <w:ilvl w:val="1"/>
          <w:numId w:val="17"/>
        </w:numPr>
        <w:tabs>
          <w:tab w:val="left" w:pos="2085"/>
        </w:tabs>
        <w:spacing w:before="60" w:after="60"/>
        <w:rPr>
          <w:rFonts w:eastAsiaTheme="minorHAnsi" w:cs="Arial"/>
          <w:sz w:val="20"/>
          <w:szCs w:val="20"/>
        </w:rPr>
      </w:pPr>
      <w:r w:rsidRPr="005E187B">
        <w:rPr>
          <w:rFonts w:eastAsiaTheme="minorHAnsi" w:cs="Arial"/>
          <w:sz w:val="20"/>
          <w:szCs w:val="20"/>
        </w:rPr>
        <w:t>Charitable donation or dividend distribution is provided to the Trust at the end of each financial year</w:t>
      </w:r>
    </w:p>
    <w:p w:rsidR="005E187B" w:rsidRPr="005E187B" w:rsidRDefault="005E187B" w:rsidP="00415A56">
      <w:pPr>
        <w:numPr>
          <w:ilvl w:val="0"/>
          <w:numId w:val="17"/>
        </w:numPr>
        <w:tabs>
          <w:tab w:val="left" w:pos="2085"/>
        </w:tabs>
        <w:spacing w:before="60" w:after="60"/>
        <w:rPr>
          <w:rFonts w:eastAsiaTheme="minorHAnsi" w:cs="Arial"/>
          <w:sz w:val="20"/>
          <w:szCs w:val="20"/>
        </w:rPr>
      </w:pPr>
      <w:r w:rsidRPr="005E187B">
        <w:rPr>
          <w:rFonts w:eastAsiaTheme="minorHAnsi" w:cs="Arial"/>
          <w:sz w:val="20"/>
          <w:szCs w:val="20"/>
        </w:rPr>
        <w:t>Capacity benefits:</w:t>
      </w:r>
    </w:p>
    <w:p w:rsidR="005E187B" w:rsidRPr="005E187B" w:rsidRDefault="007C043F" w:rsidP="00415A56">
      <w:pPr>
        <w:numPr>
          <w:ilvl w:val="1"/>
          <w:numId w:val="17"/>
        </w:numPr>
        <w:tabs>
          <w:tab w:val="left" w:pos="2085"/>
        </w:tabs>
        <w:spacing w:before="60" w:after="60"/>
        <w:rPr>
          <w:rFonts w:eastAsiaTheme="minorHAnsi" w:cs="Arial"/>
          <w:sz w:val="20"/>
          <w:szCs w:val="20"/>
        </w:rPr>
      </w:pPr>
      <w:r>
        <w:rPr>
          <w:rFonts w:eastAsiaTheme="minorHAnsi" w:cs="Arial"/>
          <w:sz w:val="20"/>
          <w:szCs w:val="20"/>
        </w:rPr>
        <w:t>I</w:t>
      </w:r>
      <w:r w:rsidR="005E187B" w:rsidRPr="005E187B">
        <w:rPr>
          <w:rFonts w:eastAsiaTheme="minorHAnsi" w:cs="Arial"/>
          <w:sz w:val="20"/>
          <w:szCs w:val="20"/>
        </w:rPr>
        <w:t>ncreased ward presence of clinical pharmacy staff, and rollout of 7-day pharmacy service</w:t>
      </w:r>
    </w:p>
    <w:p w:rsidR="00D56518" w:rsidRPr="00BE5B6A" w:rsidRDefault="00D56518" w:rsidP="00415A56">
      <w:pPr>
        <w:tabs>
          <w:tab w:val="left" w:pos="2085"/>
        </w:tabs>
        <w:spacing w:before="60" w:after="60"/>
        <w:rPr>
          <w:rFonts w:eastAsiaTheme="minorHAnsi" w:cs="Arial"/>
          <w:i/>
          <w:sz w:val="20"/>
          <w:szCs w:val="20"/>
        </w:rPr>
      </w:pPr>
    </w:p>
    <w:p w:rsidR="005E187B" w:rsidRPr="005E187B" w:rsidRDefault="005E187B" w:rsidP="00415A56">
      <w:pPr>
        <w:tabs>
          <w:tab w:val="left" w:pos="2085"/>
        </w:tabs>
        <w:spacing w:before="60" w:after="60"/>
        <w:rPr>
          <w:rFonts w:eastAsiaTheme="minorHAnsi" w:cs="Arial"/>
          <w:i/>
          <w:sz w:val="20"/>
          <w:szCs w:val="20"/>
        </w:rPr>
      </w:pPr>
      <w:r w:rsidRPr="00FC4B76">
        <w:rPr>
          <w:rFonts w:eastAsiaTheme="minorHAnsi" w:cs="Arial"/>
          <w:sz w:val="20"/>
          <w:szCs w:val="20"/>
        </w:rPr>
        <w:t>For further information contact:</w:t>
      </w:r>
      <w:r w:rsidRPr="005E187B">
        <w:rPr>
          <w:rFonts w:eastAsiaTheme="minorHAnsi" w:cs="Arial"/>
          <w:i/>
          <w:sz w:val="20"/>
          <w:szCs w:val="20"/>
        </w:rPr>
        <w:t xml:space="preserve"> </w:t>
      </w:r>
      <w:hyperlink r:id="rId22" w:history="1">
        <w:r w:rsidR="00BE5B6A" w:rsidRPr="00FC4B76">
          <w:rPr>
            <w:rStyle w:val="Hyperlink"/>
            <w:rFonts w:eastAsiaTheme="minorHAnsi" w:cs="Arial"/>
            <w:color w:val="0033CC"/>
            <w:sz w:val="20"/>
            <w:szCs w:val="20"/>
          </w:rPr>
          <w:t>Jatinder.Harchowal@rmh.nhs.uk</w:t>
        </w:r>
      </w:hyperlink>
      <w:r w:rsidR="00BE5B6A" w:rsidRPr="00BE5B6A">
        <w:rPr>
          <w:rFonts w:eastAsiaTheme="minorHAnsi" w:cs="Arial"/>
          <w:i/>
          <w:color w:val="0033CC"/>
          <w:sz w:val="20"/>
          <w:szCs w:val="20"/>
        </w:rPr>
        <w:t xml:space="preserve"> </w:t>
      </w:r>
    </w:p>
    <w:p w:rsidR="00D56518" w:rsidRDefault="00D56518" w:rsidP="00D56518">
      <w:pPr>
        <w:spacing w:before="60" w:after="60"/>
        <w:rPr>
          <w:rFonts w:eastAsiaTheme="minorHAnsi" w:cs="Arial"/>
          <w:sz w:val="22"/>
          <w:szCs w:val="22"/>
          <w:u w:val="single"/>
        </w:rPr>
      </w:pPr>
    </w:p>
    <w:p w:rsidR="00D56518" w:rsidRDefault="00D56518" w:rsidP="00D56518">
      <w:pPr>
        <w:spacing w:before="60" w:after="60"/>
        <w:rPr>
          <w:rFonts w:eastAsiaTheme="minorHAnsi" w:cs="Arial"/>
          <w:sz w:val="22"/>
          <w:szCs w:val="22"/>
          <w:u w:val="single"/>
        </w:rPr>
      </w:pPr>
    </w:p>
    <w:p w:rsidR="00D56518" w:rsidRDefault="00D56518" w:rsidP="00D56518">
      <w:pPr>
        <w:spacing w:before="60" w:after="60"/>
        <w:rPr>
          <w:rFonts w:eastAsiaTheme="minorHAnsi" w:cs="Arial"/>
          <w:sz w:val="22"/>
          <w:szCs w:val="22"/>
          <w:u w:val="single"/>
        </w:rPr>
      </w:pPr>
    </w:p>
    <w:p w:rsidR="007C043F" w:rsidRDefault="007C043F" w:rsidP="00D56518">
      <w:pPr>
        <w:spacing w:before="60" w:after="60"/>
        <w:rPr>
          <w:rFonts w:eastAsiaTheme="minorHAnsi" w:cs="Arial"/>
          <w:sz w:val="22"/>
          <w:szCs w:val="22"/>
          <w:u w:val="single"/>
        </w:rPr>
      </w:pPr>
    </w:p>
    <w:p w:rsidR="007C043F" w:rsidRDefault="007C043F" w:rsidP="00D56518">
      <w:pPr>
        <w:spacing w:before="60" w:after="60"/>
        <w:rPr>
          <w:rFonts w:eastAsiaTheme="minorHAnsi" w:cs="Arial"/>
          <w:sz w:val="22"/>
          <w:szCs w:val="22"/>
          <w:u w:val="single"/>
        </w:rPr>
      </w:pPr>
    </w:p>
    <w:p w:rsidR="005E187B" w:rsidRPr="005A78DD" w:rsidRDefault="005E187B" w:rsidP="00D56518">
      <w:pPr>
        <w:spacing w:before="60" w:after="60"/>
        <w:rPr>
          <w:rFonts w:eastAsiaTheme="minorHAnsi" w:cs="Arial"/>
          <w:b/>
          <w:sz w:val="20"/>
          <w:szCs w:val="20"/>
        </w:rPr>
      </w:pPr>
      <w:r w:rsidRPr="005E187B">
        <w:rPr>
          <w:rFonts w:eastAsiaTheme="minorHAnsi" w:cs="Arial"/>
          <w:b/>
          <w:sz w:val="20"/>
          <w:szCs w:val="20"/>
        </w:rPr>
        <w:lastRenderedPageBreak/>
        <w:t xml:space="preserve">Sheffield Teaching Hospitals NHSFT: Benefits from the establishment </w:t>
      </w:r>
      <w:r w:rsidR="005A78DD" w:rsidRPr="005A78DD">
        <w:rPr>
          <w:rFonts w:eastAsiaTheme="minorHAnsi" w:cs="Arial"/>
          <w:b/>
          <w:sz w:val="20"/>
          <w:szCs w:val="20"/>
        </w:rPr>
        <w:t>of an outsourced OPD model</w:t>
      </w:r>
    </w:p>
    <w:p w:rsidR="005E187B" w:rsidRPr="005E187B" w:rsidRDefault="005E187B" w:rsidP="005A78DD">
      <w:pPr>
        <w:spacing w:before="60" w:after="60"/>
        <w:ind w:left="360"/>
        <w:jc w:val="both"/>
        <w:rPr>
          <w:rFonts w:eastAsiaTheme="minorHAnsi" w:cs="Arial"/>
          <w:sz w:val="20"/>
          <w:szCs w:val="20"/>
        </w:rPr>
      </w:pPr>
      <w:r w:rsidRPr="005E187B">
        <w:rPr>
          <w:rFonts w:eastAsiaTheme="minorHAnsi" w:cs="Arial"/>
          <w:sz w:val="20"/>
          <w:szCs w:val="20"/>
        </w:rPr>
        <w:t>Patient waiting times for OPD prescriptions halved</w:t>
      </w:r>
    </w:p>
    <w:p w:rsidR="00D56518" w:rsidRPr="00FA44FC" w:rsidRDefault="00D56518" w:rsidP="00D56518">
      <w:pPr>
        <w:ind w:left="720"/>
        <w:jc w:val="both"/>
        <w:rPr>
          <w:rFonts w:eastAsiaTheme="minorHAnsi" w:cs="Arial"/>
          <w:sz w:val="16"/>
          <w:szCs w:val="16"/>
        </w:rPr>
      </w:pPr>
    </w:p>
    <w:p w:rsidR="00D56518" w:rsidRPr="00D56518" w:rsidRDefault="00D56518" w:rsidP="00D56518">
      <w:pPr>
        <w:spacing w:after="200" w:line="276" w:lineRule="auto"/>
        <w:jc w:val="center"/>
        <w:rPr>
          <w:rFonts w:asciiTheme="minorHAnsi" w:eastAsiaTheme="minorHAnsi" w:hAnsiTheme="minorHAnsi"/>
          <w:sz w:val="20"/>
          <w:szCs w:val="22"/>
        </w:rPr>
      </w:pPr>
      <w:r w:rsidRPr="00D56518">
        <w:rPr>
          <w:rFonts w:asciiTheme="minorHAnsi" w:eastAsiaTheme="minorHAnsi" w:hAnsiTheme="minorHAnsi"/>
          <w:noProof/>
          <w:sz w:val="18"/>
          <w:szCs w:val="18"/>
          <w:lang w:eastAsia="en-GB"/>
        </w:rPr>
        <w:drawing>
          <wp:inline distT="0" distB="0" distL="0" distR="0" wp14:anchorId="73AAC9E0" wp14:editId="7A0F862A">
            <wp:extent cx="5943600" cy="1958008"/>
            <wp:effectExtent l="0" t="0" r="19050" b="2349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A44FC" w:rsidRPr="00FA44FC" w:rsidRDefault="00D56518" w:rsidP="00FA44FC">
      <w:pPr>
        <w:spacing w:after="200" w:line="276" w:lineRule="auto"/>
        <w:ind w:left="360"/>
        <w:rPr>
          <w:rFonts w:eastAsiaTheme="minorHAnsi" w:cs="Arial"/>
          <w:sz w:val="16"/>
          <w:szCs w:val="16"/>
        </w:rPr>
      </w:pPr>
      <w:r w:rsidRPr="00D56518">
        <w:rPr>
          <w:rFonts w:eastAsiaTheme="minorHAnsi" w:cs="Arial"/>
          <w:sz w:val="20"/>
          <w:szCs w:val="20"/>
        </w:rPr>
        <w:t>High levels of patient satisfaction</w:t>
      </w:r>
    </w:p>
    <w:p w:rsidR="00D56518" w:rsidRPr="00AC5F79" w:rsidRDefault="005A78DD" w:rsidP="00FA44FC">
      <w:pPr>
        <w:spacing w:after="200" w:line="276" w:lineRule="auto"/>
        <w:ind w:left="360"/>
        <w:jc w:val="center"/>
        <w:rPr>
          <w:sz w:val="16"/>
          <w:szCs w:val="16"/>
          <w:vertAlign w:val="subscript"/>
        </w:rPr>
      </w:pPr>
      <w:r w:rsidRPr="00EE42A1">
        <w:rPr>
          <w:noProof/>
          <w:sz w:val="18"/>
          <w:szCs w:val="18"/>
          <w:lang w:eastAsia="en-GB"/>
        </w:rPr>
        <w:drawing>
          <wp:inline distT="0" distB="0" distL="0" distR="0" wp14:anchorId="409AF9C3" wp14:editId="146C751A">
            <wp:extent cx="6003235" cy="2345634"/>
            <wp:effectExtent l="0" t="0" r="17145" b="1714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56518" w:rsidRDefault="00D56518" w:rsidP="00D56518">
      <w:pPr>
        <w:jc w:val="center"/>
        <w:rPr>
          <w:sz w:val="20"/>
        </w:rPr>
      </w:pPr>
    </w:p>
    <w:p w:rsidR="005A78DD" w:rsidRDefault="005A78DD" w:rsidP="005A78DD">
      <w:pPr>
        <w:ind w:left="360"/>
        <w:jc w:val="both"/>
        <w:rPr>
          <w:sz w:val="20"/>
          <w:szCs w:val="20"/>
        </w:rPr>
      </w:pPr>
    </w:p>
    <w:p w:rsidR="00D56518" w:rsidRDefault="00D56518" w:rsidP="005A78DD">
      <w:pPr>
        <w:ind w:left="360"/>
        <w:jc w:val="both"/>
        <w:rPr>
          <w:sz w:val="22"/>
          <w:szCs w:val="22"/>
        </w:rPr>
      </w:pPr>
      <w:r w:rsidRPr="00BE5B6A">
        <w:rPr>
          <w:sz w:val="20"/>
          <w:szCs w:val="20"/>
        </w:rPr>
        <w:t>Redeployment of Trust pharmacy staff from outpatient to inpatient services helped to drive Trust-wide discharge prescription turnaround times down</w:t>
      </w:r>
    </w:p>
    <w:p w:rsidR="00D56518" w:rsidRPr="00D56518" w:rsidRDefault="00D56518" w:rsidP="00D56518">
      <w:pPr>
        <w:ind w:left="360"/>
        <w:jc w:val="both"/>
        <w:rPr>
          <w:sz w:val="22"/>
          <w:szCs w:val="22"/>
        </w:rPr>
      </w:pPr>
    </w:p>
    <w:p w:rsidR="00D56518" w:rsidRPr="00F473FF" w:rsidRDefault="00D56518" w:rsidP="00D56518">
      <w:pPr>
        <w:jc w:val="center"/>
        <w:rPr>
          <w:sz w:val="20"/>
        </w:rPr>
      </w:pPr>
      <w:r>
        <w:rPr>
          <w:noProof/>
          <w:lang w:eastAsia="en-GB"/>
        </w:rPr>
        <w:drawing>
          <wp:inline distT="0" distB="0" distL="0" distR="0" wp14:anchorId="1FD50FF5" wp14:editId="4BD1F59B">
            <wp:extent cx="6315075" cy="2457450"/>
            <wp:effectExtent l="0" t="0" r="9525" b="1905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56518" w:rsidRPr="00AC5F79" w:rsidRDefault="00D56518" w:rsidP="00D56518">
      <w:pPr>
        <w:jc w:val="both"/>
        <w:rPr>
          <w:b/>
          <w:sz w:val="16"/>
          <w:szCs w:val="16"/>
        </w:rPr>
      </w:pPr>
    </w:p>
    <w:p w:rsidR="005A78DD" w:rsidRDefault="005A78DD" w:rsidP="005A78DD">
      <w:pPr>
        <w:spacing w:before="60" w:after="60"/>
        <w:ind w:left="360"/>
        <w:rPr>
          <w:sz w:val="20"/>
          <w:szCs w:val="20"/>
        </w:rPr>
      </w:pPr>
      <w:r>
        <w:rPr>
          <w:sz w:val="20"/>
          <w:szCs w:val="20"/>
        </w:rPr>
        <w:t>Other benefits</w:t>
      </w:r>
      <w:r w:rsidR="004606B0">
        <w:rPr>
          <w:sz w:val="20"/>
          <w:szCs w:val="20"/>
        </w:rPr>
        <w:t>:</w:t>
      </w:r>
    </w:p>
    <w:p w:rsidR="00D56518" w:rsidRPr="00BE5B6A" w:rsidRDefault="00D56518" w:rsidP="00D56518">
      <w:pPr>
        <w:numPr>
          <w:ilvl w:val="0"/>
          <w:numId w:val="19"/>
        </w:numPr>
        <w:spacing w:before="60" w:after="60"/>
        <w:rPr>
          <w:sz w:val="20"/>
          <w:szCs w:val="20"/>
        </w:rPr>
      </w:pPr>
      <w:r w:rsidRPr="00BE5B6A">
        <w:rPr>
          <w:sz w:val="20"/>
          <w:szCs w:val="20"/>
        </w:rPr>
        <w:t>Reduced Trust stockholding of pharmaceuticals</w:t>
      </w:r>
    </w:p>
    <w:p w:rsidR="00D56518" w:rsidRPr="00BE5B6A" w:rsidRDefault="00D56518" w:rsidP="00D56518">
      <w:pPr>
        <w:numPr>
          <w:ilvl w:val="0"/>
          <w:numId w:val="19"/>
        </w:numPr>
        <w:spacing w:before="60" w:after="60"/>
        <w:rPr>
          <w:sz w:val="20"/>
          <w:szCs w:val="20"/>
        </w:rPr>
      </w:pPr>
      <w:r w:rsidRPr="00BE5B6A">
        <w:rPr>
          <w:sz w:val="20"/>
          <w:szCs w:val="20"/>
        </w:rPr>
        <w:t>Lease income to Trust Estates</w:t>
      </w:r>
    </w:p>
    <w:p w:rsidR="00D56518" w:rsidRPr="00BE5B6A" w:rsidRDefault="00D56518" w:rsidP="00D56518">
      <w:pPr>
        <w:numPr>
          <w:ilvl w:val="0"/>
          <w:numId w:val="19"/>
        </w:numPr>
        <w:spacing w:before="60" w:after="60"/>
        <w:rPr>
          <w:sz w:val="20"/>
          <w:szCs w:val="20"/>
        </w:rPr>
      </w:pPr>
      <w:r w:rsidRPr="00BE5B6A">
        <w:rPr>
          <w:sz w:val="20"/>
          <w:szCs w:val="20"/>
        </w:rPr>
        <w:t>Retail sales offering for patients, visitors and staff</w:t>
      </w:r>
    </w:p>
    <w:p w:rsidR="00D56518" w:rsidRPr="00BE5B6A" w:rsidRDefault="00D56518" w:rsidP="00D56518">
      <w:pPr>
        <w:numPr>
          <w:ilvl w:val="0"/>
          <w:numId w:val="19"/>
        </w:numPr>
        <w:spacing w:before="60" w:after="60"/>
        <w:rPr>
          <w:sz w:val="20"/>
          <w:szCs w:val="20"/>
        </w:rPr>
      </w:pPr>
      <w:r w:rsidRPr="00BE5B6A">
        <w:rPr>
          <w:sz w:val="20"/>
          <w:szCs w:val="20"/>
        </w:rPr>
        <w:t>Medicines budget savings (Trust and commissioners)</w:t>
      </w:r>
    </w:p>
    <w:p w:rsidR="005A78DD" w:rsidRDefault="005A78DD" w:rsidP="005A78DD">
      <w:pPr>
        <w:tabs>
          <w:tab w:val="left" w:pos="2085"/>
        </w:tabs>
        <w:spacing w:before="60" w:after="60"/>
        <w:ind w:left="360"/>
        <w:rPr>
          <w:rFonts w:eastAsiaTheme="minorHAnsi" w:cs="Arial"/>
          <w:i/>
          <w:sz w:val="20"/>
          <w:szCs w:val="20"/>
        </w:rPr>
      </w:pPr>
    </w:p>
    <w:p w:rsidR="005A78DD" w:rsidRPr="005A78DD" w:rsidRDefault="0023172D" w:rsidP="005A78DD">
      <w:pPr>
        <w:tabs>
          <w:tab w:val="left" w:pos="2085"/>
        </w:tabs>
        <w:spacing w:before="60" w:after="60"/>
        <w:ind w:left="360"/>
        <w:rPr>
          <w:rFonts w:eastAsiaTheme="minorHAnsi" w:cs="Arial"/>
          <w:i/>
          <w:sz w:val="20"/>
          <w:szCs w:val="20"/>
        </w:rPr>
      </w:pPr>
      <w:r>
        <w:rPr>
          <w:rFonts w:eastAsiaTheme="minorHAnsi" w:cs="Arial"/>
          <w:sz w:val="20"/>
          <w:szCs w:val="20"/>
        </w:rPr>
        <w:t>For further information contact</w:t>
      </w:r>
      <w:r w:rsidR="005A78DD" w:rsidRPr="0023172D">
        <w:rPr>
          <w:rFonts w:eastAsiaTheme="minorHAnsi" w:cs="Arial"/>
          <w:sz w:val="20"/>
          <w:szCs w:val="20"/>
        </w:rPr>
        <w:t>:</w:t>
      </w:r>
      <w:r w:rsidR="005A78DD" w:rsidRPr="005A78DD">
        <w:rPr>
          <w:rFonts w:eastAsiaTheme="minorHAnsi" w:cs="Arial"/>
          <w:sz w:val="20"/>
          <w:szCs w:val="20"/>
        </w:rPr>
        <w:t xml:space="preserve"> </w:t>
      </w:r>
      <w:hyperlink r:id="rId26" w:history="1">
        <w:r w:rsidR="005A78DD" w:rsidRPr="005A78DD">
          <w:rPr>
            <w:rFonts w:eastAsiaTheme="minorHAnsi" w:cs="Arial"/>
            <w:color w:val="0000FF" w:themeColor="hyperlink"/>
            <w:sz w:val="20"/>
            <w:szCs w:val="20"/>
            <w:u w:val="single"/>
          </w:rPr>
          <w:t>damian.child@sth.nhs.uk</w:t>
        </w:r>
      </w:hyperlink>
    </w:p>
    <w:p w:rsidR="00D56518" w:rsidRDefault="00D56518" w:rsidP="00D56518">
      <w:pPr>
        <w:spacing w:before="60" w:after="60"/>
        <w:ind w:left="360"/>
        <w:rPr>
          <w:rFonts w:eastAsiaTheme="minorHAnsi" w:cs="Arial"/>
          <w:sz w:val="22"/>
          <w:szCs w:val="22"/>
        </w:rPr>
      </w:pPr>
    </w:p>
    <w:p w:rsidR="00BE5B6A" w:rsidRDefault="00BE5B6A" w:rsidP="00D56518">
      <w:pPr>
        <w:spacing w:before="60" w:after="60"/>
        <w:ind w:left="360"/>
        <w:rPr>
          <w:rFonts w:eastAsiaTheme="minorHAnsi" w:cs="Arial"/>
          <w:b/>
          <w:sz w:val="20"/>
          <w:szCs w:val="20"/>
        </w:rPr>
      </w:pPr>
    </w:p>
    <w:p w:rsidR="005A78DD" w:rsidRDefault="005A78DD" w:rsidP="00D56518">
      <w:pPr>
        <w:spacing w:before="60" w:after="60"/>
        <w:ind w:left="360"/>
        <w:rPr>
          <w:rFonts w:eastAsiaTheme="minorHAnsi" w:cs="Arial"/>
          <w:b/>
          <w:sz w:val="20"/>
          <w:szCs w:val="20"/>
        </w:rPr>
      </w:pPr>
    </w:p>
    <w:p w:rsidR="005A78DD" w:rsidRDefault="005A78DD" w:rsidP="00D56518">
      <w:pPr>
        <w:spacing w:before="60" w:after="60"/>
        <w:ind w:left="360"/>
        <w:rPr>
          <w:rFonts w:eastAsiaTheme="minorHAnsi" w:cs="Arial"/>
          <w:b/>
          <w:sz w:val="20"/>
          <w:szCs w:val="20"/>
        </w:rPr>
      </w:pPr>
    </w:p>
    <w:p w:rsidR="005A78DD" w:rsidRDefault="005A78DD" w:rsidP="00D56518">
      <w:pPr>
        <w:spacing w:before="60" w:after="60"/>
        <w:ind w:left="360"/>
        <w:rPr>
          <w:rFonts w:eastAsiaTheme="minorHAnsi" w:cs="Arial"/>
          <w:b/>
          <w:sz w:val="20"/>
          <w:szCs w:val="20"/>
        </w:rPr>
      </w:pPr>
    </w:p>
    <w:p w:rsidR="00D56518" w:rsidRPr="00BE5B6A" w:rsidRDefault="00D56518" w:rsidP="00D56518">
      <w:pPr>
        <w:spacing w:before="60" w:after="60"/>
        <w:ind w:left="360"/>
        <w:rPr>
          <w:rFonts w:eastAsiaTheme="minorHAnsi" w:cs="Arial"/>
          <w:b/>
          <w:sz w:val="20"/>
          <w:szCs w:val="20"/>
        </w:rPr>
      </w:pPr>
      <w:r w:rsidRPr="00BE5B6A">
        <w:rPr>
          <w:rFonts w:eastAsiaTheme="minorHAnsi" w:cs="Arial"/>
          <w:b/>
          <w:sz w:val="20"/>
          <w:szCs w:val="20"/>
        </w:rPr>
        <w:t>Hub and Spoke model</w:t>
      </w:r>
      <w:r w:rsidR="004606B0">
        <w:rPr>
          <w:rFonts w:eastAsiaTheme="minorHAnsi" w:cs="Arial"/>
          <w:b/>
          <w:sz w:val="20"/>
          <w:szCs w:val="20"/>
        </w:rPr>
        <w:t>:</w:t>
      </w:r>
    </w:p>
    <w:p w:rsidR="00415A56" w:rsidRPr="00BE5B6A" w:rsidRDefault="00415A56" w:rsidP="00D56518">
      <w:pPr>
        <w:spacing w:before="60" w:after="60"/>
        <w:ind w:left="360"/>
        <w:rPr>
          <w:rFonts w:eastAsiaTheme="minorHAnsi" w:cs="Arial"/>
          <w:b/>
          <w:sz w:val="20"/>
          <w:szCs w:val="20"/>
        </w:rPr>
      </w:pPr>
    </w:p>
    <w:p w:rsidR="00D56518" w:rsidRPr="005A78DD" w:rsidRDefault="00D56518" w:rsidP="00D56518">
      <w:pPr>
        <w:spacing w:before="60" w:after="60"/>
        <w:ind w:left="360"/>
        <w:rPr>
          <w:rFonts w:eastAsiaTheme="minorHAnsi" w:cs="Arial"/>
          <w:b/>
          <w:sz w:val="20"/>
          <w:szCs w:val="20"/>
        </w:rPr>
      </w:pPr>
      <w:r w:rsidRPr="005A78DD">
        <w:rPr>
          <w:rFonts w:eastAsiaTheme="minorHAnsi" w:cs="Arial"/>
          <w:b/>
          <w:sz w:val="20"/>
          <w:szCs w:val="20"/>
        </w:rPr>
        <w:t>Thames Valley and Wessex Hub and Spoke Model</w:t>
      </w:r>
    </w:p>
    <w:p w:rsidR="00415A56" w:rsidRPr="00BE5B6A" w:rsidRDefault="00415A56" w:rsidP="00D56518">
      <w:pPr>
        <w:spacing w:before="60" w:after="60"/>
        <w:ind w:left="360"/>
        <w:rPr>
          <w:rFonts w:eastAsiaTheme="minorHAnsi" w:cs="Arial"/>
          <w:sz w:val="20"/>
          <w:szCs w:val="20"/>
          <w:u w:val="single"/>
        </w:rPr>
      </w:pPr>
    </w:p>
    <w:p w:rsidR="00D56518" w:rsidRPr="00BE5B6A" w:rsidRDefault="00D56518" w:rsidP="00A814E4">
      <w:pPr>
        <w:spacing w:before="60" w:after="60"/>
        <w:ind w:left="357"/>
        <w:jc w:val="both"/>
        <w:rPr>
          <w:rFonts w:eastAsiaTheme="minorHAnsi" w:cs="Arial"/>
          <w:sz w:val="20"/>
          <w:szCs w:val="20"/>
        </w:rPr>
      </w:pPr>
      <w:r w:rsidRPr="00BE5B6A">
        <w:rPr>
          <w:rFonts w:eastAsiaTheme="minorHAnsi" w:cs="Arial"/>
          <w:sz w:val="20"/>
          <w:szCs w:val="20"/>
        </w:rPr>
        <w:t>In Thames Valley and Wessex one specific out patient service is provided by a dedicated community pharmacy company ‘hub’ which is situated adjacent to one of the community pharmacy chain’s stores. The dedicated unit provides the dispensing for one particular patient cohort. The community pharmacy ‘hub’ is permitted access to the hospital only medication at prices equivalent to CMU contract prices. Hospital</w:t>
      </w:r>
      <w:r w:rsidR="007C043F">
        <w:rPr>
          <w:rFonts w:eastAsiaTheme="minorHAnsi" w:cs="Arial"/>
          <w:sz w:val="20"/>
          <w:szCs w:val="20"/>
        </w:rPr>
        <w:t xml:space="preserve"> </w:t>
      </w:r>
      <w:r w:rsidRPr="00BE5B6A">
        <w:rPr>
          <w:rFonts w:eastAsiaTheme="minorHAnsi" w:cs="Arial"/>
          <w:sz w:val="20"/>
          <w:szCs w:val="20"/>
        </w:rPr>
        <w:t>/</w:t>
      </w:r>
      <w:r w:rsidR="007C043F">
        <w:rPr>
          <w:rFonts w:eastAsiaTheme="minorHAnsi" w:cs="Arial"/>
          <w:sz w:val="20"/>
          <w:szCs w:val="20"/>
        </w:rPr>
        <w:t xml:space="preserve"> </w:t>
      </w:r>
      <w:r w:rsidRPr="00BE5B6A">
        <w:rPr>
          <w:rFonts w:eastAsiaTheme="minorHAnsi" w:cs="Arial"/>
          <w:sz w:val="20"/>
          <w:szCs w:val="20"/>
        </w:rPr>
        <w:t>homecare prescriptions are dispensed by this hub and then sealed packages are delivered to each patient’s local branch of the community pharmacy chain for collection. Patients are made aware of when their medication is ready for collection following their outpatient appointment. If patients fail to collect their medicines the clinical teams are alerted. If the packages are not collected within an agreed timeframe, they are returned to the ‘hub’ and provided that there is evidence that the package has remained within the approved supply chain, the Trust is not charged for the medication</w:t>
      </w:r>
      <w:r w:rsidR="00415A56" w:rsidRPr="00BE5B6A">
        <w:rPr>
          <w:rFonts w:eastAsiaTheme="minorHAnsi" w:cs="Arial"/>
          <w:sz w:val="20"/>
          <w:szCs w:val="20"/>
        </w:rPr>
        <w:t>.</w:t>
      </w:r>
    </w:p>
    <w:p w:rsidR="00415A56" w:rsidRPr="00BE5B6A" w:rsidRDefault="00415A56" w:rsidP="00D56518">
      <w:pPr>
        <w:spacing w:before="60" w:after="60"/>
        <w:ind w:left="357"/>
        <w:rPr>
          <w:rFonts w:eastAsiaTheme="minorHAnsi" w:cs="Arial"/>
          <w:sz w:val="20"/>
          <w:szCs w:val="20"/>
        </w:rPr>
      </w:pPr>
    </w:p>
    <w:p w:rsidR="00D56518" w:rsidRPr="00BE5B6A" w:rsidRDefault="00D56518" w:rsidP="00D56518">
      <w:pPr>
        <w:spacing w:before="60" w:after="60"/>
        <w:ind w:left="357"/>
        <w:rPr>
          <w:rFonts w:eastAsiaTheme="minorHAnsi" w:cs="Arial"/>
          <w:color w:val="0033CC"/>
          <w:sz w:val="20"/>
          <w:szCs w:val="20"/>
        </w:rPr>
      </w:pPr>
      <w:r w:rsidRPr="00BE5B6A">
        <w:rPr>
          <w:rFonts w:eastAsiaTheme="minorHAnsi" w:cs="Arial"/>
          <w:sz w:val="20"/>
          <w:szCs w:val="20"/>
        </w:rPr>
        <w:t>For further information contact:</w:t>
      </w:r>
      <w:r w:rsidRPr="007331B3">
        <w:rPr>
          <w:rFonts w:eastAsiaTheme="minorHAnsi" w:cs="Arial"/>
          <w:color w:val="0033CC"/>
          <w:sz w:val="20"/>
          <w:szCs w:val="20"/>
        </w:rPr>
        <w:t xml:space="preserve"> </w:t>
      </w:r>
      <w:hyperlink r:id="rId27" w:history="1">
        <w:r w:rsidR="00415A56" w:rsidRPr="007331B3">
          <w:rPr>
            <w:rStyle w:val="Hyperlink"/>
            <w:rFonts w:eastAsiaTheme="minorHAnsi" w:cs="Arial"/>
            <w:color w:val="0033CC"/>
            <w:sz w:val="20"/>
            <w:szCs w:val="20"/>
          </w:rPr>
          <w:t>susan.gibert@berkshire.nhs.uk</w:t>
        </w:r>
      </w:hyperlink>
    </w:p>
    <w:p w:rsidR="00415A56" w:rsidRPr="00BE5B6A" w:rsidRDefault="00415A56" w:rsidP="00D56518">
      <w:pPr>
        <w:spacing w:before="60" w:after="60"/>
        <w:ind w:left="357"/>
        <w:rPr>
          <w:rFonts w:eastAsiaTheme="minorHAnsi" w:cs="Arial"/>
          <w:sz w:val="20"/>
          <w:szCs w:val="20"/>
        </w:rPr>
      </w:pPr>
    </w:p>
    <w:p w:rsidR="00415A56" w:rsidRDefault="00415A56" w:rsidP="00D56518">
      <w:pPr>
        <w:spacing w:before="60" w:after="60"/>
        <w:ind w:left="357"/>
        <w:rPr>
          <w:rFonts w:eastAsiaTheme="minorHAnsi" w:cs="Arial"/>
          <w:sz w:val="20"/>
          <w:szCs w:val="20"/>
        </w:rPr>
      </w:pPr>
    </w:p>
    <w:p w:rsidR="004606B0" w:rsidRPr="00BE5B6A" w:rsidRDefault="004606B0" w:rsidP="00D56518">
      <w:pPr>
        <w:spacing w:before="60" w:after="60"/>
        <w:ind w:left="357"/>
        <w:rPr>
          <w:rFonts w:eastAsiaTheme="minorHAnsi" w:cs="Arial"/>
          <w:sz w:val="20"/>
          <w:szCs w:val="20"/>
        </w:rPr>
      </w:pPr>
    </w:p>
    <w:p w:rsidR="00D56518" w:rsidRPr="004606B0" w:rsidRDefault="00D56518" w:rsidP="00D56518">
      <w:pPr>
        <w:spacing w:before="60" w:after="60"/>
        <w:ind w:left="357"/>
        <w:rPr>
          <w:rFonts w:eastAsiaTheme="minorHAnsi" w:cs="Arial"/>
          <w:b/>
          <w:sz w:val="20"/>
          <w:szCs w:val="20"/>
        </w:rPr>
      </w:pPr>
      <w:r w:rsidRPr="004606B0">
        <w:rPr>
          <w:rFonts w:eastAsiaTheme="minorHAnsi" w:cs="Arial"/>
          <w:b/>
          <w:sz w:val="20"/>
          <w:szCs w:val="20"/>
        </w:rPr>
        <w:t>Reducing waste where medicines are supplied by an out-patient pharmacy</w:t>
      </w:r>
      <w:r w:rsidR="007331B3">
        <w:rPr>
          <w:rFonts w:eastAsiaTheme="minorHAnsi" w:cs="Arial"/>
          <w:b/>
          <w:sz w:val="20"/>
          <w:szCs w:val="20"/>
        </w:rPr>
        <w:t>:</w:t>
      </w:r>
    </w:p>
    <w:p w:rsidR="005A78DD" w:rsidRPr="005A78DD" w:rsidRDefault="005A78DD" w:rsidP="00D56518">
      <w:pPr>
        <w:spacing w:before="60" w:after="60"/>
        <w:ind w:left="357"/>
        <w:rPr>
          <w:rFonts w:eastAsiaTheme="minorHAnsi" w:cs="Arial"/>
          <w:sz w:val="20"/>
          <w:szCs w:val="20"/>
        </w:rPr>
      </w:pPr>
    </w:p>
    <w:p w:rsidR="00D56518" w:rsidRPr="005A78DD" w:rsidRDefault="00D56518" w:rsidP="00D56518">
      <w:pPr>
        <w:spacing w:before="60" w:after="60"/>
        <w:ind w:left="357"/>
        <w:rPr>
          <w:rFonts w:eastAsiaTheme="minorHAnsi" w:cs="Arial"/>
          <w:b/>
          <w:sz w:val="20"/>
          <w:szCs w:val="20"/>
        </w:rPr>
      </w:pPr>
      <w:r w:rsidRPr="005A78DD">
        <w:rPr>
          <w:rFonts w:eastAsiaTheme="minorHAnsi" w:cs="Arial"/>
          <w:b/>
          <w:sz w:val="20"/>
          <w:szCs w:val="20"/>
        </w:rPr>
        <w:t>A technician led service to manage the sup</w:t>
      </w:r>
      <w:r w:rsidR="005A78DD" w:rsidRPr="005A78DD">
        <w:rPr>
          <w:rFonts w:eastAsiaTheme="minorHAnsi" w:cs="Arial"/>
          <w:b/>
          <w:sz w:val="20"/>
          <w:szCs w:val="20"/>
        </w:rPr>
        <w:t>ply of high-cost oral medicines</w:t>
      </w:r>
    </w:p>
    <w:p w:rsidR="00415A56" w:rsidRPr="00BE5B6A" w:rsidRDefault="00415A56" w:rsidP="00D56518">
      <w:pPr>
        <w:spacing w:before="60" w:after="60"/>
        <w:ind w:left="357"/>
        <w:rPr>
          <w:rFonts w:eastAsiaTheme="minorHAnsi" w:cs="Arial"/>
          <w:sz w:val="20"/>
          <w:szCs w:val="20"/>
          <w:u w:val="single"/>
        </w:rPr>
      </w:pPr>
    </w:p>
    <w:p w:rsidR="00D56518" w:rsidRPr="00BE5B6A" w:rsidRDefault="00D56518" w:rsidP="00A814E4">
      <w:pPr>
        <w:spacing w:before="60" w:after="60"/>
        <w:ind w:left="357"/>
        <w:jc w:val="both"/>
        <w:rPr>
          <w:rFonts w:eastAsiaTheme="minorHAnsi" w:cs="Arial"/>
          <w:sz w:val="20"/>
          <w:szCs w:val="20"/>
        </w:rPr>
      </w:pPr>
      <w:r w:rsidRPr="00BE5B6A">
        <w:rPr>
          <w:rFonts w:eastAsiaTheme="minorHAnsi" w:cs="Arial"/>
          <w:sz w:val="20"/>
          <w:szCs w:val="20"/>
        </w:rPr>
        <w:t>In 2014 The Christie NHS Foundation Trust realised that there was potential for there to be significant wastage of high cost oral cancer medicines. Over the preceding years the management of cancer had changed and in a number of tumour sites, treatment practice had changed and there was a greater usage of high cost oral therapies, with treatment continuing until disease progression. In particular the Trust was treating large numbers of patients with renal cell carcinoma and metastatic prostate cancer with novel oral agents. Monthly treatment costs were in excess of £1500. Often these patients were given 3 month prescriptions when seen in clinic, as they were judged to be relatively stable, and did not warrant closer follow-up. However if between appointments their condition changed, or disease progressed, then treatment would be stopped, resulting in significant wastage of the medicines. To address this situation the Trust introduced a technician led follow-up service whereby patients were only ever given one month’s supply of the high cost oral medicine. Every 3 weeks patients are contacted by a technician – and on confirming that the patient is still on their medicine they will initiate a further supply. This service means that patients will never have more than one month’s supply of their medicines, and in the 3 years the service has been operational over £1m has been saved through the tight control of out-patient medicine supply.</w:t>
      </w:r>
    </w:p>
    <w:p w:rsidR="00415A56" w:rsidRPr="00BE5B6A" w:rsidRDefault="00415A56" w:rsidP="00D56518">
      <w:pPr>
        <w:spacing w:before="60" w:after="60"/>
        <w:ind w:left="357"/>
        <w:rPr>
          <w:rFonts w:eastAsiaTheme="minorHAnsi" w:cs="Arial"/>
          <w:sz w:val="20"/>
          <w:szCs w:val="20"/>
        </w:rPr>
      </w:pPr>
    </w:p>
    <w:p w:rsidR="00415A56" w:rsidRPr="00BE5B6A" w:rsidRDefault="00D56518" w:rsidP="00D56518">
      <w:pPr>
        <w:spacing w:before="60" w:after="60"/>
        <w:ind w:left="357"/>
        <w:rPr>
          <w:rFonts w:eastAsiaTheme="minorHAnsi" w:cs="Arial"/>
          <w:sz w:val="20"/>
          <w:szCs w:val="20"/>
        </w:rPr>
      </w:pPr>
      <w:r w:rsidRPr="00BE5B6A">
        <w:rPr>
          <w:rFonts w:eastAsiaTheme="minorHAnsi" w:cs="Arial"/>
          <w:sz w:val="20"/>
          <w:szCs w:val="20"/>
        </w:rPr>
        <w:t xml:space="preserve">For further information contact: </w:t>
      </w:r>
      <w:hyperlink r:id="rId28" w:history="1">
        <w:r w:rsidRPr="00BE5B6A">
          <w:rPr>
            <w:rStyle w:val="Hyperlink"/>
            <w:rFonts w:eastAsiaTheme="minorHAnsi" w:cs="Arial"/>
            <w:color w:val="0033CC"/>
            <w:sz w:val="20"/>
            <w:szCs w:val="20"/>
          </w:rPr>
          <w:t>Robert.duncombe@christie.nhs.uk</w:t>
        </w:r>
      </w:hyperlink>
      <w:r w:rsidR="00341CCB">
        <w:rPr>
          <w:rFonts w:eastAsiaTheme="minorHAnsi" w:cs="Arial"/>
          <w:sz w:val="20"/>
          <w:szCs w:val="20"/>
        </w:rPr>
        <w:t>,</w:t>
      </w:r>
      <w:r w:rsidRPr="00BE5B6A">
        <w:rPr>
          <w:rFonts w:eastAsiaTheme="minorHAnsi" w:cs="Arial"/>
          <w:sz w:val="20"/>
          <w:szCs w:val="20"/>
        </w:rPr>
        <w:t xml:space="preserve"> </w:t>
      </w:r>
      <w:hyperlink r:id="rId29" w:history="1">
        <w:r w:rsidRPr="00BE5B6A">
          <w:rPr>
            <w:rStyle w:val="Hyperlink"/>
            <w:rFonts w:eastAsiaTheme="minorHAnsi" w:cs="Arial"/>
            <w:color w:val="0033CC"/>
            <w:sz w:val="20"/>
            <w:szCs w:val="20"/>
          </w:rPr>
          <w:t>Natasha.scarry@christie.nhs.uk</w:t>
        </w:r>
      </w:hyperlink>
      <w:r w:rsidRPr="00BE5B6A">
        <w:rPr>
          <w:rFonts w:eastAsiaTheme="minorHAnsi" w:cs="Arial"/>
          <w:sz w:val="20"/>
          <w:szCs w:val="20"/>
        </w:rPr>
        <w:t xml:space="preserve"> </w:t>
      </w:r>
    </w:p>
    <w:p w:rsidR="00D56518" w:rsidRPr="00BE5B6A" w:rsidRDefault="00D56518" w:rsidP="00D56518">
      <w:pPr>
        <w:spacing w:before="60" w:after="60"/>
        <w:ind w:left="357"/>
        <w:rPr>
          <w:rFonts w:eastAsiaTheme="minorHAnsi" w:cs="Arial"/>
          <w:sz w:val="20"/>
          <w:szCs w:val="20"/>
        </w:rPr>
      </w:pPr>
      <w:r w:rsidRPr="00BE5B6A">
        <w:rPr>
          <w:rFonts w:eastAsiaTheme="minorHAnsi" w:cs="Arial"/>
          <w:sz w:val="20"/>
          <w:szCs w:val="20"/>
        </w:rPr>
        <w:lastRenderedPageBreak/>
        <w:tab/>
      </w:r>
    </w:p>
    <w:p w:rsidR="00D56518" w:rsidRPr="00BE5B6A" w:rsidRDefault="00D56518" w:rsidP="00D56518">
      <w:pPr>
        <w:spacing w:before="60" w:after="60"/>
        <w:ind w:left="357"/>
        <w:rPr>
          <w:rFonts w:eastAsiaTheme="minorHAnsi" w:cs="Arial"/>
          <w:b/>
          <w:sz w:val="20"/>
          <w:szCs w:val="20"/>
        </w:rPr>
      </w:pPr>
      <w:r w:rsidRPr="00BE5B6A">
        <w:rPr>
          <w:rFonts w:eastAsiaTheme="minorHAnsi" w:cs="Arial"/>
          <w:b/>
          <w:sz w:val="20"/>
          <w:szCs w:val="20"/>
        </w:rPr>
        <w:t>Available resources:</w:t>
      </w:r>
    </w:p>
    <w:p w:rsidR="00415A56" w:rsidRPr="00BE5B6A" w:rsidRDefault="00415A56" w:rsidP="00D56518">
      <w:pPr>
        <w:spacing w:before="60" w:after="60"/>
        <w:ind w:left="357"/>
        <w:rPr>
          <w:rFonts w:eastAsiaTheme="minorHAnsi" w:cs="Arial"/>
          <w:b/>
          <w:sz w:val="20"/>
          <w:szCs w:val="20"/>
        </w:rPr>
      </w:pPr>
    </w:p>
    <w:p w:rsidR="00D56518" w:rsidRPr="00BE5B6A" w:rsidRDefault="00D56518" w:rsidP="00D56518">
      <w:pPr>
        <w:spacing w:before="60" w:after="60"/>
        <w:ind w:left="357"/>
        <w:rPr>
          <w:rFonts w:eastAsiaTheme="minorHAnsi" w:cs="Arial"/>
          <w:sz w:val="20"/>
          <w:szCs w:val="20"/>
        </w:rPr>
      </w:pPr>
      <w:r w:rsidRPr="00BE5B6A">
        <w:rPr>
          <w:rFonts w:eastAsiaTheme="minorHAnsi" w:cs="Arial"/>
          <w:sz w:val="20"/>
          <w:szCs w:val="20"/>
        </w:rPr>
        <w:t xml:space="preserve">The Royal Pharmaceutical Society (RPS) position statement; “Access to Medicines”, June 2016, available at: </w:t>
      </w:r>
      <w:hyperlink r:id="rId30" w:history="1">
        <w:r w:rsidRPr="00BE5B6A">
          <w:rPr>
            <w:rStyle w:val="Hyperlink"/>
            <w:rFonts w:eastAsiaTheme="minorHAnsi" w:cs="Arial"/>
            <w:color w:val="0033CC"/>
            <w:sz w:val="20"/>
            <w:szCs w:val="20"/>
          </w:rPr>
          <w:t>https://www.rpharms.com/Portals/0/RPS%20document%20library/Open%20access/Policy%20statements/Access%20to%20medicines%20-%20position%20statement.pdf</w:t>
        </w:r>
      </w:hyperlink>
      <w:r w:rsidR="001471FC" w:rsidRPr="001471FC">
        <w:rPr>
          <w:rStyle w:val="Hyperlink"/>
          <w:rFonts w:eastAsiaTheme="minorHAnsi" w:cs="Arial"/>
          <w:color w:val="000000" w:themeColor="text1"/>
          <w:sz w:val="20"/>
          <w:szCs w:val="20"/>
          <w:u w:val="none"/>
        </w:rPr>
        <w:t>.</w:t>
      </w:r>
      <w:r w:rsidRPr="001471FC">
        <w:rPr>
          <w:rFonts w:eastAsiaTheme="minorHAnsi" w:cs="Arial"/>
          <w:color w:val="000000" w:themeColor="text1"/>
          <w:sz w:val="20"/>
          <w:szCs w:val="20"/>
        </w:rPr>
        <w:t xml:space="preserve"> </w:t>
      </w:r>
    </w:p>
    <w:p w:rsidR="00415A56" w:rsidRDefault="00D56518" w:rsidP="00D56518">
      <w:pPr>
        <w:spacing w:after="200" w:line="276" w:lineRule="auto"/>
        <w:ind w:left="360"/>
        <w:rPr>
          <w:rFonts w:eastAsiaTheme="minorHAnsi" w:cs="Arial"/>
          <w:sz w:val="22"/>
          <w:szCs w:val="22"/>
        </w:rPr>
      </w:pPr>
      <w:r w:rsidRPr="00D56518">
        <w:rPr>
          <w:rFonts w:eastAsiaTheme="minorHAnsi" w:cs="Arial"/>
          <w:sz w:val="22"/>
          <w:szCs w:val="22"/>
        </w:rPr>
        <w:t> </w:t>
      </w:r>
    </w:p>
    <w:p w:rsidR="00041E1D" w:rsidRDefault="00041E1D" w:rsidP="00D56518">
      <w:pPr>
        <w:spacing w:after="200" w:line="276" w:lineRule="auto"/>
        <w:ind w:left="360"/>
        <w:rPr>
          <w:rFonts w:eastAsiaTheme="minorHAnsi" w:cs="Arial"/>
          <w:sz w:val="22"/>
          <w:szCs w:val="22"/>
        </w:rPr>
      </w:pPr>
    </w:p>
    <w:p w:rsidR="00041E1D" w:rsidRDefault="00041E1D" w:rsidP="00D56518">
      <w:pPr>
        <w:spacing w:after="200" w:line="276" w:lineRule="auto"/>
        <w:ind w:left="360"/>
        <w:rPr>
          <w:rFonts w:eastAsiaTheme="minorHAnsi" w:cs="Arial"/>
          <w:sz w:val="22"/>
          <w:szCs w:val="22"/>
        </w:rPr>
      </w:pPr>
    </w:p>
    <w:p w:rsidR="00041E1D" w:rsidRDefault="00041E1D" w:rsidP="00D56518">
      <w:pPr>
        <w:spacing w:after="200" w:line="276" w:lineRule="auto"/>
        <w:ind w:left="360"/>
        <w:rPr>
          <w:rFonts w:eastAsiaTheme="minorHAnsi" w:cs="Arial"/>
          <w:sz w:val="22"/>
          <w:szCs w:val="22"/>
        </w:rPr>
      </w:pPr>
    </w:p>
    <w:p w:rsidR="00041E1D" w:rsidRDefault="00041E1D" w:rsidP="00D56518">
      <w:pPr>
        <w:spacing w:after="200" w:line="276" w:lineRule="auto"/>
        <w:ind w:left="360"/>
        <w:rPr>
          <w:rFonts w:eastAsiaTheme="minorHAnsi" w:cs="Arial"/>
          <w:sz w:val="22"/>
          <w:szCs w:val="22"/>
        </w:rPr>
      </w:pPr>
    </w:p>
    <w:p w:rsidR="00041E1D" w:rsidRDefault="00041E1D" w:rsidP="00D56518">
      <w:pPr>
        <w:spacing w:after="200" w:line="276" w:lineRule="auto"/>
        <w:ind w:left="360"/>
        <w:rPr>
          <w:rFonts w:eastAsiaTheme="minorHAnsi" w:cs="Arial"/>
          <w:sz w:val="22"/>
          <w:szCs w:val="22"/>
        </w:rPr>
      </w:pPr>
    </w:p>
    <w:p w:rsidR="00041E1D" w:rsidRDefault="00041E1D" w:rsidP="00D56518">
      <w:pPr>
        <w:spacing w:after="200" w:line="276" w:lineRule="auto"/>
        <w:ind w:left="360"/>
        <w:rPr>
          <w:rFonts w:eastAsiaTheme="minorHAnsi" w:cs="Arial"/>
          <w:sz w:val="22"/>
          <w:szCs w:val="22"/>
        </w:rPr>
      </w:pPr>
    </w:p>
    <w:p w:rsidR="00041E1D" w:rsidRDefault="00041E1D" w:rsidP="00D56518">
      <w:pPr>
        <w:spacing w:after="200" w:line="276" w:lineRule="auto"/>
        <w:ind w:left="360"/>
        <w:rPr>
          <w:rFonts w:eastAsiaTheme="minorHAnsi" w:cs="Arial"/>
          <w:sz w:val="22"/>
          <w:szCs w:val="22"/>
        </w:rPr>
      </w:pPr>
    </w:p>
    <w:p w:rsidR="00041E1D" w:rsidRDefault="00041E1D" w:rsidP="00D56518">
      <w:pPr>
        <w:spacing w:after="200" w:line="276" w:lineRule="auto"/>
        <w:ind w:left="360"/>
        <w:rPr>
          <w:rFonts w:eastAsiaTheme="minorHAnsi" w:cs="Arial"/>
          <w:sz w:val="22"/>
          <w:szCs w:val="22"/>
        </w:rPr>
      </w:pPr>
    </w:p>
    <w:p w:rsidR="00041E1D" w:rsidRDefault="00041E1D" w:rsidP="00D56518">
      <w:pPr>
        <w:spacing w:after="200" w:line="276" w:lineRule="auto"/>
        <w:ind w:left="360"/>
        <w:rPr>
          <w:rFonts w:eastAsiaTheme="minorHAnsi" w:cs="Arial"/>
          <w:sz w:val="22"/>
          <w:szCs w:val="22"/>
        </w:rPr>
        <w:sectPr w:rsidR="00041E1D" w:rsidSect="00E002EB">
          <w:headerReference w:type="default" r:id="rId31"/>
          <w:footerReference w:type="default" r:id="rId32"/>
          <w:headerReference w:type="first" r:id="rId33"/>
          <w:footerReference w:type="first" r:id="rId34"/>
          <w:pgSz w:w="16838" w:h="11906" w:orient="landscape" w:code="9"/>
          <w:pgMar w:top="720" w:right="720" w:bottom="720" w:left="720" w:header="709" w:footer="340" w:gutter="0"/>
          <w:cols w:space="708"/>
          <w:titlePg/>
          <w:docGrid w:linePitch="360"/>
        </w:sectPr>
      </w:pPr>
    </w:p>
    <w:p w:rsidR="00415A56" w:rsidRPr="00E002EB" w:rsidRDefault="00415A56" w:rsidP="00415A56">
      <w:pPr>
        <w:shd w:val="clear" w:color="auto" w:fill="0070C0"/>
        <w:tabs>
          <w:tab w:val="left" w:pos="9295"/>
        </w:tabs>
        <w:rPr>
          <w:i/>
          <w:color w:val="FFFFFF" w:themeColor="background1"/>
        </w:rPr>
      </w:pPr>
      <w:r w:rsidRPr="00E002EB">
        <w:rPr>
          <w:rFonts w:cs="Arial"/>
          <w:b/>
          <w:color w:val="FFFFFF" w:themeColor="background1"/>
        </w:rPr>
        <w:lastRenderedPageBreak/>
        <w:t xml:space="preserve">Appendix </w:t>
      </w:r>
      <w:r>
        <w:rPr>
          <w:rFonts w:cs="Arial"/>
          <w:b/>
          <w:color w:val="FFFFFF" w:themeColor="background1"/>
        </w:rPr>
        <w:t xml:space="preserve">4: </w:t>
      </w:r>
      <w:r w:rsidRPr="00415A56">
        <w:rPr>
          <w:rFonts w:cs="Arial"/>
          <w:b/>
          <w:color w:val="FFFFFF" w:themeColor="background1"/>
        </w:rPr>
        <w:t>Tax avoidance issues in the UK – letter from the Department of Health</w:t>
      </w:r>
    </w:p>
    <w:p w:rsidR="00744438" w:rsidRDefault="00744438" w:rsidP="00E72E3F">
      <w:pPr>
        <w:spacing w:before="60" w:after="60"/>
        <w:rPr>
          <w:rFonts w:eastAsiaTheme="minorHAnsi" w:cs="Arial"/>
          <w:sz w:val="22"/>
          <w:szCs w:val="22"/>
        </w:rPr>
      </w:pPr>
    </w:p>
    <w:p w:rsidR="00744438" w:rsidRDefault="00713696" w:rsidP="00713696">
      <w:pPr>
        <w:spacing w:before="60" w:after="60"/>
        <w:jc w:val="center"/>
        <w:rPr>
          <w:rFonts w:eastAsiaTheme="minorHAnsi" w:cs="Arial"/>
          <w:sz w:val="22"/>
          <w:szCs w:val="22"/>
        </w:rPr>
      </w:pPr>
      <w:r>
        <w:rPr>
          <w:noProof/>
          <w:lang w:eastAsia="en-GB"/>
        </w:rPr>
        <w:drawing>
          <wp:inline distT="0" distB="0" distL="0" distR="0" wp14:anchorId="50C81FB6" wp14:editId="2875723E">
            <wp:extent cx="5303520" cy="7352934"/>
            <wp:effectExtent l="0" t="0" r="0" b="63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305425" cy="7355575"/>
                    </a:xfrm>
                    <a:prstGeom prst="rect">
                      <a:avLst/>
                    </a:prstGeom>
                  </pic:spPr>
                </pic:pic>
              </a:graphicData>
            </a:graphic>
          </wp:inline>
        </w:drawing>
      </w:r>
    </w:p>
    <w:p w:rsidR="00744438" w:rsidRDefault="00744438" w:rsidP="00E72E3F">
      <w:pPr>
        <w:spacing w:before="60" w:after="60"/>
        <w:rPr>
          <w:rFonts w:eastAsiaTheme="minorHAnsi" w:cs="Arial"/>
          <w:sz w:val="22"/>
          <w:szCs w:val="22"/>
        </w:rPr>
      </w:pPr>
    </w:p>
    <w:p w:rsidR="00744438" w:rsidRDefault="00744438" w:rsidP="00E72E3F">
      <w:pPr>
        <w:spacing w:before="60" w:after="60"/>
        <w:rPr>
          <w:rFonts w:eastAsiaTheme="minorHAnsi" w:cs="Arial"/>
          <w:sz w:val="22"/>
          <w:szCs w:val="22"/>
        </w:rPr>
      </w:pPr>
    </w:p>
    <w:p w:rsidR="00744438" w:rsidRDefault="00744438" w:rsidP="00E72E3F">
      <w:pPr>
        <w:spacing w:before="60" w:after="60"/>
        <w:rPr>
          <w:rFonts w:eastAsiaTheme="minorHAnsi" w:cs="Arial"/>
          <w:sz w:val="22"/>
          <w:szCs w:val="22"/>
        </w:rPr>
      </w:pPr>
    </w:p>
    <w:p w:rsidR="00744438" w:rsidRDefault="00341CCB" w:rsidP="00341CCB">
      <w:pPr>
        <w:spacing w:before="60" w:after="60"/>
        <w:jc w:val="center"/>
        <w:rPr>
          <w:rFonts w:eastAsiaTheme="minorHAnsi" w:cs="Arial"/>
          <w:sz w:val="22"/>
          <w:szCs w:val="22"/>
        </w:rPr>
      </w:pPr>
      <w:r>
        <w:rPr>
          <w:noProof/>
          <w:lang w:eastAsia="en-GB"/>
        </w:rPr>
        <w:lastRenderedPageBreak/>
        <w:drawing>
          <wp:inline distT="0" distB="0" distL="0" distR="0" wp14:anchorId="3CAC884B" wp14:editId="41F581EF">
            <wp:extent cx="4991100" cy="24193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991100" cy="2419350"/>
                    </a:xfrm>
                    <a:prstGeom prst="rect">
                      <a:avLst/>
                    </a:prstGeom>
                  </pic:spPr>
                </pic:pic>
              </a:graphicData>
            </a:graphic>
          </wp:inline>
        </w:drawing>
      </w:r>
    </w:p>
    <w:p w:rsidR="00744438" w:rsidRDefault="00744438" w:rsidP="00713696">
      <w:pPr>
        <w:spacing w:before="60" w:after="60"/>
        <w:jc w:val="center"/>
        <w:rPr>
          <w:rFonts w:eastAsiaTheme="minorHAnsi" w:cs="Arial"/>
          <w:sz w:val="22"/>
          <w:szCs w:val="22"/>
        </w:rPr>
      </w:pPr>
    </w:p>
    <w:tbl>
      <w:tblPr>
        <w:tblStyle w:val="TableGrid"/>
        <w:tblW w:w="0" w:type="auto"/>
        <w:jc w:val="center"/>
        <w:tblBorders>
          <w:top w:val="single" w:sz="6" w:space="0" w:color="0070C0"/>
          <w:left w:val="none" w:sz="0" w:space="0" w:color="auto"/>
          <w:bottom w:val="none" w:sz="0" w:space="0" w:color="auto"/>
          <w:right w:val="none" w:sz="0" w:space="0" w:color="auto"/>
          <w:insideH w:val="single" w:sz="6" w:space="0" w:color="0070C0"/>
          <w:insideV w:val="single" w:sz="6" w:space="0" w:color="0070C0"/>
        </w:tblBorders>
        <w:tblLook w:val="04A0" w:firstRow="1" w:lastRow="0" w:firstColumn="1" w:lastColumn="0" w:noHBand="0" w:noVBand="1"/>
      </w:tblPr>
      <w:tblGrid>
        <w:gridCol w:w="10676"/>
      </w:tblGrid>
      <w:tr w:rsidR="002C707D" w:rsidTr="002C707D">
        <w:trPr>
          <w:jc w:val="center"/>
        </w:trPr>
        <w:tc>
          <w:tcPr>
            <w:tcW w:w="10676" w:type="dxa"/>
            <w:shd w:val="clear" w:color="auto" w:fill="0072C5"/>
          </w:tcPr>
          <w:p w:rsidR="002C707D" w:rsidRPr="00031275" w:rsidRDefault="002C707D" w:rsidP="002C707D">
            <w:pPr>
              <w:pStyle w:val="SPSTitle"/>
              <w:spacing w:before="60" w:after="60"/>
              <w:contextualSpacing/>
              <w:rPr>
                <w:color w:val="auto"/>
                <w:sz w:val="22"/>
                <w:szCs w:val="22"/>
              </w:rPr>
            </w:pPr>
            <w:r w:rsidRPr="00031275">
              <w:rPr>
                <w:color w:val="FFFFFF" w:themeColor="background1"/>
                <w:sz w:val="22"/>
                <w:szCs w:val="22"/>
              </w:rPr>
              <w:t>Document control</w:t>
            </w:r>
          </w:p>
        </w:tc>
      </w:tr>
    </w:tbl>
    <w:p w:rsidR="00041E1D" w:rsidRPr="00341CCB" w:rsidRDefault="00041E1D" w:rsidP="00E72E3F">
      <w:pPr>
        <w:spacing w:before="60" w:after="60"/>
        <w:rPr>
          <w:rFonts w:eastAsiaTheme="minorHAnsi" w:cs="Arial"/>
          <w:sz w:val="16"/>
          <w:szCs w:val="16"/>
        </w:rPr>
      </w:pPr>
    </w:p>
    <w:p w:rsidR="002C707D" w:rsidRDefault="002C707D" w:rsidP="002C707D">
      <w:pPr>
        <w:pStyle w:val="SPSTitle"/>
        <w:spacing w:before="60" w:after="60"/>
        <w:contextualSpacing/>
        <w:rPr>
          <w:color w:val="auto"/>
          <w:sz w:val="18"/>
          <w:szCs w:val="18"/>
        </w:rPr>
      </w:pPr>
      <w:r>
        <w:rPr>
          <w:color w:val="auto"/>
          <w:sz w:val="18"/>
          <w:szCs w:val="18"/>
        </w:rPr>
        <w:t>Document location</w:t>
      </w:r>
    </w:p>
    <w:p w:rsidR="002C707D" w:rsidRDefault="002C707D" w:rsidP="002C707D">
      <w:pPr>
        <w:pStyle w:val="SPSTitle"/>
        <w:spacing w:before="60" w:after="60"/>
        <w:contextualSpacing/>
        <w:rPr>
          <w:b w:val="0"/>
          <w:color w:val="auto"/>
          <w:sz w:val="18"/>
          <w:szCs w:val="18"/>
        </w:rPr>
      </w:pPr>
      <w:r>
        <w:rPr>
          <w:b w:val="0"/>
          <w:color w:val="auto"/>
          <w:sz w:val="18"/>
          <w:szCs w:val="18"/>
        </w:rPr>
        <w:t xml:space="preserve">If you are looking at a hard copy of this document, check the Specialist Pharmacy Services website </w:t>
      </w:r>
      <w:hyperlink r:id="rId37" w:history="1">
        <w:r w:rsidRPr="00266A08">
          <w:rPr>
            <w:rStyle w:val="Hyperlink"/>
            <w:b w:val="0"/>
            <w:sz w:val="18"/>
            <w:szCs w:val="18"/>
          </w:rPr>
          <w:t>https://www.sps.nhs.uk/</w:t>
        </w:r>
      </w:hyperlink>
      <w:r w:rsidRPr="00266A08">
        <w:rPr>
          <w:b w:val="0"/>
          <w:color w:val="auto"/>
          <w:sz w:val="18"/>
          <w:szCs w:val="18"/>
        </w:rPr>
        <w:t xml:space="preserve"> </w:t>
      </w:r>
      <w:r>
        <w:rPr>
          <w:b w:val="0"/>
          <w:color w:val="auto"/>
          <w:sz w:val="18"/>
          <w:szCs w:val="18"/>
        </w:rPr>
        <w:t>to make sure you are using the most recent version.</w:t>
      </w:r>
    </w:p>
    <w:p w:rsidR="002C707D" w:rsidRPr="00341CCB" w:rsidRDefault="002C707D" w:rsidP="002C707D">
      <w:pPr>
        <w:pStyle w:val="SPSTitle"/>
        <w:spacing w:before="60" w:after="60"/>
        <w:contextualSpacing/>
        <w:rPr>
          <w:b w:val="0"/>
          <w:color w:val="auto"/>
          <w:sz w:val="16"/>
          <w:szCs w:val="16"/>
        </w:rPr>
      </w:pPr>
    </w:p>
    <w:p w:rsidR="002C707D" w:rsidRPr="00341CCB" w:rsidRDefault="002C707D" w:rsidP="002C707D">
      <w:pPr>
        <w:pStyle w:val="SPSTitle"/>
        <w:spacing w:before="60" w:after="60"/>
        <w:contextualSpacing/>
        <w:rPr>
          <w:b w:val="0"/>
          <w:color w:val="auto"/>
          <w:sz w:val="16"/>
          <w:szCs w:val="16"/>
        </w:rPr>
      </w:pPr>
    </w:p>
    <w:p w:rsidR="002C707D" w:rsidRDefault="002C707D" w:rsidP="002C707D">
      <w:pPr>
        <w:pStyle w:val="SPSTitle"/>
        <w:spacing w:before="60" w:after="60"/>
        <w:contextualSpacing/>
        <w:rPr>
          <w:color w:val="000000" w:themeColor="text1"/>
          <w:sz w:val="18"/>
          <w:szCs w:val="18"/>
        </w:rPr>
      </w:pPr>
      <w:r w:rsidRPr="00C81BE8">
        <w:rPr>
          <w:color w:val="000000" w:themeColor="text1"/>
          <w:sz w:val="18"/>
          <w:szCs w:val="18"/>
        </w:rPr>
        <w:t>Revision History</w:t>
      </w:r>
    </w:p>
    <w:p w:rsidR="002C707D" w:rsidRPr="00C81BE8" w:rsidRDefault="002C707D" w:rsidP="002C707D">
      <w:pPr>
        <w:pStyle w:val="SPSTitle"/>
        <w:spacing w:before="60" w:after="60"/>
        <w:contextualSpacing/>
        <w:rPr>
          <w:color w:val="000000" w:themeColor="text1"/>
          <w:sz w:val="18"/>
          <w:szCs w:val="18"/>
        </w:rPr>
      </w:pPr>
    </w:p>
    <w:tbl>
      <w:tblPr>
        <w:tblStyle w:val="TableGrid"/>
        <w:tblW w:w="0" w:type="auto"/>
        <w:jc w:val="center"/>
        <w:tblLook w:val="04A0" w:firstRow="1" w:lastRow="0" w:firstColumn="1" w:lastColumn="0" w:noHBand="0" w:noVBand="1"/>
      </w:tblPr>
      <w:tblGrid>
        <w:gridCol w:w="2310"/>
        <w:gridCol w:w="2310"/>
        <w:gridCol w:w="2311"/>
        <w:gridCol w:w="2311"/>
      </w:tblGrid>
      <w:tr w:rsidR="002C707D" w:rsidRPr="00C81BE8" w:rsidTr="002C707D">
        <w:trPr>
          <w:jc w:val="center"/>
        </w:trPr>
        <w:tc>
          <w:tcPr>
            <w:tcW w:w="2310" w:type="dxa"/>
            <w:tcBorders>
              <w:top w:val="single" w:sz="4" w:space="0" w:color="auto"/>
              <w:left w:val="single" w:sz="4" w:space="0" w:color="auto"/>
              <w:bottom w:val="single" w:sz="4" w:space="0" w:color="auto"/>
              <w:right w:val="single" w:sz="4" w:space="0" w:color="auto"/>
            </w:tcBorders>
            <w:hideMark/>
          </w:tcPr>
          <w:p w:rsidR="002C707D" w:rsidRPr="004B69C9" w:rsidRDefault="002C707D" w:rsidP="002C707D">
            <w:pPr>
              <w:pStyle w:val="SPSTitle"/>
              <w:spacing w:before="60" w:after="60"/>
              <w:contextualSpacing/>
              <w:rPr>
                <w:color w:val="000000" w:themeColor="text1"/>
                <w:sz w:val="18"/>
                <w:szCs w:val="18"/>
              </w:rPr>
            </w:pPr>
            <w:r w:rsidRPr="004B69C9">
              <w:rPr>
                <w:color w:val="000000" w:themeColor="text1"/>
                <w:sz w:val="18"/>
                <w:szCs w:val="18"/>
              </w:rPr>
              <w:t>Revision Date</w:t>
            </w:r>
          </w:p>
        </w:tc>
        <w:tc>
          <w:tcPr>
            <w:tcW w:w="2310" w:type="dxa"/>
            <w:tcBorders>
              <w:top w:val="single" w:sz="4" w:space="0" w:color="auto"/>
              <w:left w:val="single" w:sz="4" w:space="0" w:color="auto"/>
              <w:bottom w:val="single" w:sz="4" w:space="0" w:color="auto"/>
              <w:right w:val="single" w:sz="4" w:space="0" w:color="auto"/>
            </w:tcBorders>
            <w:hideMark/>
          </w:tcPr>
          <w:p w:rsidR="002C707D" w:rsidRPr="004B69C9" w:rsidRDefault="002C707D" w:rsidP="002C707D">
            <w:pPr>
              <w:pStyle w:val="SPSTitle"/>
              <w:spacing w:before="60" w:after="60"/>
              <w:contextualSpacing/>
              <w:rPr>
                <w:color w:val="000000" w:themeColor="text1"/>
                <w:sz w:val="18"/>
                <w:szCs w:val="18"/>
              </w:rPr>
            </w:pPr>
            <w:r w:rsidRPr="004B69C9">
              <w:rPr>
                <w:color w:val="000000" w:themeColor="text1"/>
                <w:sz w:val="18"/>
                <w:szCs w:val="18"/>
              </w:rPr>
              <w:t>Actioned by</w:t>
            </w:r>
          </w:p>
        </w:tc>
        <w:tc>
          <w:tcPr>
            <w:tcW w:w="2311" w:type="dxa"/>
            <w:tcBorders>
              <w:top w:val="single" w:sz="4" w:space="0" w:color="auto"/>
              <w:left w:val="single" w:sz="4" w:space="0" w:color="auto"/>
              <w:bottom w:val="single" w:sz="4" w:space="0" w:color="auto"/>
              <w:right w:val="single" w:sz="4" w:space="0" w:color="auto"/>
            </w:tcBorders>
            <w:hideMark/>
          </w:tcPr>
          <w:p w:rsidR="002C707D" w:rsidRPr="004B69C9" w:rsidRDefault="002C707D" w:rsidP="002C707D">
            <w:pPr>
              <w:pStyle w:val="SPSTitle"/>
              <w:spacing w:before="60" w:after="60"/>
              <w:contextualSpacing/>
              <w:rPr>
                <w:color w:val="000000" w:themeColor="text1"/>
                <w:sz w:val="18"/>
                <w:szCs w:val="18"/>
              </w:rPr>
            </w:pPr>
            <w:r w:rsidRPr="004B69C9">
              <w:rPr>
                <w:color w:val="000000" w:themeColor="text1"/>
                <w:sz w:val="18"/>
                <w:szCs w:val="18"/>
              </w:rPr>
              <w:t>Summary of changes</w:t>
            </w:r>
          </w:p>
        </w:tc>
        <w:tc>
          <w:tcPr>
            <w:tcW w:w="2311" w:type="dxa"/>
            <w:tcBorders>
              <w:top w:val="single" w:sz="4" w:space="0" w:color="auto"/>
              <w:left w:val="single" w:sz="4" w:space="0" w:color="auto"/>
              <w:bottom w:val="single" w:sz="4" w:space="0" w:color="auto"/>
              <w:right w:val="single" w:sz="4" w:space="0" w:color="auto"/>
            </w:tcBorders>
            <w:hideMark/>
          </w:tcPr>
          <w:p w:rsidR="002C707D" w:rsidRPr="004B69C9" w:rsidRDefault="002C707D" w:rsidP="002C707D">
            <w:pPr>
              <w:pStyle w:val="SPSTitle"/>
              <w:spacing w:before="60" w:after="60"/>
              <w:contextualSpacing/>
              <w:rPr>
                <w:color w:val="000000" w:themeColor="text1"/>
                <w:sz w:val="18"/>
                <w:szCs w:val="18"/>
              </w:rPr>
            </w:pPr>
            <w:r w:rsidRPr="004B69C9">
              <w:rPr>
                <w:color w:val="000000" w:themeColor="text1"/>
                <w:sz w:val="18"/>
                <w:szCs w:val="18"/>
              </w:rPr>
              <w:t>Version</w:t>
            </w:r>
          </w:p>
        </w:tc>
      </w:tr>
      <w:tr w:rsidR="002C707D" w:rsidRPr="00C81BE8" w:rsidTr="002C707D">
        <w:trPr>
          <w:jc w:val="center"/>
        </w:trPr>
        <w:tc>
          <w:tcPr>
            <w:tcW w:w="2310" w:type="dxa"/>
            <w:tcBorders>
              <w:top w:val="single" w:sz="4" w:space="0" w:color="auto"/>
              <w:left w:val="single" w:sz="4" w:space="0" w:color="auto"/>
              <w:bottom w:val="single" w:sz="4" w:space="0" w:color="auto"/>
              <w:right w:val="single" w:sz="4" w:space="0" w:color="auto"/>
            </w:tcBorders>
          </w:tcPr>
          <w:p w:rsidR="002C707D" w:rsidRPr="0032036C" w:rsidRDefault="00973252" w:rsidP="002C707D">
            <w:pPr>
              <w:pStyle w:val="SPSTitle"/>
              <w:spacing w:before="60" w:after="60"/>
              <w:contextualSpacing/>
              <w:rPr>
                <w:b w:val="0"/>
                <w:color w:val="auto"/>
                <w:sz w:val="18"/>
                <w:szCs w:val="18"/>
              </w:rPr>
            </w:pPr>
            <w:r w:rsidRPr="0032036C">
              <w:rPr>
                <w:b w:val="0"/>
                <w:color w:val="auto"/>
                <w:sz w:val="18"/>
                <w:szCs w:val="18"/>
              </w:rPr>
              <w:t>August 2017</w:t>
            </w:r>
          </w:p>
        </w:tc>
        <w:tc>
          <w:tcPr>
            <w:tcW w:w="2310" w:type="dxa"/>
            <w:tcBorders>
              <w:top w:val="single" w:sz="4" w:space="0" w:color="auto"/>
              <w:left w:val="single" w:sz="4" w:space="0" w:color="auto"/>
              <w:bottom w:val="single" w:sz="4" w:space="0" w:color="auto"/>
              <w:right w:val="single" w:sz="4" w:space="0" w:color="auto"/>
            </w:tcBorders>
          </w:tcPr>
          <w:p w:rsidR="002C707D" w:rsidRPr="0032036C" w:rsidRDefault="00973252" w:rsidP="002C707D">
            <w:pPr>
              <w:pStyle w:val="SPSTitle"/>
              <w:spacing w:before="60" w:after="60"/>
              <w:contextualSpacing/>
              <w:rPr>
                <w:b w:val="0"/>
                <w:color w:val="auto"/>
                <w:sz w:val="18"/>
                <w:szCs w:val="18"/>
              </w:rPr>
            </w:pPr>
            <w:r w:rsidRPr="0032036C">
              <w:rPr>
                <w:b w:val="0"/>
                <w:color w:val="auto"/>
                <w:sz w:val="18"/>
                <w:szCs w:val="18"/>
              </w:rPr>
              <w:t>MO CRG</w:t>
            </w:r>
          </w:p>
        </w:tc>
        <w:tc>
          <w:tcPr>
            <w:tcW w:w="2311" w:type="dxa"/>
            <w:tcBorders>
              <w:top w:val="single" w:sz="4" w:space="0" w:color="auto"/>
              <w:left w:val="single" w:sz="4" w:space="0" w:color="auto"/>
              <w:bottom w:val="single" w:sz="4" w:space="0" w:color="auto"/>
              <w:right w:val="single" w:sz="4" w:space="0" w:color="auto"/>
            </w:tcBorders>
          </w:tcPr>
          <w:p w:rsidR="002C707D" w:rsidRPr="0032036C" w:rsidRDefault="002C707D" w:rsidP="002C707D">
            <w:pPr>
              <w:pStyle w:val="SPSTitle"/>
              <w:spacing w:before="60" w:after="60"/>
              <w:contextualSpacing/>
              <w:rPr>
                <w:b w:val="0"/>
                <w:color w:val="auto"/>
                <w:sz w:val="18"/>
                <w:szCs w:val="18"/>
              </w:rPr>
            </w:pPr>
          </w:p>
        </w:tc>
        <w:tc>
          <w:tcPr>
            <w:tcW w:w="2311" w:type="dxa"/>
            <w:tcBorders>
              <w:top w:val="single" w:sz="4" w:space="0" w:color="auto"/>
              <w:left w:val="single" w:sz="4" w:space="0" w:color="auto"/>
              <w:bottom w:val="single" w:sz="4" w:space="0" w:color="auto"/>
              <w:right w:val="single" w:sz="4" w:space="0" w:color="auto"/>
            </w:tcBorders>
          </w:tcPr>
          <w:p w:rsidR="002C707D" w:rsidRPr="0032036C" w:rsidRDefault="0018773D" w:rsidP="002C707D">
            <w:pPr>
              <w:pStyle w:val="SPSTitle"/>
              <w:spacing w:before="60" w:after="60"/>
              <w:contextualSpacing/>
              <w:rPr>
                <w:b w:val="0"/>
                <w:color w:val="auto"/>
                <w:sz w:val="18"/>
                <w:szCs w:val="18"/>
              </w:rPr>
            </w:pPr>
            <w:r w:rsidRPr="0032036C">
              <w:rPr>
                <w:b w:val="0"/>
                <w:color w:val="auto"/>
                <w:sz w:val="18"/>
                <w:szCs w:val="18"/>
              </w:rPr>
              <w:t>Drafts</w:t>
            </w:r>
          </w:p>
        </w:tc>
      </w:tr>
      <w:tr w:rsidR="002C707D" w:rsidRPr="00C81BE8" w:rsidTr="002C707D">
        <w:trPr>
          <w:jc w:val="center"/>
        </w:trPr>
        <w:tc>
          <w:tcPr>
            <w:tcW w:w="2310" w:type="dxa"/>
            <w:tcBorders>
              <w:top w:val="single" w:sz="4" w:space="0" w:color="auto"/>
              <w:left w:val="single" w:sz="4" w:space="0" w:color="auto"/>
              <w:bottom w:val="single" w:sz="4" w:space="0" w:color="auto"/>
              <w:right w:val="single" w:sz="4" w:space="0" w:color="auto"/>
            </w:tcBorders>
          </w:tcPr>
          <w:p w:rsidR="002C707D" w:rsidRPr="0032036C" w:rsidRDefault="00973252" w:rsidP="002C707D">
            <w:pPr>
              <w:pStyle w:val="SPSTitle"/>
              <w:spacing w:before="60" w:after="60"/>
              <w:contextualSpacing/>
              <w:rPr>
                <w:b w:val="0"/>
                <w:color w:val="auto"/>
                <w:sz w:val="18"/>
                <w:szCs w:val="18"/>
              </w:rPr>
            </w:pPr>
            <w:r w:rsidRPr="0032036C">
              <w:rPr>
                <w:b w:val="0"/>
                <w:color w:val="auto"/>
                <w:sz w:val="18"/>
                <w:szCs w:val="18"/>
              </w:rPr>
              <w:t>February 2018</w:t>
            </w:r>
          </w:p>
        </w:tc>
        <w:tc>
          <w:tcPr>
            <w:tcW w:w="2310" w:type="dxa"/>
            <w:tcBorders>
              <w:top w:val="single" w:sz="4" w:space="0" w:color="auto"/>
              <w:left w:val="single" w:sz="4" w:space="0" w:color="auto"/>
              <w:bottom w:val="single" w:sz="4" w:space="0" w:color="auto"/>
              <w:right w:val="single" w:sz="4" w:space="0" w:color="auto"/>
            </w:tcBorders>
          </w:tcPr>
          <w:p w:rsidR="002C707D" w:rsidRPr="0032036C" w:rsidRDefault="00973252" w:rsidP="002C707D">
            <w:pPr>
              <w:pStyle w:val="SPSTitle"/>
              <w:spacing w:before="60" w:after="60"/>
              <w:contextualSpacing/>
              <w:rPr>
                <w:b w:val="0"/>
                <w:color w:val="auto"/>
                <w:sz w:val="18"/>
                <w:szCs w:val="18"/>
              </w:rPr>
            </w:pPr>
            <w:r w:rsidRPr="0032036C">
              <w:rPr>
                <w:b w:val="0"/>
                <w:color w:val="auto"/>
                <w:sz w:val="18"/>
                <w:szCs w:val="18"/>
              </w:rPr>
              <w:t>MO CRG</w:t>
            </w:r>
          </w:p>
        </w:tc>
        <w:tc>
          <w:tcPr>
            <w:tcW w:w="2311" w:type="dxa"/>
            <w:tcBorders>
              <w:top w:val="single" w:sz="4" w:space="0" w:color="auto"/>
              <w:left w:val="single" w:sz="4" w:space="0" w:color="auto"/>
              <w:bottom w:val="single" w:sz="4" w:space="0" w:color="auto"/>
              <w:right w:val="single" w:sz="4" w:space="0" w:color="auto"/>
            </w:tcBorders>
          </w:tcPr>
          <w:p w:rsidR="002C707D" w:rsidRPr="0032036C" w:rsidRDefault="002C707D" w:rsidP="002C707D">
            <w:pPr>
              <w:pStyle w:val="SPSTitle"/>
              <w:spacing w:before="60" w:after="60"/>
              <w:contextualSpacing/>
              <w:rPr>
                <w:b w:val="0"/>
                <w:color w:val="auto"/>
                <w:sz w:val="18"/>
                <w:szCs w:val="18"/>
              </w:rPr>
            </w:pPr>
          </w:p>
        </w:tc>
        <w:tc>
          <w:tcPr>
            <w:tcW w:w="2311" w:type="dxa"/>
            <w:tcBorders>
              <w:top w:val="single" w:sz="4" w:space="0" w:color="auto"/>
              <w:left w:val="single" w:sz="4" w:space="0" w:color="auto"/>
              <w:bottom w:val="single" w:sz="4" w:space="0" w:color="auto"/>
              <w:right w:val="single" w:sz="4" w:space="0" w:color="auto"/>
            </w:tcBorders>
          </w:tcPr>
          <w:p w:rsidR="002C707D" w:rsidRPr="0032036C" w:rsidRDefault="0018773D" w:rsidP="002C707D">
            <w:pPr>
              <w:pStyle w:val="SPSTitle"/>
              <w:spacing w:before="60" w:after="60"/>
              <w:contextualSpacing/>
              <w:rPr>
                <w:b w:val="0"/>
                <w:color w:val="auto"/>
                <w:sz w:val="18"/>
                <w:szCs w:val="18"/>
              </w:rPr>
            </w:pPr>
            <w:r w:rsidRPr="0032036C">
              <w:rPr>
                <w:b w:val="0"/>
                <w:color w:val="auto"/>
                <w:sz w:val="18"/>
                <w:szCs w:val="18"/>
              </w:rPr>
              <w:t>Drafts</w:t>
            </w:r>
          </w:p>
        </w:tc>
      </w:tr>
      <w:tr w:rsidR="00973252" w:rsidRPr="00C81BE8" w:rsidTr="002C707D">
        <w:trPr>
          <w:jc w:val="center"/>
        </w:trPr>
        <w:tc>
          <w:tcPr>
            <w:tcW w:w="2310" w:type="dxa"/>
            <w:tcBorders>
              <w:top w:val="single" w:sz="4" w:space="0" w:color="auto"/>
              <w:left w:val="single" w:sz="4" w:space="0" w:color="auto"/>
              <w:bottom w:val="single" w:sz="4" w:space="0" w:color="auto"/>
              <w:right w:val="single" w:sz="4" w:space="0" w:color="auto"/>
            </w:tcBorders>
          </w:tcPr>
          <w:p w:rsidR="00973252" w:rsidRPr="0032036C" w:rsidRDefault="00973252" w:rsidP="002C707D">
            <w:pPr>
              <w:pStyle w:val="SPSTitle"/>
              <w:spacing w:before="60" w:after="60"/>
              <w:contextualSpacing/>
              <w:rPr>
                <w:b w:val="0"/>
                <w:color w:val="auto"/>
                <w:sz w:val="18"/>
                <w:szCs w:val="18"/>
              </w:rPr>
            </w:pPr>
            <w:r w:rsidRPr="0032036C">
              <w:rPr>
                <w:b w:val="0"/>
                <w:color w:val="auto"/>
                <w:sz w:val="18"/>
                <w:szCs w:val="18"/>
              </w:rPr>
              <w:t>May 2018</w:t>
            </w:r>
          </w:p>
        </w:tc>
        <w:tc>
          <w:tcPr>
            <w:tcW w:w="2310" w:type="dxa"/>
            <w:tcBorders>
              <w:top w:val="single" w:sz="4" w:space="0" w:color="auto"/>
              <w:left w:val="single" w:sz="4" w:space="0" w:color="auto"/>
              <w:bottom w:val="single" w:sz="4" w:space="0" w:color="auto"/>
              <w:right w:val="single" w:sz="4" w:space="0" w:color="auto"/>
            </w:tcBorders>
          </w:tcPr>
          <w:p w:rsidR="00973252" w:rsidRPr="0032036C" w:rsidRDefault="00973252" w:rsidP="002C707D">
            <w:pPr>
              <w:pStyle w:val="SPSTitle"/>
              <w:spacing w:before="60" w:after="60"/>
              <w:contextualSpacing/>
              <w:rPr>
                <w:b w:val="0"/>
                <w:color w:val="auto"/>
                <w:sz w:val="18"/>
                <w:szCs w:val="18"/>
              </w:rPr>
            </w:pPr>
            <w:r w:rsidRPr="0032036C">
              <w:rPr>
                <w:b w:val="0"/>
                <w:color w:val="auto"/>
                <w:sz w:val="18"/>
                <w:szCs w:val="18"/>
              </w:rPr>
              <w:t>S Brown</w:t>
            </w:r>
          </w:p>
        </w:tc>
        <w:tc>
          <w:tcPr>
            <w:tcW w:w="2311" w:type="dxa"/>
            <w:tcBorders>
              <w:top w:val="single" w:sz="4" w:space="0" w:color="auto"/>
              <w:left w:val="single" w:sz="4" w:space="0" w:color="auto"/>
              <w:bottom w:val="single" w:sz="4" w:space="0" w:color="auto"/>
              <w:right w:val="single" w:sz="4" w:space="0" w:color="auto"/>
            </w:tcBorders>
          </w:tcPr>
          <w:p w:rsidR="00973252" w:rsidRPr="0032036C" w:rsidRDefault="00973252" w:rsidP="002C707D">
            <w:pPr>
              <w:pStyle w:val="SPSTitle"/>
              <w:spacing w:before="60" w:after="60"/>
              <w:contextualSpacing/>
              <w:rPr>
                <w:b w:val="0"/>
                <w:color w:val="auto"/>
                <w:sz w:val="18"/>
                <w:szCs w:val="18"/>
              </w:rPr>
            </w:pPr>
            <w:r w:rsidRPr="0032036C">
              <w:rPr>
                <w:b w:val="0"/>
                <w:color w:val="auto"/>
                <w:sz w:val="18"/>
                <w:szCs w:val="18"/>
              </w:rPr>
              <w:t xml:space="preserve">Reviewed by </w:t>
            </w:r>
            <w:r w:rsidR="00FE3A09" w:rsidRPr="0032036C">
              <w:rPr>
                <w:b w:val="0"/>
                <w:color w:val="auto"/>
                <w:sz w:val="18"/>
                <w:szCs w:val="18"/>
              </w:rPr>
              <w:t xml:space="preserve">South of England </w:t>
            </w:r>
            <w:r w:rsidRPr="0032036C">
              <w:rPr>
                <w:b w:val="0"/>
                <w:color w:val="auto"/>
                <w:sz w:val="18"/>
                <w:szCs w:val="18"/>
              </w:rPr>
              <w:t>RMOC</w:t>
            </w:r>
          </w:p>
        </w:tc>
        <w:tc>
          <w:tcPr>
            <w:tcW w:w="2311" w:type="dxa"/>
            <w:tcBorders>
              <w:top w:val="single" w:sz="4" w:space="0" w:color="auto"/>
              <w:left w:val="single" w:sz="4" w:space="0" w:color="auto"/>
              <w:bottom w:val="single" w:sz="4" w:space="0" w:color="auto"/>
              <w:right w:val="single" w:sz="4" w:space="0" w:color="auto"/>
            </w:tcBorders>
          </w:tcPr>
          <w:p w:rsidR="00973252" w:rsidRPr="0032036C" w:rsidRDefault="0018773D" w:rsidP="002C707D">
            <w:pPr>
              <w:pStyle w:val="SPSTitle"/>
              <w:spacing w:before="60" w:after="60"/>
              <w:contextualSpacing/>
              <w:rPr>
                <w:b w:val="0"/>
                <w:color w:val="auto"/>
                <w:sz w:val="18"/>
                <w:szCs w:val="18"/>
              </w:rPr>
            </w:pPr>
            <w:r w:rsidRPr="0032036C">
              <w:rPr>
                <w:b w:val="0"/>
                <w:color w:val="auto"/>
                <w:sz w:val="18"/>
                <w:szCs w:val="18"/>
              </w:rPr>
              <w:t>Drafts</w:t>
            </w:r>
          </w:p>
        </w:tc>
      </w:tr>
      <w:tr w:rsidR="00973252" w:rsidRPr="00C81BE8" w:rsidTr="002C707D">
        <w:trPr>
          <w:jc w:val="center"/>
        </w:trPr>
        <w:tc>
          <w:tcPr>
            <w:tcW w:w="2310" w:type="dxa"/>
            <w:tcBorders>
              <w:top w:val="single" w:sz="4" w:space="0" w:color="auto"/>
              <w:left w:val="single" w:sz="4" w:space="0" w:color="auto"/>
              <w:bottom w:val="single" w:sz="4" w:space="0" w:color="auto"/>
              <w:right w:val="single" w:sz="4" w:space="0" w:color="auto"/>
            </w:tcBorders>
          </w:tcPr>
          <w:p w:rsidR="00973252" w:rsidRPr="0032036C" w:rsidRDefault="00FE3A09" w:rsidP="002C707D">
            <w:pPr>
              <w:pStyle w:val="SPSTitle"/>
              <w:spacing w:before="60" w:after="60"/>
              <w:contextualSpacing/>
              <w:rPr>
                <w:b w:val="0"/>
                <w:color w:val="auto"/>
                <w:sz w:val="18"/>
                <w:szCs w:val="18"/>
              </w:rPr>
            </w:pPr>
            <w:r w:rsidRPr="0032036C">
              <w:rPr>
                <w:b w:val="0"/>
                <w:color w:val="auto"/>
                <w:sz w:val="18"/>
                <w:szCs w:val="18"/>
              </w:rPr>
              <w:t>September 2018</w:t>
            </w:r>
          </w:p>
        </w:tc>
        <w:tc>
          <w:tcPr>
            <w:tcW w:w="2310" w:type="dxa"/>
            <w:tcBorders>
              <w:top w:val="single" w:sz="4" w:space="0" w:color="auto"/>
              <w:left w:val="single" w:sz="4" w:space="0" w:color="auto"/>
              <w:bottom w:val="single" w:sz="4" w:space="0" w:color="auto"/>
              <w:right w:val="single" w:sz="4" w:space="0" w:color="auto"/>
            </w:tcBorders>
          </w:tcPr>
          <w:p w:rsidR="00973252" w:rsidRPr="0032036C" w:rsidRDefault="00FE3A09" w:rsidP="002C707D">
            <w:pPr>
              <w:pStyle w:val="SPSTitle"/>
              <w:spacing w:before="60" w:after="60"/>
              <w:contextualSpacing/>
              <w:rPr>
                <w:b w:val="0"/>
                <w:color w:val="auto"/>
                <w:sz w:val="18"/>
                <w:szCs w:val="18"/>
              </w:rPr>
            </w:pPr>
            <w:r w:rsidRPr="0032036C">
              <w:rPr>
                <w:b w:val="0"/>
                <w:color w:val="auto"/>
                <w:sz w:val="18"/>
                <w:szCs w:val="18"/>
              </w:rPr>
              <w:t>S Brown</w:t>
            </w:r>
          </w:p>
        </w:tc>
        <w:tc>
          <w:tcPr>
            <w:tcW w:w="2311" w:type="dxa"/>
            <w:tcBorders>
              <w:top w:val="single" w:sz="4" w:space="0" w:color="auto"/>
              <w:left w:val="single" w:sz="4" w:space="0" w:color="auto"/>
              <w:bottom w:val="single" w:sz="4" w:space="0" w:color="auto"/>
              <w:right w:val="single" w:sz="4" w:space="0" w:color="auto"/>
            </w:tcBorders>
          </w:tcPr>
          <w:p w:rsidR="00973252" w:rsidRPr="0032036C" w:rsidRDefault="00FE3A09" w:rsidP="002C707D">
            <w:pPr>
              <w:pStyle w:val="SPSTitle"/>
              <w:spacing w:before="60" w:after="60"/>
              <w:contextualSpacing/>
              <w:rPr>
                <w:b w:val="0"/>
                <w:color w:val="auto"/>
                <w:sz w:val="18"/>
                <w:szCs w:val="18"/>
              </w:rPr>
            </w:pPr>
            <w:r w:rsidRPr="0032036C">
              <w:rPr>
                <w:b w:val="0"/>
                <w:color w:val="auto"/>
                <w:sz w:val="18"/>
                <w:szCs w:val="18"/>
              </w:rPr>
              <w:t>Reviewed by South of England RMOC</w:t>
            </w:r>
          </w:p>
        </w:tc>
        <w:tc>
          <w:tcPr>
            <w:tcW w:w="2311" w:type="dxa"/>
            <w:tcBorders>
              <w:top w:val="single" w:sz="4" w:space="0" w:color="auto"/>
              <w:left w:val="single" w:sz="4" w:space="0" w:color="auto"/>
              <w:bottom w:val="single" w:sz="4" w:space="0" w:color="auto"/>
              <w:right w:val="single" w:sz="4" w:space="0" w:color="auto"/>
            </w:tcBorders>
          </w:tcPr>
          <w:p w:rsidR="00973252" w:rsidRPr="0032036C" w:rsidRDefault="0018773D" w:rsidP="002C707D">
            <w:pPr>
              <w:pStyle w:val="SPSTitle"/>
              <w:spacing w:before="60" w:after="60"/>
              <w:contextualSpacing/>
              <w:rPr>
                <w:b w:val="0"/>
                <w:color w:val="auto"/>
                <w:sz w:val="18"/>
                <w:szCs w:val="18"/>
              </w:rPr>
            </w:pPr>
            <w:r w:rsidRPr="0032036C">
              <w:rPr>
                <w:b w:val="0"/>
                <w:color w:val="auto"/>
                <w:sz w:val="18"/>
                <w:szCs w:val="18"/>
              </w:rPr>
              <w:t>Drafts</w:t>
            </w:r>
          </w:p>
        </w:tc>
      </w:tr>
      <w:tr w:rsidR="00FE3A09" w:rsidRPr="00C81BE8" w:rsidTr="002C707D">
        <w:trPr>
          <w:jc w:val="center"/>
        </w:trPr>
        <w:tc>
          <w:tcPr>
            <w:tcW w:w="2310" w:type="dxa"/>
            <w:tcBorders>
              <w:top w:val="single" w:sz="4" w:space="0" w:color="auto"/>
              <w:left w:val="single" w:sz="4" w:space="0" w:color="auto"/>
              <w:bottom w:val="single" w:sz="4" w:space="0" w:color="auto"/>
              <w:right w:val="single" w:sz="4" w:space="0" w:color="auto"/>
            </w:tcBorders>
          </w:tcPr>
          <w:p w:rsidR="00FE3A09" w:rsidRPr="0032036C" w:rsidRDefault="00FE3A09" w:rsidP="002C707D">
            <w:pPr>
              <w:pStyle w:val="SPSTitle"/>
              <w:spacing w:before="60" w:after="60"/>
              <w:contextualSpacing/>
              <w:rPr>
                <w:b w:val="0"/>
                <w:color w:val="auto"/>
                <w:sz w:val="18"/>
                <w:szCs w:val="18"/>
              </w:rPr>
            </w:pPr>
            <w:r w:rsidRPr="0032036C">
              <w:rPr>
                <w:b w:val="0"/>
                <w:color w:val="auto"/>
                <w:sz w:val="18"/>
                <w:szCs w:val="18"/>
              </w:rPr>
              <w:t>January</w:t>
            </w:r>
            <w:r w:rsidR="00BD2F3B" w:rsidRPr="0032036C">
              <w:rPr>
                <w:b w:val="0"/>
                <w:color w:val="auto"/>
                <w:sz w:val="18"/>
                <w:szCs w:val="18"/>
              </w:rPr>
              <w:t xml:space="preserve"> 2019</w:t>
            </w:r>
          </w:p>
        </w:tc>
        <w:tc>
          <w:tcPr>
            <w:tcW w:w="2310" w:type="dxa"/>
            <w:tcBorders>
              <w:top w:val="single" w:sz="4" w:space="0" w:color="auto"/>
              <w:left w:val="single" w:sz="4" w:space="0" w:color="auto"/>
              <w:bottom w:val="single" w:sz="4" w:space="0" w:color="auto"/>
              <w:right w:val="single" w:sz="4" w:space="0" w:color="auto"/>
            </w:tcBorders>
          </w:tcPr>
          <w:p w:rsidR="00FE3A09" w:rsidRPr="0032036C" w:rsidRDefault="00FE3A09" w:rsidP="002C707D">
            <w:pPr>
              <w:pStyle w:val="SPSTitle"/>
              <w:spacing w:before="60" w:after="60"/>
              <w:contextualSpacing/>
              <w:rPr>
                <w:b w:val="0"/>
                <w:color w:val="auto"/>
                <w:sz w:val="18"/>
                <w:szCs w:val="18"/>
              </w:rPr>
            </w:pPr>
            <w:r w:rsidRPr="0032036C">
              <w:rPr>
                <w:b w:val="0"/>
                <w:color w:val="auto"/>
                <w:sz w:val="18"/>
                <w:szCs w:val="18"/>
              </w:rPr>
              <w:t>S Brown</w:t>
            </w:r>
          </w:p>
        </w:tc>
        <w:tc>
          <w:tcPr>
            <w:tcW w:w="2311" w:type="dxa"/>
            <w:tcBorders>
              <w:top w:val="single" w:sz="4" w:space="0" w:color="auto"/>
              <w:left w:val="single" w:sz="4" w:space="0" w:color="auto"/>
              <w:bottom w:val="single" w:sz="4" w:space="0" w:color="auto"/>
              <w:right w:val="single" w:sz="4" w:space="0" w:color="auto"/>
            </w:tcBorders>
          </w:tcPr>
          <w:p w:rsidR="00FE3A09" w:rsidRPr="0032036C" w:rsidRDefault="00BD2F3B" w:rsidP="002C707D">
            <w:pPr>
              <w:pStyle w:val="SPSTitle"/>
              <w:spacing w:before="60" w:after="60"/>
              <w:contextualSpacing/>
              <w:rPr>
                <w:b w:val="0"/>
                <w:color w:val="auto"/>
                <w:sz w:val="18"/>
                <w:szCs w:val="18"/>
              </w:rPr>
            </w:pPr>
            <w:r w:rsidRPr="0032036C">
              <w:rPr>
                <w:b w:val="0"/>
                <w:color w:val="auto"/>
                <w:sz w:val="18"/>
                <w:szCs w:val="18"/>
              </w:rPr>
              <w:t>Additional section added NHSI/ subsidiaries and minor clarifications</w:t>
            </w:r>
          </w:p>
        </w:tc>
        <w:tc>
          <w:tcPr>
            <w:tcW w:w="2311" w:type="dxa"/>
            <w:tcBorders>
              <w:top w:val="single" w:sz="4" w:space="0" w:color="auto"/>
              <w:left w:val="single" w:sz="4" w:space="0" w:color="auto"/>
              <w:bottom w:val="single" w:sz="4" w:space="0" w:color="auto"/>
              <w:right w:val="single" w:sz="4" w:space="0" w:color="auto"/>
            </w:tcBorders>
          </w:tcPr>
          <w:p w:rsidR="00FE3A09" w:rsidRPr="0032036C" w:rsidRDefault="0018773D" w:rsidP="002C707D">
            <w:pPr>
              <w:pStyle w:val="SPSTitle"/>
              <w:spacing w:before="60" w:after="60"/>
              <w:contextualSpacing/>
              <w:rPr>
                <w:b w:val="0"/>
                <w:color w:val="auto"/>
                <w:sz w:val="18"/>
                <w:szCs w:val="18"/>
              </w:rPr>
            </w:pPr>
            <w:r w:rsidRPr="0032036C">
              <w:rPr>
                <w:b w:val="0"/>
                <w:color w:val="auto"/>
                <w:sz w:val="18"/>
                <w:szCs w:val="18"/>
              </w:rPr>
              <w:t>Drafts</w:t>
            </w:r>
          </w:p>
        </w:tc>
      </w:tr>
      <w:tr w:rsidR="00BD2F3B" w:rsidRPr="00C81BE8" w:rsidTr="002C707D">
        <w:trPr>
          <w:jc w:val="center"/>
        </w:trPr>
        <w:tc>
          <w:tcPr>
            <w:tcW w:w="2310" w:type="dxa"/>
            <w:tcBorders>
              <w:top w:val="single" w:sz="4" w:space="0" w:color="auto"/>
              <w:left w:val="single" w:sz="4" w:space="0" w:color="auto"/>
              <w:bottom w:val="single" w:sz="4" w:space="0" w:color="auto"/>
              <w:right w:val="single" w:sz="4" w:space="0" w:color="auto"/>
            </w:tcBorders>
          </w:tcPr>
          <w:p w:rsidR="00BD2F3B" w:rsidRPr="0032036C" w:rsidRDefault="00BD2F3B" w:rsidP="002C707D">
            <w:pPr>
              <w:pStyle w:val="SPSTitle"/>
              <w:spacing w:before="60" w:after="60"/>
              <w:contextualSpacing/>
              <w:rPr>
                <w:b w:val="0"/>
                <w:color w:val="auto"/>
                <w:sz w:val="18"/>
                <w:szCs w:val="18"/>
              </w:rPr>
            </w:pPr>
            <w:r w:rsidRPr="0032036C">
              <w:rPr>
                <w:b w:val="0"/>
                <w:color w:val="auto"/>
                <w:sz w:val="18"/>
                <w:szCs w:val="18"/>
              </w:rPr>
              <w:t>April 2019</w:t>
            </w:r>
          </w:p>
        </w:tc>
        <w:tc>
          <w:tcPr>
            <w:tcW w:w="2310" w:type="dxa"/>
            <w:tcBorders>
              <w:top w:val="single" w:sz="4" w:space="0" w:color="auto"/>
              <w:left w:val="single" w:sz="4" w:space="0" w:color="auto"/>
              <w:bottom w:val="single" w:sz="4" w:space="0" w:color="auto"/>
              <w:right w:val="single" w:sz="4" w:space="0" w:color="auto"/>
            </w:tcBorders>
          </w:tcPr>
          <w:p w:rsidR="00BD2F3B" w:rsidRPr="0032036C" w:rsidRDefault="00BD2F3B" w:rsidP="002C707D">
            <w:pPr>
              <w:pStyle w:val="SPSTitle"/>
              <w:spacing w:before="60" w:after="60"/>
              <w:contextualSpacing/>
              <w:rPr>
                <w:b w:val="0"/>
                <w:color w:val="auto"/>
                <w:sz w:val="18"/>
                <w:szCs w:val="18"/>
              </w:rPr>
            </w:pPr>
            <w:r w:rsidRPr="0032036C">
              <w:rPr>
                <w:b w:val="0"/>
                <w:color w:val="auto"/>
                <w:sz w:val="18"/>
                <w:szCs w:val="18"/>
              </w:rPr>
              <w:t>S Brown</w:t>
            </w:r>
          </w:p>
        </w:tc>
        <w:tc>
          <w:tcPr>
            <w:tcW w:w="2311" w:type="dxa"/>
            <w:tcBorders>
              <w:top w:val="single" w:sz="4" w:space="0" w:color="auto"/>
              <w:left w:val="single" w:sz="4" w:space="0" w:color="auto"/>
              <w:bottom w:val="single" w:sz="4" w:space="0" w:color="auto"/>
              <w:right w:val="single" w:sz="4" w:space="0" w:color="auto"/>
            </w:tcBorders>
          </w:tcPr>
          <w:p w:rsidR="00BD2F3B" w:rsidRPr="0032036C" w:rsidRDefault="00BD2F3B" w:rsidP="002C707D">
            <w:pPr>
              <w:pStyle w:val="SPSTitle"/>
              <w:spacing w:before="60" w:after="60"/>
              <w:contextualSpacing/>
              <w:rPr>
                <w:b w:val="0"/>
                <w:color w:val="auto"/>
                <w:sz w:val="18"/>
                <w:szCs w:val="18"/>
              </w:rPr>
            </w:pPr>
            <w:r w:rsidRPr="0032036C">
              <w:rPr>
                <w:b w:val="0"/>
                <w:color w:val="auto"/>
                <w:sz w:val="18"/>
                <w:szCs w:val="18"/>
              </w:rPr>
              <w:t>Ratification by RMOC with minor clarifications</w:t>
            </w:r>
          </w:p>
        </w:tc>
        <w:tc>
          <w:tcPr>
            <w:tcW w:w="2311" w:type="dxa"/>
            <w:tcBorders>
              <w:top w:val="single" w:sz="4" w:space="0" w:color="auto"/>
              <w:left w:val="single" w:sz="4" w:space="0" w:color="auto"/>
              <w:bottom w:val="single" w:sz="4" w:space="0" w:color="auto"/>
              <w:right w:val="single" w:sz="4" w:space="0" w:color="auto"/>
            </w:tcBorders>
          </w:tcPr>
          <w:p w:rsidR="00BD2F3B" w:rsidRPr="0032036C" w:rsidRDefault="00BD2F3B" w:rsidP="002C707D">
            <w:pPr>
              <w:pStyle w:val="SPSTitle"/>
              <w:spacing w:before="60" w:after="60"/>
              <w:contextualSpacing/>
              <w:rPr>
                <w:b w:val="0"/>
                <w:color w:val="auto"/>
                <w:sz w:val="18"/>
                <w:szCs w:val="18"/>
              </w:rPr>
            </w:pPr>
            <w:r w:rsidRPr="0032036C">
              <w:rPr>
                <w:b w:val="0"/>
                <w:color w:val="auto"/>
                <w:sz w:val="18"/>
                <w:szCs w:val="18"/>
              </w:rPr>
              <w:t>1.0</w:t>
            </w:r>
          </w:p>
        </w:tc>
      </w:tr>
    </w:tbl>
    <w:p w:rsidR="002C707D" w:rsidRPr="00341CCB" w:rsidRDefault="002C707D" w:rsidP="002C707D">
      <w:pPr>
        <w:pStyle w:val="SPSTitle"/>
        <w:spacing w:before="60" w:after="60"/>
        <w:contextualSpacing/>
        <w:rPr>
          <w:b w:val="0"/>
          <w:color w:val="auto"/>
          <w:sz w:val="16"/>
          <w:szCs w:val="16"/>
        </w:rPr>
      </w:pPr>
    </w:p>
    <w:p w:rsidR="002C707D" w:rsidRDefault="002C707D" w:rsidP="002C707D">
      <w:pPr>
        <w:rPr>
          <w:b/>
          <w:sz w:val="18"/>
          <w:szCs w:val="18"/>
        </w:rPr>
      </w:pPr>
      <w:r w:rsidRPr="00C56FE9">
        <w:rPr>
          <w:b/>
          <w:sz w:val="18"/>
          <w:szCs w:val="18"/>
        </w:rPr>
        <w:t>Approvals</w:t>
      </w:r>
    </w:p>
    <w:p w:rsidR="002C707D" w:rsidRPr="00341CCB" w:rsidRDefault="002C707D" w:rsidP="002C707D">
      <w:pPr>
        <w:rPr>
          <w:b/>
          <w:sz w:val="16"/>
          <w:szCs w:val="16"/>
        </w:rPr>
      </w:pPr>
    </w:p>
    <w:tbl>
      <w:tblPr>
        <w:tblStyle w:val="TableGrid"/>
        <w:tblW w:w="0" w:type="auto"/>
        <w:jc w:val="center"/>
        <w:tblLook w:val="04A0" w:firstRow="1" w:lastRow="0" w:firstColumn="1" w:lastColumn="0" w:noHBand="0" w:noVBand="1"/>
      </w:tblPr>
      <w:tblGrid>
        <w:gridCol w:w="3080"/>
        <w:gridCol w:w="3081"/>
        <w:gridCol w:w="3081"/>
      </w:tblGrid>
      <w:tr w:rsidR="002C707D" w:rsidRPr="00C56FE9" w:rsidTr="002C707D">
        <w:trPr>
          <w:jc w:val="center"/>
        </w:trPr>
        <w:tc>
          <w:tcPr>
            <w:tcW w:w="3080" w:type="dxa"/>
            <w:tcBorders>
              <w:top w:val="single" w:sz="4" w:space="0" w:color="auto"/>
              <w:left w:val="single" w:sz="4" w:space="0" w:color="auto"/>
              <w:bottom w:val="single" w:sz="4" w:space="0" w:color="auto"/>
              <w:right w:val="single" w:sz="4" w:space="0" w:color="auto"/>
            </w:tcBorders>
            <w:hideMark/>
          </w:tcPr>
          <w:p w:rsidR="002C707D" w:rsidRPr="004B69C9" w:rsidRDefault="002C707D" w:rsidP="002C707D">
            <w:pPr>
              <w:rPr>
                <w:b/>
                <w:color w:val="000000" w:themeColor="text1"/>
                <w:sz w:val="18"/>
                <w:szCs w:val="18"/>
              </w:rPr>
            </w:pPr>
            <w:r w:rsidRPr="004B69C9">
              <w:rPr>
                <w:b/>
                <w:color w:val="000000" w:themeColor="text1"/>
                <w:sz w:val="18"/>
                <w:szCs w:val="18"/>
              </w:rPr>
              <w:t>Name</w:t>
            </w:r>
          </w:p>
        </w:tc>
        <w:tc>
          <w:tcPr>
            <w:tcW w:w="3081" w:type="dxa"/>
            <w:tcBorders>
              <w:top w:val="single" w:sz="4" w:space="0" w:color="auto"/>
              <w:left w:val="single" w:sz="4" w:space="0" w:color="auto"/>
              <w:bottom w:val="single" w:sz="4" w:space="0" w:color="auto"/>
              <w:right w:val="single" w:sz="4" w:space="0" w:color="auto"/>
            </w:tcBorders>
            <w:hideMark/>
          </w:tcPr>
          <w:p w:rsidR="002C707D" w:rsidRPr="004B69C9" w:rsidRDefault="002C707D" w:rsidP="002C707D">
            <w:pPr>
              <w:rPr>
                <w:b/>
                <w:color w:val="000000" w:themeColor="text1"/>
                <w:sz w:val="18"/>
                <w:szCs w:val="18"/>
              </w:rPr>
            </w:pPr>
            <w:r w:rsidRPr="004B69C9">
              <w:rPr>
                <w:b/>
                <w:color w:val="000000" w:themeColor="text1"/>
                <w:sz w:val="18"/>
                <w:szCs w:val="18"/>
              </w:rPr>
              <w:t>Date of Approval</w:t>
            </w:r>
          </w:p>
        </w:tc>
        <w:tc>
          <w:tcPr>
            <w:tcW w:w="3081" w:type="dxa"/>
            <w:tcBorders>
              <w:top w:val="single" w:sz="4" w:space="0" w:color="auto"/>
              <w:left w:val="single" w:sz="4" w:space="0" w:color="auto"/>
              <w:bottom w:val="single" w:sz="4" w:space="0" w:color="auto"/>
              <w:right w:val="single" w:sz="4" w:space="0" w:color="auto"/>
            </w:tcBorders>
            <w:hideMark/>
          </w:tcPr>
          <w:p w:rsidR="002C707D" w:rsidRPr="004B69C9" w:rsidRDefault="002C707D" w:rsidP="002C707D">
            <w:pPr>
              <w:rPr>
                <w:b/>
                <w:color w:val="000000" w:themeColor="text1"/>
                <w:sz w:val="18"/>
                <w:szCs w:val="18"/>
              </w:rPr>
            </w:pPr>
            <w:r w:rsidRPr="004B69C9">
              <w:rPr>
                <w:b/>
                <w:color w:val="000000" w:themeColor="text1"/>
                <w:sz w:val="18"/>
                <w:szCs w:val="18"/>
              </w:rPr>
              <w:t>Version</w:t>
            </w:r>
          </w:p>
        </w:tc>
      </w:tr>
      <w:tr w:rsidR="002C707D" w:rsidRPr="00C56FE9" w:rsidTr="002C707D">
        <w:trPr>
          <w:jc w:val="center"/>
        </w:trPr>
        <w:tc>
          <w:tcPr>
            <w:tcW w:w="3080" w:type="dxa"/>
            <w:tcBorders>
              <w:top w:val="single" w:sz="4" w:space="0" w:color="auto"/>
              <w:left w:val="single" w:sz="4" w:space="0" w:color="auto"/>
              <w:bottom w:val="single" w:sz="4" w:space="0" w:color="auto"/>
              <w:right w:val="single" w:sz="4" w:space="0" w:color="auto"/>
            </w:tcBorders>
            <w:hideMark/>
          </w:tcPr>
          <w:p w:rsidR="002C707D" w:rsidRPr="00C56FE9" w:rsidRDefault="00FE3A09" w:rsidP="002C707D">
            <w:pPr>
              <w:rPr>
                <w:sz w:val="18"/>
                <w:szCs w:val="18"/>
              </w:rPr>
            </w:pPr>
            <w:r>
              <w:rPr>
                <w:sz w:val="18"/>
                <w:szCs w:val="18"/>
              </w:rPr>
              <w:t>MO CRG</w:t>
            </w:r>
            <w:r w:rsidR="002C707D">
              <w:rPr>
                <w:sz w:val="18"/>
                <w:szCs w:val="18"/>
              </w:rPr>
              <w:t xml:space="preserve"> </w:t>
            </w:r>
          </w:p>
        </w:tc>
        <w:tc>
          <w:tcPr>
            <w:tcW w:w="3081" w:type="dxa"/>
            <w:tcBorders>
              <w:top w:val="single" w:sz="4" w:space="0" w:color="auto"/>
              <w:left w:val="single" w:sz="4" w:space="0" w:color="auto"/>
              <w:bottom w:val="single" w:sz="4" w:space="0" w:color="auto"/>
              <w:right w:val="single" w:sz="4" w:space="0" w:color="auto"/>
            </w:tcBorders>
          </w:tcPr>
          <w:p w:rsidR="002C707D" w:rsidRPr="00C56FE9" w:rsidRDefault="002C707D" w:rsidP="002C707D">
            <w:pPr>
              <w:rPr>
                <w:sz w:val="18"/>
                <w:szCs w:val="18"/>
              </w:rPr>
            </w:pPr>
          </w:p>
        </w:tc>
        <w:tc>
          <w:tcPr>
            <w:tcW w:w="3081" w:type="dxa"/>
            <w:tcBorders>
              <w:top w:val="single" w:sz="4" w:space="0" w:color="auto"/>
              <w:left w:val="single" w:sz="4" w:space="0" w:color="auto"/>
              <w:bottom w:val="single" w:sz="4" w:space="0" w:color="auto"/>
              <w:right w:val="single" w:sz="4" w:space="0" w:color="auto"/>
            </w:tcBorders>
          </w:tcPr>
          <w:p w:rsidR="002C707D" w:rsidRPr="00C56FE9" w:rsidRDefault="002C707D" w:rsidP="002C707D">
            <w:pPr>
              <w:rPr>
                <w:sz w:val="18"/>
                <w:szCs w:val="18"/>
              </w:rPr>
            </w:pPr>
          </w:p>
        </w:tc>
      </w:tr>
      <w:tr w:rsidR="00FE3A09" w:rsidRPr="00C56FE9" w:rsidTr="002C707D">
        <w:trPr>
          <w:jc w:val="center"/>
        </w:trPr>
        <w:tc>
          <w:tcPr>
            <w:tcW w:w="3080" w:type="dxa"/>
            <w:tcBorders>
              <w:top w:val="single" w:sz="4" w:space="0" w:color="auto"/>
              <w:left w:val="single" w:sz="4" w:space="0" w:color="auto"/>
              <w:bottom w:val="single" w:sz="4" w:space="0" w:color="auto"/>
              <w:right w:val="single" w:sz="4" w:space="0" w:color="auto"/>
            </w:tcBorders>
          </w:tcPr>
          <w:p w:rsidR="00FE3A09" w:rsidRDefault="00FE3A09" w:rsidP="002C707D">
            <w:pPr>
              <w:rPr>
                <w:sz w:val="18"/>
                <w:szCs w:val="18"/>
              </w:rPr>
            </w:pPr>
            <w:proofErr w:type="spellStart"/>
            <w:r>
              <w:rPr>
                <w:sz w:val="18"/>
                <w:szCs w:val="18"/>
              </w:rPr>
              <w:t>SoE</w:t>
            </w:r>
            <w:proofErr w:type="spellEnd"/>
            <w:r>
              <w:rPr>
                <w:sz w:val="18"/>
                <w:szCs w:val="18"/>
              </w:rPr>
              <w:t xml:space="preserve"> RMOC</w:t>
            </w:r>
          </w:p>
        </w:tc>
        <w:tc>
          <w:tcPr>
            <w:tcW w:w="3081" w:type="dxa"/>
            <w:tcBorders>
              <w:top w:val="single" w:sz="4" w:space="0" w:color="auto"/>
              <w:left w:val="single" w:sz="4" w:space="0" w:color="auto"/>
              <w:bottom w:val="single" w:sz="4" w:space="0" w:color="auto"/>
              <w:right w:val="single" w:sz="4" w:space="0" w:color="auto"/>
            </w:tcBorders>
          </w:tcPr>
          <w:p w:rsidR="00FE3A09" w:rsidRPr="00C56FE9" w:rsidRDefault="00FE3A09" w:rsidP="002C707D">
            <w:pPr>
              <w:rPr>
                <w:sz w:val="18"/>
                <w:szCs w:val="18"/>
              </w:rPr>
            </w:pPr>
            <w:r>
              <w:rPr>
                <w:sz w:val="18"/>
                <w:szCs w:val="18"/>
              </w:rPr>
              <w:t>January 2019</w:t>
            </w:r>
          </w:p>
        </w:tc>
        <w:tc>
          <w:tcPr>
            <w:tcW w:w="3081" w:type="dxa"/>
            <w:tcBorders>
              <w:top w:val="single" w:sz="4" w:space="0" w:color="auto"/>
              <w:left w:val="single" w:sz="4" w:space="0" w:color="auto"/>
              <w:bottom w:val="single" w:sz="4" w:space="0" w:color="auto"/>
              <w:right w:val="single" w:sz="4" w:space="0" w:color="auto"/>
            </w:tcBorders>
          </w:tcPr>
          <w:p w:rsidR="00FE3A09" w:rsidRPr="00C56FE9" w:rsidRDefault="00FE3A09" w:rsidP="002C707D">
            <w:pPr>
              <w:rPr>
                <w:sz w:val="18"/>
                <w:szCs w:val="18"/>
              </w:rPr>
            </w:pPr>
          </w:p>
        </w:tc>
      </w:tr>
      <w:tr w:rsidR="002C707D" w:rsidRPr="00C56FE9" w:rsidTr="002C707D">
        <w:trPr>
          <w:jc w:val="center"/>
        </w:trPr>
        <w:tc>
          <w:tcPr>
            <w:tcW w:w="3080" w:type="dxa"/>
            <w:tcBorders>
              <w:top w:val="single" w:sz="4" w:space="0" w:color="auto"/>
              <w:left w:val="single" w:sz="4" w:space="0" w:color="auto"/>
              <w:bottom w:val="single" w:sz="4" w:space="0" w:color="auto"/>
              <w:right w:val="single" w:sz="4" w:space="0" w:color="auto"/>
            </w:tcBorders>
            <w:hideMark/>
          </w:tcPr>
          <w:p w:rsidR="002C707D" w:rsidRPr="00C56FE9" w:rsidRDefault="00FE3A09" w:rsidP="002C707D">
            <w:pPr>
              <w:rPr>
                <w:sz w:val="18"/>
                <w:szCs w:val="18"/>
              </w:rPr>
            </w:pPr>
            <w:r>
              <w:rPr>
                <w:sz w:val="18"/>
                <w:szCs w:val="18"/>
              </w:rPr>
              <w:t>RMOC</w:t>
            </w:r>
          </w:p>
        </w:tc>
        <w:tc>
          <w:tcPr>
            <w:tcW w:w="3081" w:type="dxa"/>
            <w:tcBorders>
              <w:top w:val="single" w:sz="4" w:space="0" w:color="auto"/>
              <w:left w:val="single" w:sz="4" w:space="0" w:color="auto"/>
              <w:bottom w:val="single" w:sz="4" w:space="0" w:color="auto"/>
              <w:right w:val="single" w:sz="4" w:space="0" w:color="auto"/>
            </w:tcBorders>
          </w:tcPr>
          <w:p w:rsidR="002C707D" w:rsidRPr="00C56FE9" w:rsidRDefault="00FE3A09" w:rsidP="002C707D">
            <w:pPr>
              <w:rPr>
                <w:sz w:val="18"/>
                <w:szCs w:val="18"/>
              </w:rPr>
            </w:pPr>
            <w:r>
              <w:rPr>
                <w:sz w:val="18"/>
                <w:szCs w:val="18"/>
              </w:rPr>
              <w:t>April 2019</w:t>
            </w:r>
          </w:p>
        </w:tc>
        <w:tc>
          <w:tcPr>
            <w:tcW w:w="3081" w:type="dxa"/>
            <w:tcBorders>
              <w:top w:val="single" w:sz="4" w:space="0" w:color="auto"/>
              <w:left w:val="single" w:sz="4" w:space="0" w:color="auto"/>
              <w:bottom w:val="single" w:sz="4" w:space="0" w:color="auto"/>
              <w:right w:val="single" w:sz="4" w:space="0" w:color="auto"/>
            </w:tcBorders>
          </w:tcPr>
          <w:p w:rsidR="002C707D" w:rsidRPr="00C56FE9" w:rsidRDefault="006A530D" w:rsidP="002C707D">
            <w:pPr>
              <w:rPr>
                <w:sz w:val="18"/>
                <w:szCs w:val="18"/>
              </w:rPr>
            </w:pPr>
            <w:r>
              <w:rPr>
                <w:sz w:val="18"/>
                <w:szCs w:val="18"/>
              </w:rPr>
              <w:t>1.0</w:t>
            </w:r>
          </w:p>
        </w:tc>
      </w:tr>
    </w:tbl>
    <w:p w:rsidR="002C707D" w:rsidRDefault="002C707D" w:rsidP="002C707D">
      <w:pPr>
        <w:pStyle w:val="SPSTitle"/>
        <w:spacing w:before="60" w:after="60"/>
        <w:contextualSpacing/>
        <w:rPr>
          <w:color w:val="auto"/>
          <w:sz w:val="18"/>
          <w:szCs w:val="18"/>
        </w:rPr>
      </w:pPr>
    </w:p>
    <w:p w:rsidR="002C707D" w:rsidRDefault="002C707D" w:rsidP="002C707D">
      <w:pPr>
        <w:pStyle w:val="SPSTitle"/>
        <w:spacing w:before="60" w:after="60"/>
        <w:contextualSpacing/>
        <w:rPr>
          <w:color w:val="auto"/>
          <w:sz w:val="18"/>
          <w:szCs w:val="18"/>
        </w:rPr>
      </w:pPr>
      <w:r>
        <w:rPr>
          <w:color w:val="auto"/>
          <w:sz w:val="18"/>
          <w:szCs w:val="18"/>
        </w:rPr>
        <w:t>Consultation</w:t>
      </w:r>
    </w:p>
    <w:p w:rsidR="002C707D" w:rsidRDefault="002C707D" w:rsidP="002C707D">
      <w:pPr>
        <w:pStyle w:val="SPSTitle"/>
        <w:spacing w:before="60" w:after="60"/>
        <w:contextualSpacing/>
        <w:rPr>
          <w:b w:val="0"/>
          <w:color w:val="auto"/>
          <w:sz w:val="18"/>
          <w:szCs w:val="18"/>
        </w:rPr>
      </w:pPr>
      <w:r w:rsidRPr="0032036C">
        <w:rPr>
          <w:b w:val="0"/>
          <w:color w:val="auto"/>
          <w:sz w:val="18"/>
          <w:szCs w:val="18"/>
        </w:rPr>
        <w:t xml:space="preserve">The production of </w:t>
      </w:r>
      <w:r w:rsidR="00341CCB" w:rsidRPr="0032036C">
        <w:rPr>
          <w:b w:val="0"/>
          <w:color w:val="auto"/>
          <w:sz w:val="18"/>
          <w:szCs w:val="18"/>
        </w:rPr>
        <w:t xml:space="preserve">guidance </w:t>
      </w:r>
      <w:r w:rsidRPr="0032036C">
        <w:rPr>
          <w:b w:val="0"/>
          <w:color w:val="auto"/>
          <w:sz w:val="18"/>
          <w:szCs w:val="18"/>
        </w:rPr>
        <w:t>involved</w:t>
      </w:r>
      <w:r w:rsidR="00341CCB" w:rsidRPr="0032036C">
        <w:rPr>
          <w:b w:val="0"/>
          <w:color w:val="auto"/>
          <w:sz w:val="18"/>
          <w:szCs w:val="18"/>
        </w:rPr>
        <w:t xml:space="preserve"> </w:t>
      </w:r>
      <w:r w:rsidR="006A530D" w:rsidRPr="0032036C">
        <w:rPr>
          <w:b w:val="0"/>
          <w:color w:val="auto"/>
          <w:sz w:val="18"/>
          <w:szCs w:val="18"/>
        </w:rPr>
        <w:t xml:space="preserve">MO CRG T &amp; F members </w:t>
      </w:r>
      <w:r w:rsidR="0032036C" w:rsidRPr="0032036C">
        <w:rPr>
          <w:b w:val="0"/>
          <w:color w:val="auto"/>
          <w:sz w:val="18"/>
          <w:szCs w:val="18"/>
        </w:rPr>
        <w:t>and consultation</w:t>
      </w:r>
      <w:r w:rsidRPr="0032036C">
        <w:rPr>
          <w:b w:val="0"/>
          <w:color w:val="auto"/>
          <w:sz w:val="18"/>
          <w:szCs w:val="18"/>
        </w:rPr>
        <w:t xml:space="preserve"> with RMOC members,</w:t>
      </w:r>
    </w:p>
    <w:p w:rsidR="00341CCB" w:rsidRDefault="00341CCB" w:rsidP="002C707D">
      <w:pPr>
        <w:pStyle w:val="SPSTitle"/>
        <w:spacing w:before="60" w:after="60"/>
        <w:contextualSpacing/>
        <w:rPr>
          <w:b w:val="0"/>
          <w:color w:val="auto"/>
          <w:sz w:val="18"/>
          <w:szCs w:val="18"/>
        </w:rPr>
      </w:pPr>
    </w:p>
    <w:tbl>
      <w:tblPr>
        <w:tblStyle w:val="TableGrid"/>
        <w:tblW w:w="0" w:type="auto"/>
        <w:tblLook w:val="04A0" w:firstRow="1" w:lastRow="0" w:firstColumn="1" w:lastColumn="0" w:noHBand="0" w:noVBand="1"/>
      </w:tblPr>
      <w:tblGrid>
        <w:gridCol w:w="2802"/>
        <w:gridCol w:w="7880"/>
      </w:tblGrid>
      <w:tr w:rsidR="00341CCB" w:rsidRPr="00341CCB" w:rsidTr="00341CCB">
        <w:tc>
          <w:tcPr>
            <w:tcW w:w="2802" w:type="dxa"/>
          </w:tcPr>
          <w:p w:rsidR="00341CCB" w:rsidRPr="00341CCB" w:rsidRDefault="00341CCB" w:rsidP="00E72E3F">
            <w:pPr>
              <w:spacing w:before="60" w:after="60"/>
              <w:rPr>
                <w:rFonts w:eastAsiaTheme="minorHAnsi" w:cs="Arial"/>
                <w:sz w:val="18"/>
                <w:szCs w:val="18"/>
              </w:rPr>
            </w:pPr>
            <w:r w:rsidRPr="00341CCB">
              <w:rPr>
                <w:rFonts w:eastAsiaTheme="minorHAnsi" w:cs="Arial"/>
                <w:sz w:val="18"/>
                <w:szCs w:val="18"/>
              </w:rPr>
              <w:t>MO CRG T&amp;F members:</w:t>
            </w:r>
          </w:p>
        </w:tc>
        <w:tc>
          <w:tcPr>
            <w:tcW w:w="7880" w:type="dxa"/>
          </w:tcPr>
          <w:p w:rsidR="00341CCB" w:rsidRPr="00341CCB" w:rsidRDefault="00341CCB" w:rsidP="00341CCB">
            <w:pPr>
              <w:spacing w:before="60" w:after="60"/>
              <w:rPr>
                <w:rFonts w:eastAsiaTheme="minorHAnsi" w:cs="Arial"/>
                <w:sz w:val="18"/>
                <w:szCs w:val="18"/>
              </w:rPr>
            </w:pPr>
            <w:r w:rsidRPr="00341CCB">
              <w:rPr>
                <w:rFonts w:eastAsiaTheme="minorHAnsi" w:cs="Arial"/>
                <w:sz w:val="18"/>
                <w:szCs w:val="18"/>
              </w:rPr>
              <w:t xml:space="preserve">Nicola </w:t>
            </w:r>
            <w:proofErr w:type="spellStart"/>
            <w:r w:rsidRPr="00341CCB">
              <w:rPr>
                <w:rFonts w:eastAsiaTheme="minorHAnsi" w:cs="Arial"/>
                <w:sz w:val="18"/>
                <w:szCs w:val="18"/>
              </w:rPr>
              <w:t>Berns</w:t>
            </w:r>
            <w:proofErr w:type="spellEnd"/>
            <w:r w:rsidRPr="00341CCB">
              <w:rPr>
                <w:rFonts w:eastAsiaTheme="minorHAnsi" w:cs="Arial"/>
                <w:sz w:val="18"/>
                <w:szCs w:val="18"/>
              </w:rPr>
              <w:t>, The Queen Elizabeth Hospital King's Lynn NHS Foundation Trust</w:t>
            </w:r>
          </w:p>
          <w:p w:rsidR="00341CCB" w:rsidRPr="00341CCB" w:rsidRDefault="00341CCB" w:rsidP="00341CCB">
            <w:pPr>
              <w:spacing w:before="60" w:after="60"/>
              <w:rPr>
                <w:rFonts w:eastAsiaTheme="minorHAnsi" w:cs="Arial"/>
                <w:sz w:val="18"/>
                <w:szCs w:val="18"/>
              </w:rPr>
            </w:pPr>
            <w:r w:rsidRPr="00341CCB">
              <w:rPr>
                <w:rFonts w:eastAsiaTheme="minorHAnsi" w:cs="Arial"/>
                <w:sz w:val="18"/>
                <w:szCs w:val="18"/>
              </w:rPr>
              <w:t>Damian Child, Sheffield Teaching Hospitals NHS Foundation Trust</w:t>
            </w:r>
          </w:p>
          <w:p w:rsidR="00341CCB" w:rsidRPr="00341CCB" w:rsidRDefault="00341CCB" w:rsidP="00341CCB">
            <w:pPr>
              <w:spacing w:before="60" w:after="60"/>
              <w:rPr>
                <w:rFonts w:eastAsiaTheme="minorHAnsi" w:cs="Arial"/>
                <w:sz w:val="18"/>
                <w:szCs w:val="18"/>
              </w:rPr>
            </w:pPr>
            <w:r w:rsidRPr="00341CCB">
              <w:rPr>
                <w:rFonts w:eastAsiaTheme="minorHAnsi" w:cs="Arial"/>
                <w:sz w:val="18"/>
                <w:szCs w:val="18"/>
              </w:rPr>
              <w:t xml:space="preserve">Rob </w:t>
            </w:r>
            <w:proofErr w:type="spellStart"/>
            <w:r w:rsidRPr="00341CCB">
              <w:rPr>
                <w:rFonts w:eastAsiaTheme="minorHAnsi" w:cs="Arial"/>
                <w:sz w:val="18"/>
                <w:szCs w:val="18"/>
              </w:rPr>
              <w:t>Duncombe</w:t>
            </w:r>
            <w:proofErr w:type="spellEnd"/>
            <w:r w:rsidRPr="00341CCB">
              <w:rPr>
                <w:rFonts w:eastAsiaTheme="minorHAnsi" w:cs="Arial"/>
                <w:sz w:val="18"/>
                <w:szCs w:val="18"/>
              </w:rPr>
              <w:t>, The Christie NHS Foundation Trust</w:t>
            </w:r>
          </w:p>
          <w:p w:rsidR="00341CCB" w:rsidRPr="00341CCB" w:rsidRDefault="00341CCB" w:rsidP="00341CCB">
            <w:pPr>
              <w:spacing w:before="60" w:after="60"/>
              <w:rPr>
                <w:rFonts w:eastAsiaTheme="minorHAnsi" w:cs="Arial"/>
                <w:sz w:val="18"/>
                <w:szCs w:val="18"/>
              </w:rPr>
            </w:pPr>
            <w:r w:rsidRPr="00341CCB">
              <w:rPr>
                <w:rFonts w:eastAsiaTheme="minorHAnsi" w:cs="Arial"/>
                <w:sz w:val="18"/>
                <w:szCs w:val="18"/>
              </w:rPr>
              <w:t>Jacqueline Eastwood, NHS London Procurement Partnership</w:t>
            </w:r>
          </w:p>
          <w:p w:rsidR="00341CCB" w:rsidRPr="00341CCB" w:rsidRDefault="00341CCB" w:rsidP="00341CCB">
            <w:pPr>
              <w:spacing w:before="60" w:after="60"/>
              <w:rPr>
                <w:rFonts w:eastAsiaTheme="minorHAnsi" w:cs="Arial"/>
                <w:sz w:val="18"/>
                <w:szCs w:val="18"/>
              </w:rPr>
            </w:pPr>
            <w:r w:rsidRPr="00341CCB">
              <w:rPr>
                <w:rFonts w:eastAsiaTheme="minorHAnsi" w:cs="Arial"/>
                <w:sz w:val="18"/>
                <w:szCs w:val="18"/>
              </w:rPr>
              <w:t xml:space="preserve">Susan </w:t>
            </w:r>
            <w:proofErr w:type="spellStart"/>
            <w:r w:rsidRPr="00341CCB">
              <w:rPr>
                <w:rFonts w:eastAsiaTheme="minorHAnsi" w:cs="Arial"/>
                <w:sz w:val="18"/>
                <w:szCs w:val="18"/>
              </w:rPr>
              <w:t>Gibert</w:t>
            </w:r>
            <w:proofErr w:type="spellEnd"/>
            <w:r w:rsidRPr="00341CCB">
              <w:rPr>
                <w:rFonts w:eastAsiaTheme="minorHAnsi" w:cs="Arial"/>
                <w:sz w:val="18"/>
                <w:szCs w:val="18"/>
              </w:rPr>
              <w:t>, National Homecare Medicines Committee</w:t>
            </w:r>
          </w:p>
          <w:p w:rsidR="00341CCB" w:rsidRPr="00341CCB" w:rsidRDefault="00341CCB" w:rsidP="00341CCB">
            <w:pPr>
              <w:spacing w:before="60" w:after="60"/>
              <w:rPr>
                <w:rFonts w:eastAsiaTheme="minorHAnsi" w:cs="Arial"/>
                <w:sz w:val="18"/>
                <w:szCs w:val="18"/>
              </w:rPr>
            </w:pPr>
            <w:r w:rsidRPr="00341CCB">
              <w:rPr>
                <w:rFonts w:eastAsiaTheme="minorHAnsi" w:cs="Arial"/>
                <w:sz w:val="18"/>
                <w:szCs w:val="18"/>
              </w:rPr>
              <w:t>Charlotte Skitterall, University Hospital of South Manchester NHS Foundation Trust</w:t>
            </w:r>
          </w:p>
          <w:p w:rsidR="00341CCB" w:rsidRPr="00341CCB" w:rsidRDefault="00341CCB" w:rsidP="00341CCB">
            <w:pPr>
              <w:spacing w:before="60" w:after="60"/>
              <w:rPr>
                <w:rFonts w:eastAsiaTheme="minorHAnsi" w:cs="Arial"/>
                <w:sz w:val="18"/>
                <w:szCs w:val="18"/>
              </w:rPr>
            </w:pPr>
            <w:r w:rsidRPr="00341CCB">
              <w:rPr>
                <w:rFonts w:eastAsiaTheme="minorHAnsi" w:cs="Arial"/>
                <w:sz w:val="18"/>
                <w:szCs w:val="18"/>
              </w:rPr>
              <w:lastRenderedPageBreak/>
              <w:t>Janette Stephenson, NHS North of England Commissioning Support Unit</w:t>
            </w:r>
          </w:p>
          <w:p w:rsidR="00341CCB" w:rsidRPr="00341CCB" w:rsidRDefault="00341CCB" w:rsidP="00341CCB">
            <w:pPr>
              <w:spacing w:before="60" w:after="60"/>
              <w:rPr>
                <w:rFonts w:eastAsiaTheme="minorHAnsi" w:cs="Arial"/>
                <w:sz w:val="18"/>
                <w:szCs w:val="18"/>
              </w:rPr>
            </w:pPr>
            <w:r w:rsidRPr="00341CCB">
              <w:rPr>
                <w:rFonts w:eastAsiaTheme="minorHAnsi" w:cs="Arial"/>
                <w:sz w:val="18"/>
                <w:szCs w:val="18"/>
              </w:rPr>
              <w:t>Susan Thomson, University Hospitals of North Midlands NHS Trust</w:t>
            </w:r>
          </w:p>
        </w:tc>
      </w:tr>
    </w:tbl>
    <w:p w:rsidR="00041E1D" w:rsidRDefault="00041E1D" w:rsidP="00E72E3F">
      <w:pPr>
        <w:spacing w:before="60" w:after="60"/>
        <w:rPr>
          <w:rFonts w:eastAsiaTheme="minorHAnsi" w:cs="Arial"/>
          <w:sz w:val="22"/>
          <w:szCs w:val="22"/>
        </w:rPr>
      </w:pPr>
    </w:p>
    <w:p w:rsidR="00041E1D" w:rsidRDefault="00041E1D" w:rsidP="00E72E3F">
      <w:pPr>
        <w:spacing w:before="60" w:after="60"/>
        <w:rPr>
          <w:rFonts w:eastAsiaTheme="minorHAnsi" w:cs="Arial"/>
          <w:sz w:val="22"/>
          <w:szCs w:val="22"/>
        </w:rPr>
      </w:pPr>
    </w:p>
    <w:tbl>
      <w:tblPr>
        <w:tblStyle w:val="TableGrid"/>
        <w:tblW w:w="0" w:type="auto"/>
        <w:jc w:val="center"/>
        <w:tblBorders>
          <w:top w:val="single" w:sz="6" w:space="0" w:color="0070C0"/>
          <w:left w:val="none" w:sz="0" w:space="0" w:color="auto"/>
          <w:bottom w:val="none" w:sz="0" w:space="0" w:color="auto"/>
          <w:right w:val="none" w:sz="0" w:space="0" w:color="auto"/>
          <w:insideH w:val="single" w:sz="6" w:space="0" w:color="0070C0"/>
          <w:insideV w:val="single" w:sz="6" w:space="0" w:color="0070C0"/>
        </w:tblBorders>
        <w:tblLook w:val="04A0" w:firstRow="1" w:lastRow="0" w:firstColumn="1" w:lastColumn="0" w:noHBand="0" w:noVBand="1"/>
      </w:tblPr>
      <w:tblGrid>
        <w:gridCol w:w="10676"/>
      </w:tblGrid>
      <w:tr w:rsidR="002C707D" w:rsidTr="002C707D">
        <w:trPr>
          <w:jc w:val="center"/>
        </w:trPr>
        <w:tc>
          <w:tcPr>
            <w:tcW w:w="10676" w:type="dxa"/>
            <w:shd w:val="clear" w:color="auto" w:fill="0072C6"/>
          </w:tcPr>
          <w:p w:rsidR="002C707D" w:rsidRPr="00DA64C4" w:rsidRDefault="002C707D" w:rsidP="002C707D">
            <w:pPr>
              <w:pStyle w:val="SPSTitle"/>
              <w:spacing w:before="60" w:after="60"/>
              <w:contextualSpacing/>
              <w:rPr>
                <w:color w:val="auto"/>
                <w:sz w:val="22"/>
                <w:szCs w:val="22"/>
              </w:rPr>
            </w:pPr>
            <w:r w:rsidRPr="00DA64C4">
              <w:rPr>
                <w:color w:val="FFFFFF" w:themeColor="background1"/>
                <w:sz w:val="22"/>
                <w:szCs w:val="22"/>
              </w:rPr>
              <w:t>Further information</w:t>
            </w:r>
          </w:p>
        </w:tc>
      </w:tr>
    </w:tbl>
    <w:p w:rsidR="002C707D" w:rsidRDefault="002C707D" w:rsidP="00E72E3F">
      <w:pPr>
        <w:spacing w:before="60" w:after="60"/>
        <w:rPr>
          <w:rFonts w:eastAsiaTheme="minorHAnsi" w:cs="Arial"/>
          <w:sz w:val="22"/>
          <w:szCs w:val="22"/>
        </w:rPr>
      </w:pPr>
    </w:p>
    <w:p w:rsidR="002C707D" w:rsidRDefault="002C707D" w:rsidP="002C707D">
      <w:pPr>
        <w:pStyle w:val="SPSTitle"/>
        <w:spacing w:before="60" w:after="60"/>
        <w:rPr>
          <w:color w:val="auto"/>
          <w:sz w:val="20"/>
          <w:szCs w:val="20"/>
        </w:rPr>
      </w:pPr>
      <w:r>
        <w:rPr>
          <w:color w:val="auto"/>
          <w:sz w:val="20"/>
          <w:szCs w:val="20"/>
        </w:rPr>
        <w:t>Contact:</w:t>
      </w:r>
    </w:p>
    <w:p w:rsidR="002C707D" w:rsidRDefault="0009285E" w:rsidP="002C707D">
      <w:pPr>
        <w:pStyle w:val="SPSTitle"/>
        <w:spacing w:before="60" w:after="60"/>
        <w:rPr>
          <w:b w:val="0"/>
          <w:color w:val="auto"/>
          <w:sz w:val="20"/>
          <w:szCs w:val="20"/>
        </w:rPr>
      </w:pPr>
      <w:hyperlink r:id="rId38" w:history="1">
        <w:r w:rsidR="002C707D" w:rsidRPr="00A8772F">
          <w:rPr>
            <w:rStyle w:val="Hyperlink"/>
            <w:sz w:val="20"/>
            <w:szCs w:val="20"/>
          </w:rPr>
          <w:t>Rmoc.south@nhs.net</w:t>
        </w:r>
      </w:hyperlink>
      <w:r w:rsidR="002C707D">
        <w:rPr>
          <w:color w:val="auto"/>
          <w:sz w:val="20"/>
          <w:szCs w:val="20"/>
        </w:rPr>
        <w:t xml:space="preserve"> </w:t>
      </w:r>
      <w:r w:rsidR="002C707D">
        <w:rPr>
          <w:b w:val="0"/>
          <w:color w:val="auto"/>
          <w:sz w:val="20"/>
          <w:szCs w:val="20"/>
        </w:rPr>
        <w:t>(for enquiries relating to this position statement)</w:t>
      </w:r>
    </w:p>
    <w:p w:rsidR="002C707D" w:rsidRDefault="0009285E" w:rsidP="002C707D">
      <w:pPr>
        <w:spacing w:before="60" w:after="60"/>
        <w:rPr>
          <w:rFonts w:eastAsiaTheme="minorHAnsi" w:cs="Arial"/>
          <w:sz w:val="22"/>
          <w:szCs w:val="22"/>
        </w:rPr>
      </w:pPr>
      <w:hyperlink r:id="rId39" w:history="1">
        <w:r w:rsidR="002C707D" w:rsidRPr="00890670">
          <w:rPr>
            <w:rStyle w:val="Hyperlink"/>
            <w:b/>
            <w:sz w:val="20"/>
            <w:szCs w:val="20"/>
          </w:rPr>
          <w:t>Rmoc.coordinatinghub@nhs.net</w:t>
        </w:r>
      </w:hyperlink>
      <w:r w:rsidR="002C707D" w:rsidRPr="00890670">
        <w:rPr>
          <w:sz w:val="20"/>
          <w:szCs w:val="20"/>
        </w:rPr>
        <w:t xml:space="preserve"> (for general enquiries)</w:t>
      </w:r>
    </w:p>
    <w:p w:rsidR="00041E1D" w:rsidRDefault="00041E1D" w:rsidP="00E72E3F">
      <w:pPr>
        <w:spacing w:before="60" w:after="60"/>
        <w:rPr>
          <w:rFonts w:eastAsiaTheme="minorHAnsi" w:cs="Arial"/>
          <w:sz w:val="22"/>
          <w:szCs w:val="22"/>
        </w:rPr>
      </w:pPr>
    </w:p>
    <w:p w:rsidR="00041E1D" w:rsidRDefault="00041E1D" w:rsidP="00E72E3F">
      <w:pPr>
        <w:spacing w:before="60" w:after="60"/>
        <w:rPr>
          <w:rFonts w:eastAsiaTheme="minorHAnsi" w:cs="Arial"/>
          <w:sz w:val="22"/>
          <w:szCs w:val="22"/>
        </w:rPr>
      </w:pPr>
    </w:p>
    <w:p w:rsidR="00041E1D" w:rsidRDefault="00041E1D" w:rsidP="00DA64C4">
      <w:pPr>
        <w:rPr>
          <w:sz w:val="2"/>
          <w:szCs w:val="2"/>
        </w:rPr>
      </w:pPr>
    </w:p>
    <w:p w:rsidR="00041E1D" w:rsidRDefault="00041E1D" w:rsidP="00DA64C4">
      <w:pPr>
        <w:rPr>
          <w:sz w:val="2"/>
          <w:szCs w:val="2"/>
        </w:rPr>
      </w:pPr>
    </w:p>
    <w:p w:rsidR="00041E1D" w:rsidRDefault="00041E1D" w:rsidP="00DA64C4">
      <w:pPr>
        <w:rPr>
          <w:sz w:val="2"/>
          <w:szCs w:val="2"/>
        </w:rPr>
      </w:pPr>
    </w:p>
    <w:p w:rsidR="00041E1D" w:rsidRDefault="00041E1D" w:rsidP="00DA64C4">
      <w:pPr>
        <w:rPr>
          <w:sz w:val="2"/>
          <w:szCs w:val="2"/>
        </w:rPr>
      </w:pPr>
    </w:p>
    <w:p w:rsidR="00041E1D" w:rsidRDefault="00041E1D" w:rsidP="00DA64C4">
      <w:pPr>
        <w:rPr>
          <w:sz w:val="2"/>
          <w:szCs w:val="2"/>
        </w:rPr>
      </w:pPr>
    </w:p>
    <w:p w:rsidR="00041E1D" w:rsidRDefault="00041E1D" w:rsidP="00DA64C4">
      <w:pPr>
        <w:rPr>
          <w:sz w:val="2"/>
          <w:szCs w:val="2"/>
        </w:rPr>
      </w:pPr>
    </w:p>
    <w:p w:rsidR="00041E1D" w:rsidRDefault="00041E1D" w:rsidP="00DA64C4">
      <w:pPr>
        <w:rPr>
          <w:sz w:val="2"/>
          <w:szCs w:val="2"/>
        </w:rPr>
      </w:pPr>
    </w:p>
    <w:p w:rsidR="00041E1D" w:rsidRDefault="00041E1D" w:rsidP="00DA64C4">
      <w:pPr>
        <w:rPr>
          <w:sz w:val="2"/>
          <w:szCs w:val="2"/>
        </w:rPr>
      </w:pPr>
    </w:p>
    <w:p w:rsidR="00041E1D" w:rsidRDefault="00041E1D" w:rsidP="00DA64C4">
      <w:pPr>
        <w:rPr>
          <w:sz w:val="2"/>
          <w:szCs w:val="2"/>
        </w:rPr>
      </w:pPr>
    </w:p>
    <w:p w:rsidR="00041E1D" w:rsidRDefault="00041E1D" w:rsidP="00DA64C4">
      <w:pPr>
        <w:rPr>
          <w:sz w:val="2"/>
          <w:szCs w:val="2"/>
        </w:rPr>
      </w:pPr>
    </w:p>
    <w:p w:rsidR="00041E1D" w:rsidRDefault="00041E1D" w:rsidP="00DA64C4">
      <w:pPr>
        <w:rPr>
          <w:sz w:val="2"/>
          <w:szCs w:val="2"/>
        </w:rPr>
      </w:pPr>
    </w:p>
    <w:p w:rsidR="00041E1D" w:rsidRDefault="00041E1D" w:rsidP="00DA64C4">
      <w:pPr>
        <w:rPr>
          <w:sz w:val="2"/>
          <w:szCs w:val="2"/>
        </w:rPr>
      </w:pPr>
    </w:p>
    <w:p w:rsidR="00041E1D" w:rsidRDefault="00041E1D" w:rsidP="00DA64C4">
      <w:pPr>
        <w:rPr>
          <w:sz w:val="2"/>
          <w:szCs w:val="2"/>
        </w:rPr>
      </w:pPr>
    </w:p>
    <w:p w:rsidR="007E7DBB" w:rsidRDefault="007E7DBB" w:rsidP="00DA64C4">
      <w:pPr>
        <w:rPr>
          <w:sz w:val="2"/>
          <w:szCs w:val="2"/>
        </w:rPr>
      </w:pPr>
    </w:p>
    <w:sectPr w:rsidR="007E7DBB" w:rsidSect="00415A56">
      <w:headerReference w:type="default" r:id="rId40"/>
      <w:footerReference w:type="default" r:id="rId41"/>
      <w:headerReference w:type="first" r:id="rId42"/>
      <w:footerReference w:type="first" r:id="rId43"/>
      <w:pgSz w:w="11906" w:h="16838" w:code="9"/>
      <w:pgMar w:top="720" w:right="720" w:bottom="720" w:left="720"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8FE" w:rsidRDefault="00A008FE" w:rsidP="0038441D">
      <w:r>
        <w:separator/>
      </w:r>
    </w:p>
  </w:endnote>
  <w:endnote w:type="continuationSeparator" w:id="0">
    <w:p w:rsidR="00A008FE" w:rsidRDefault="00A008FE" w:rsidP="0038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FE" w:rsidRDefault="00A008FE" w:rsidP="006A6EFD">
    <w:pPr>
      <w:pStyle w:val="Footer"/>
    </w:pPr>
    <w:r w:rsidRPr="00C544E5">
      <w:rPr>
        <w:b/>
        <w:noProof/>
        <w:lang w:eastAsia="en-GB"/>
      </w:rPr>
      <mc:AlternateContent>
        <mc:Choice Requires="wps">
          <w:drawing>
            <wp:anchor distT="0" distB="0" distL="114300" distR="114300" simplePos="0" relativeHeight="251652096" behindDoc="0" locked="0" layoutInCell="1" allowOverlap="1" wp14:anchorId="0CDA91FF" wp14:editId="381FA2CD">
              <wp:simplePos x="0" y="0"/>
              <wp:positionH relativeFrom="column">
                <wp:posOffset>3011557</wp:posOffset>
              </wp:positionH>
              <wp:positionV relativeFrom="paragraph">
                <wp:posOffset>107343</wp:posOffset>
              </wp:positionV>
              <wp:extent cx="3957154" cy="35623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154" cy="356235"/>
                      </a:xfrm>
                      <a:prstGeom prst="rect">
                        <a:avLst/>
                      </a:prstGeom>
                      <a:noFill/>
                      <a:ln w="9525">
                        <a:noFill/>
                        <a:miter lim="800000"/>
                        <a:headEnd/>
                        <a:tailEnd/>
                      </a:ln>
                    </wps:spPr>
                    <wps:txbx>
                      <w:txbxContent>
                        <w:p w:rsidR="00A008FE" w:rsidRDefault="00A008FE" w:rsidP="0054590E">
                          <w:pPr>
                            <w:pStyle w:val="Footer"/>
                            <w:ind w:right="360"/>
                            <w:suppressOverlap/>
                            <w:jc w:val="right"/>
                            <w:rPr>
                              <w:rFonts w:cs="Arial"/>
                              <w:b/>
                              <w:color w:val="009D00"/>
                              <w:sz w:val="16"/>
                              <w:szCs w:val="16"/>
                            </w:rPr>
                          </w:pPr>
                          <w:r w:rsidRPr="0026225D">
                            <w:rPr>
                              <w:rFonts w:cs="Arial"/>
                              <w:b/>
                              <w:color w:val="009D00"/>
                              <w:sz w:val="16"/>
                              <w:szCs w:val="16"/>
                            </w:rPr>
                            <w:t xml:space="preserve">Version </w:t>
                          </w:r>
                          <w:r>
                            <w:rPr>
                              <w:rFonts w:cs="Arial"/>
                              <w:b/>
                              <w:color w:val="009D00"/>
                              <w:sz w:val="16"/>
                              <w:szCs w:val="16"/>
                            </w:rPr>
                            <w:t>1.0</w:t>
                          </w:r>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A008FE" w:rsidRDefault="00A008FE" w:rsidP="0054590E">
                          <w:pPr>
                            <w:pStyle w:val="Footer"/>
                            <w:ind w:right="360"/>
                            <w:suppressOverlap/>
                            <w:jc w:val="right"/>
                            <w:rPr>
                              <w:rFonts w:cs="Arial"/>
                              <w:b/>
                              <w:color w:val="009D00"/>
                              <w:sz w:val="28"/>
                              <w:szCs w:val="28"/>
                            </w:rPr>
                          </w:pPr>
                          <w:r>
                            <w:rPr>
                              <w:rFonts w:cs="Arial"/>
                              <w:b/>
                              <w:color w:val="009D00"/>
                              <w:sz w:val="16"/>
                              <w:szCs w:val="16"/>
                            </w:rPr>
                            <w:t xml:space="preserve">Review date: April 2021 </w:t>
                          </w:r>
                        </w:p>
                        <w:p w:rsidR="00A008FE" w:rsidRDefault="00A008FE" w:rsidP="00545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7.15pt;margin-top:8.45pt;width:311.6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" filled="f" stroked="f">
              <v:textbox>
                <w:txbxContent>
                  <w:p w:rsidR="00A008FE" w:rsidRDefault="00A008FE" w:rsidP="0054590E">
                    <w:pPr>
                      <w:pStyle w:val="Footer"/>
                      <w:ind w:right="360"/>
                      <w:suppressOverlap/>
                      <w:jc w:val="right"/>
                      <w:rPr>
                        <w:rFonts w:cs="Arial"/>
                        <w:b/>
                        <w:color w:val="009D00"/>
                        <w:sz w:val="16"/>
                        <w:szCs w:val="16"/>
                      </w:rPr>
                    </w:pPr>
                    <w:r w:rsidRPr="0026225D">
                      <w:rPr>
                        <w:rFonts w:cs="Arial"/>
                        <w:b/>
                        <w:color w:val="009D00"/>
                        <w:sz w:val="16"/>
                        <w:szCs w:val="16"/>
                      </w:rPr>
                      <w:t xml:space="preserve">Version </w:t>
                    </w:r>
                    <w:r>
                      <w:rPr>
                        <w:rFonts w:cs="Arial"/>
                        <w:b/>
                        <w:color w:val="009D00"/>
                        <w:sz w:val="16"/>
                        <w:szCs w:val="16"/>
                      </w:rPr>
                      <w:t>1.0</w:t>
                    </w:r>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A008FE" w:rsidRDefault="00A008FE" w:rsidP="0054590E">
                    <w:pPr>
                      <w:pStyle w:val="Footer"/>
                      <w:ind w:right="360"/>
                      <w:suppressOverlap/>
                      <w:jc w:val="right"/>
                      <w:rPr>
                        <w:rFonts w:cs="Arial"/>
                        <w:b/>
                        <w:color w:val="009D00"/>
                        <w:sz w:val="28"/>
                        <w:szCs w:val="28"/>
                      </w:rPr>
                    </w:pPr>
                    <w:r>
                      <w:rPr>
                        <w:rFonts w:cs="Arial"/>
                        <w:b/>
                        <w:color w:val="009D00"/>
                        <w:sz w:val="16"/>
                        <w:szCs w:val="16"/>
                      </w:rPr>
                      <w:t xml:space="preserve">Review date: April 2021 </w:t>
                    </w:r>
                  </w:p>
                  <w:p w:rsidR="00A008FE" w:rsidRDefault="00A008FE" w:rsidP="0054590E"/>
                </w:txbxContent>
              </v:textbox>
            </v:shape>
          </w:pict>
        </mc:Fallback>
      </mc:AlternateContent>
    </w:r>
    <w:r>
      <w:rPr>
        <w:noProof/>
        <w:lang w:eastAsia="en-GB"/>
      </w:rPr>
      <mc:AlternateContent>
        <mc:Choice Requires="wps">
          <w:drawing>
            <wp:anchor distT="0" distB="0" distL="114300" distR="114300" simplePos="0" relativeHeight="251648000" behindDoc="0" locked="0" layoutInCell="1" allowOverlap="1" wp14:anchorId="30B57109" wp14:editId="3BBE2296">
              <wp:simplePos x="0" y="0"/>
              <wp:positionH relativeFrom="column">
                <wp:align>center</wp:align>
              </wp:positionH>
              <wp:positionV relativeFrom="paragraph">
                <wp:posOffset>92446</wp:posOffset>
              </wp:positionV>
              <wp:extent cx="6631200" cy="0"/>
              <wp:effectExtent l="0" t="19050" r="17780" b="19050"/>
              <wp:wrapNone/>
              <wp:docPr id="1" name="Straight Connector 1"/>
              <wp:cNvGraphicFramePr/>
              <a:graphic xmlns:a="http://schemas.openxmlformats.org/drawingml/2006/main">
                <a:graphicData uri="http://schemas.microsoft.com/office/word/2010/wordprocessingShape">
                  <wps:wsp>
                    <wps:cNvCnPr/>
                    <wps:spPr>
                      <a:xfrm>
                        <a:off x="0" y="0"/>
                        <a:ext cx="6631200" cy="0"/>
                      </a:xfrm>
                      <a:prstGeom prst="line">
                        <a:avLst/>
                      </a:prstGeom>
                      <a:ln w="31750">
                        <a:solidFill>
                          <a:srgbClr val="009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438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7.3pt" to="522.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" strokecolor="#009d00" strokeweight="2.5pt"/>
          </w:pict>
        </mc:Fallback>
      </mc:AlternateContent>
    </w:r>
  </w:p>
  <w:p w:rsidR="00A008FE" w:rsidRDefault="0009285E" w:rsidP="006A6EFD">
    <w:pPr>
      <w:pStyle w:val="Footer"/>
      <w:rPr>
        <w:rFonts w:cs="Arial"/>
        <w:b/>
        <w:sz w:val="28"/>
        <w:szCs w:val="28"/>
      </w:rPr>
    </w:pPr>
    <w:hyperlink r:id="rId1" w:history="1">
      <w:r w:rsidR="00A008FE" w:rsidRPr="004B2C57">
        <w:rPr>
          <w:rStyle w:val="Hyperlink"/>
          <w:rFonts w:cs="Arial"/>
          <w:b/>
          <w:sz w:val="28"/>
          <w:szCs w:val="28"/>
        </w:rPr>
        <w:t>www.sps.nhs.uk</w:t>
      </w:r>
    </w:hyperlink>
    <w:r w:rsidR="00A008FE">
      <w:rPr>
        <w:rFonts w:cs="Arial"/>
        <w:b/>
        <w:sz w:val="28"/>
        <w:szCs w:val="28"/>
      </w:rPr>
      <w:t xml:space="preserve">                              </w:t>
    </w:r>
  </w:p>
  <w:p w:rsidR="00A008FE" w:rsidRDefault="00A008FE" w:rsidP="0076089E">
    <w:pPr>
      <w:pStyle w:val="Footer"/>
      <w:tabs>
        <w:tab w:val="clear" w:pos="4513"/>
        <w:tab w:val="center" w:pos="4820"/>
        <w:tab w:val="left" w:pos="5387"/>
      </w:tabs>
      <w:rPr>
        <w:rFonts w:cs="Arial"/>
        <w:b/>
        <w:color w:val="0070C0"/>
        <w:sz w:val="28"/>
        <w:szCs w:val="28"/>
      </w:rPr>
    </w:pPr>
    <w:r>
      <w:rPr>
        <w:rFonts w:cs="Arial"/>
        <w:b/>
        <w:sz w:val="28"/>
        <w:szCs w:val="28"/>
      </w:rPr>
      <w:t xml:space="preserve">                                                                </w:t>
    </w:r>
    <w:r w:rsidRPr="00275D9C">
      <w:rPr>
        <w:rFonts w:cs="Arial"/>
        <w:b/>
        <w:color w:val="808080" w:themeColor="background1" w:themeShade="80"/>
        <w:sz w:val="16"/>
        <w:szCs w:val="16"/>
      </w:rPr>
      <w:t>Page</w:t>
    </w:r>
    <w:r w:rsidRPr="00275D9C">
      <w:rPr>
        <w:rFonts w:cs="Arial"/>
        <w:b/>
        <w:sz w:val="16"/>
        <w:szCs w:val="16"/>
      </w:rPr>
      <w:t xml:space="preserve"> | </w:t>
    </w:r>
    <w:r w:rsidRPr="00275D9C">
      <w:rPr>
        <w:rFonts w:cs="Arial"/>
        <w:b/>
        <w:sz w:val="16"/>
        <w:szCs w:val="16"/>
      </w:rPr>
      <w:fldChar w:fldCharType="begin"/>
    </w:r>
    <w:r w:rsidRPr="00275D9C">
      <w:rPr>
        <w:rFonts w:cs="Arial"/>
        <w:b/>
        <w:sz w:val="16"/>
        <w:szCs w:val="16"/>
      </w:rPr>
      <w:instrText xml:space="preserve"> PAGE   \* MERGEFORMAT </w:instrText>
    </w:r>
    <w:r w:rsidRPr="00275D9C">
      <w:rPr>
        <w:rFonts w:cs="Arial"/>
        <w:b/>
        <w:sz w:val="16"/>
        <w:szCs w:val="16"/>
      </w:rPr>
      <w:fldChar w:fldCharType="separate"/>
    </w:r>
    <w:r w:rsidR="0009285E" w:rsidRPr="0009285E">
      <w:rPr>
        <w:rFonts w:cs="Arial"/>
        <w:b/>
        <w:bCs/>
        <w:noProof/>
        <w:sz w:val="16"/>
        <w:szCs w:val="16"/>
      </w:rPr>
      <w:t>7</w:t>
    </w:r>
    <w:r w:rsidRPr="00275D9C">
      <w:rPr>
        <w:rFonts w:cs="Arial"/>
        <w:b/>
        <w:bCs/>
        <w:noProof/>
        <w:sz w:val="16"/>
        <w:szCs w:val="16"/>
      </w:rPr>
      <w:fldChar w:fldCharType="end"/>
    </w:r>
  </w:p>
  <w:p w:rsidR="00A008FE" w:rsidRPr="0076298A" w:rsidRDefault="00A008FE" w:rsidP="006A6EFD">
    <w:pPr>
      <w:pStyle w:val="Foo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FE" w:rsidRDefault="00A008FE">
    <w:pPr>
      <w:pStyle w:val="Footer"/>
    </w:pPr>
    <w:r>
      <w:rPr>
        <w:noProof/>
        <w:lang w:eastAsia="en-GB"/>
      </w:rPr>
      <mc:AlternateContent>
        <mc:Choice Requires="wps">
          <w:drawing>
            <wp:anchor distT="0" distB="0" distL="114300" distR="114300" simplePos="0" relativeHeight="251646976" behindDoc="0" locked="0" layoutInCell="1" allowOverlap="1" wp14:anchorId="7A33EFFF" wp14:editId="358B09B1">
              <wp:simplePos x="0" y="0"/>
              <wp:positionH relativeFrom="column">
                <wp:posOffset>0</wp:posOffset>
              </wp:positionH>
              <wp:positionV relativeFrom="paragraph">
                <wp:posOffset>82550</wp:posOffset>
              </wp:positionV>
              <wp:extent cx="6629400" cy="0"/>
              <wp:effectExtent l="0" t="19050" r="0" b="19050"/>
              <wp:wrapNone/>
              <wp:docPr id="9" name="Straight Connector 9"/>
              <wp:cNvGraphicFramePr/>
              <a:graphic xmlns:a="http://schemas.openxmlformats.org/drawingml/2006/main">
                <a:graphicData uri="http://schemas.microsoft.com/office/word/2010/wordprocessingShape">
                  <wps:wsp>
                    <wps:cNvCnPr/>
                    <wps:spPr>
                      <a:xfrm>
                        <a:off x="0" y="0"/>
                        <a:ext cx="6629400" cy="0"/>
                      </a:xfrm>
                      <a:prstGeom prst="line">
                        <a:avLst/>
                      </a:prstGeom>
                      <a:ln w="31750">
                        <a:solidFill>
                          <a:srgbClr val="009D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6.5pt" to="5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" strokecolor="#009d00" strokeweight="2.5pt"/>
          </w:pict>
        </mc:Fallback>
      </mc:AlternateContent>
    </w:r>
    <w:r>
      <w:softHyphen/>
    </w:r>
    <w:r>
      <w:softHyphen/>
    </w:r>
    <w:r>
      <w:softHyphen/>
    </w:r>
  </w:p>
  <w:p w:rsidR="00A008FE" w:rsidRPr="002039C4" w:rsidRDefault="00A008FE" w:rsidP="002039C4">
    <w:pPr>
      <w:pStyle w:val="Footer"/>
      <w:rPr>
        <w:rFonts w:cs="Arial"/>
        <w:b/>
        <w:color w:val="0070C0"/>
        <w:sz w:val="28"/>
        <w:szCs w:val="28"/>
      </w:rPr>
    </w:pPr>
    <w:r w:rsidRPr="00C544E5">
      <w:rPr>
        <w:b/>
        <w:noProof/>
        <w:lang w:eastAsia="en-GB"/>
      </w:rPr>
      <mc:AlternateContent>
        <mc:Choice Requires="wps">
          <w:drawing>
            <wp:anchor distT="0" distB="0" distL="114300" distR="114300" simplePos="0" relativeHeight="251653120" behindDoc="0" locked="0" layoutInCell="1" allowOverlap="1" wp14:anchorId="31FF8F1D" wp14:editId="34220DC6">
              <wp:simplePos x="0" y="0"/>
              <wp:positionH relativeFrom="column">
                <wp:posOffset>2059940</wp:posOffset>
              </wp:positionH>
              <wp:positionV relativeFrom="paragraph">
                <wp:posOffset>4555</wp:posOffset>
              </wp:positionV>
              <wp:extent cx="4921250" cy="3562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356235"/>
                      </a:xfrm>
                      <a:prstGeom prst="rect">
                        <a:avLst/>
                      </a:prstGeom>
                      <a:noFill/>
                      <a:ln w="9525">
                        <a:noFill/>
                        <a:miter lim="800000"/>
                        <a:headEnd/>
                        <a:tailEnd/>
                      </a:ln>
                    </wps:spPr>
                    <wps:txbx>
                      <w:txbxContent>
                        <w:p w:rsidR="00A008FE" w:rsidRDefault="00A008FE" w:rsidP="0054590E">
                          <w:pPr>
                            <w:pStyle w:val="Footer"/>
                            <w:ind w:right="360"/>
                            <w:suppressOverlap/>
                            <w:jc w:val="right"/>
                            <w:rPr>
                              <w:rFonts w:cs="Arial"/>
                              <w:b/>
                              <w:color w:val="009D00"/>
                              <w:sz w:val="16"/>
                              <w:szCs w:val="16"/>
                            </w:rPr>
                          </w:pPr>
                          <w:r w:rsidRPr="0026225D">
                            <w:rPr>
                              <w:rFonts w:cs="Arial"/>
                              <w:b/>
                              <w:color w:val="009D00"/>
                              <w:sz w:val="16"/>
                              <w:szCs w:val="16"/>
                            </w:rPr>
                            <w:t xml:space="preserve">Version </w:t>
                          </w:r>
                          <w:r>
                            <w:rPr>
                              <w:rFonts w:cs="Arial"/>
                              <w:b/>
                              <w:color w:val="009D00"/>
                              <w:sz w:val="16"/>
                              <w:szCs w:val="16"/>
                            </w:rPr>
                            <w:t>1.0</w:t>
                          </w:r>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A008FE" w:rsidRDefault="00A008FE" w:rsidP="0054590E">
                          <w:pPr>
                            <w:pStyle w:val="Footer"/>
                            <w:ind w:right="360"/>
                            <w:suppressOverlap/>
                            <w:jc w:val="right"/>
                            <w:rPr>
                              <w:rFonts w:cs="Arial"/>
                              <w:b/>
                              <w:color w:val="009D00"/>
                              <w:sz w:val="28"/>
                              <w:szCs w:val="28"/>
                            </w:rPr>
                          </w:pPr>
                          <w:r>
                            <w:rPr>
                              <w:rFonts w:cs="Arial"/>
                              <w:b/>
                              <w:color w:val="009D00"/>
                              <w:sz w:val="16"/>
                              <w:szCs w:val="16"/>
                            </w:rPr>
                            <w:t xml:space="preserve">Review date: April 2021 </w:t>
                          </w:r>
                        </w:p>
                        <w:p w:rsidR="00A008FE" w:rsidRDefault="00A008FE" w:rsidP="00545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2.2pt;margin-top:.35pt;width:387.5pt;height:2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" filled="f" stroked="f">
              <v:textbox>
                <w:txbxContent>
                  <w:p w:rsidR="00A008FE" w:rsidRDefault="00A008FE" w:rsidP="0054590E">
                    <w:pPr>
                      <w:pStyle w:val="Footer"/>
                      <w:ind w:right="360"/>
                      <w:suppressOverlap/>
                      <w:jc w:val="right"/>
                      <w:rPr>
                        <w:rFonts w:cs="Arial"/>
                        <w:b/>
                        <w:color w:val="009D00"/>
                        <w:sz w:val="16"/>
                        <w:szCs w:val="16"/>
                      </w:rPr>
                    </w:pPr>
                    <w:r w:rsidRPr="0026225D">
                      <w:rPr>
                        <w:rFonts w:cs="Arial"/>
                        <w:b/>
                        <w:color w:val="009D00"/>
                        <w:sz w:val="16"/>
                        <w:szCs w:val="16"/>
                      </w:rPr>
                      <w:t xml:space="preserve">Version </w:t>
                    </w:r>
                    <w:r>
                      <w:rPr>
                        <w:rFonts w:cs="Arial"/>
                        <w:b/>
                        <w:color w:val="009D00"/>
                        <w:sz w:val="16"/>
                        <w:szCs w:val="16"/>
                      </w:rPr>
                      <w:t>1.0</w:t>
                    </w:r>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A008FE" w:rsidRDefault="00A008FE" w:rsidP="0054590E">
                    <w:pPr>
                      <w:pStyle w:val="Footer"/>
                      <w:ind w:right="360"/>
                      <w:suppressOverlap/>
                      <w:jc w:val="right"/>
                      <w:rPr>
                        <w:rFonts w:cs="Arial"/>
                        <w:b/>
                        <w:color w:val="009D00"/>
                        <w:sz w:val="28"/>
                        <w:szCs w:val="28"/>
                      </w:rPr>
                    </w:pPr>
                    <w:r>
                      <w:rPr>
                        <w:rFonts w:cs="Arial"/>
                        <w:b/>
                        <w:color w:val="009D00"/>
                        <w:sz w:val="16"/>
                        <w:szCs w:val="16"/>
                      </w:rPr>
                      <w:t xml:space="preserve">Review date: April 2021 </w:t>
                    </w:r>
                  </w:p>
                  <w:p w:rsidR="00A008FE" w:rsidRDefault="00A008FE" w:rsidP="0054590E"/>
                </w:txbxContent>
              </v:textbox>
            </v:shape>
          </w:pict>
        </mc:Fallback>
      </mc:AlternateContent>
    </w:r>
    <w:hyperlink r:id="rId1" w:history="1">
      <w:r w:rsidRPr="00DE05AE">
        <w:rPr>
          <w:rStyle w:val="Hyperlink"/>
          <w:rFonts w:cs="Arial"/>
          <w:b/>
          <w:sz w:val="28"/>
          <w:szCs w:val="28"/>
        </w:rPr>
        <w:t>www.sps.nhs.uk</w:t>
      </w:r>
    </w:hyperlink>
    <w:r>
      <w:rPr>
        <w:rFonts w:cs="Arial"/>
        <w:b/>
        <w:sz w:val="28"/>
        <w:szCs w:val="28"/>
      </w:rPr>
      <w:t xml:space="preserve">              </w:t>
    </w:r>
  </w:p>
  <w:p w:rsidR="00A008FE" w:rsidRPr="0076298A" w:rsidRDefault="00A008FE">
    <w:pPr>
      <w:pStyle w:val="Foo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FE" w:rsidRDefault="00A008FE" w:rsidP="006A6EFD">
    <w:pPr>
      <w:pStyle w:val="Footer"/>
    </w:pPr>
    <w:r w:rsidRPr="00C544E5">
      <w:rPr>
        <w:b/>
        <w:noProof/>
        <w:lang w:eastAsia="en-GB"/>
      </w:rPr>
      <mc:AlternateContent>
        <mc:Choice Requires="wps">
          <w:drawing>
            <wp:anchor distT="0" distB="0" distL="114300" distR="114300" simplePos="0" relativeHeight="251666432" behindDoc="0" locked="0" layoutInCell="1" allowOverlap="1" wp14:anchorId="59C55B10" wp14:editId="034360DD">
              <wp:simplePos x="0" y="0"/>
              <wp:positionH relativeFrom="column">
                <wp:posOffset>5167602</wp:posOffset>
              </wp:positionH>
              <wp:positionV relativeFrom="paragraph">
                <wp:posOffset>153422</wp:posOffset>
              </wp:positionV>
              <wp:extent cx="4921250" cy="356235"/>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356235"/>
                      </a:xfrm>
                      <a:prstGeom prst="rect">
                        <a:avLst/>
                      </a:prstGeom>
                      <a:noFill/>
                      <a:ln w="9525">
                        <a:noFill/>
                        <a:miter lim="800000"/>
                        <a:headEnd/>
                        <a:tailEnd/>
                      </a:ln>
                    </wps:spPr>
                    <wps:txbx>
                      <w:txbxContent>
                        <w:p w:rsidR="00A008FE" w:rsidRDefault="00A008FE" w:rsidP="0054590E">
                          <w:pPr>
                            <w:pStyle w:val="Footer"/>
                            <w:ind w:right="360"/>
                            <w:suppressOverlap/>
                            <w:jc w:val="right"/>
                            <w:rPr>
                              <w:rFonts w:cs="Arial"/>
                              <w:b/>
                              <w:color w:val="009D00"/>
                              <w:sz w:val="16"/>
                              <w:szCs w:val="16"/>
                            </w:rPr>
                          </w:pPr>
                          <w:r w:rsidRPr="0026225D">
                            <w:rPr>
                              <w:rFonts w:cs="Arial"/>
                              <w:b/>
                              <w:color w:val="009D00"/>
                              <w:sz w:val="16"/>
                              <w:szCs w:val="16"/>
                            </w:rPr>
                            <w:t xml:space="preserve">Version </w:t>
                          </w:r>
                          <w:r>
                            <w:rPr>
                              <w:rFonts w:cs="Arial"/>
                              <w:b/>
                              <w:color w:val="009D00"/>
                              <w:sz w:val="16"/>
                              <w:szCs w:val="16"/>
                            </w:rPr>
                            <w:t>1.0</w:t>
                          </w:r>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A008FE" w:rsidRDefault="00A008FE" w:rsidP="0054590E">
                          <w:pPr>
                            <w:pStyle w:val="Footer"/>
                            <w:ind w:right="360"/>
                            <w:suppressOverlap/>
                            <w:jc w:val="right"/>
                            <w:rPr>
                              <w:rFonts w:cs="Arial"/>
                              <w:b/>
                              <w:color w:val="009D00"/>
                              <w:sz w:val="28"/>
                              <w:szCs w:val="28"/>
                            </w:rPr>
                          </w:pPr>
                          <w:r>
                            <w:rPr>
                              <w:rFonts w:cs="Arial"/>
                              <w:b/>
                              <w:color w:val="009D00"/>
                              <w:sz w:val="16"/>
                              <w:szCs w:val="16"/>
                            </w:rPr>
                            <w:t xml:space="preserve">Review date: April 2021 </w:t>
                          </w:r>
                        </w:p>
                        <w:p w:rsidR="00A008FE" w:rsidRDefault="00A008FE" w:rsidP="00545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06.9pt;margin-top:12.1pt;width:387.5pt;height:2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" filled="f" stroked="f">
              <v:textbox>
                <w:txbxContent>
                  <w:p w:rsidR="00A008FE" w:rsidRDefault="00A008FE" w:rsidP="0054590E">
                    <w:pPr>
                      <w:pStyle w:val="Footer"/>
                      <w:ind w:right="360"/>
                      <w:suppressOverlap/>
                      <w:jc w:val="right"/>
                      <w:rPr>
                        <w:rFonts w:cs="Arial"/>
                        <w:b/>
                        <w:color w:val="009D00"/>
                        <w:sz w:val="16"/>
                        <w:szCs w:val="16"/>
                      </w:rPr>
                    </w:pPr>
                    <w:r w:rsidRPr="0026225D">
                      <w:rPr>
                        <w:rFonts w:cs="Arial"/>
                        <w:b/>
                        <w:color w:val="009D00"/>
                        <w:sz w:val="16"/>
                        <w:szCs w:val="16"/>
                      </w:rPr>
                      <w:t xml:space="preserve">Version </w:t>
                    </w:r>
                    <w:r>
                      <w:rPr>
                        <w:rFonts w:cs="Arial"/>
                        <w:b/>
                        <w:color w:val="009D00"/>
                        <w:sz w:val="16"/>
                        <w:szCs w:val="16"/>
                      </w:rPr>
                      <w:t>1.0</w:t>
                    </w:r>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A008FE" w:rsidRDefault="00A008FE" w:rsidP="0054590E">
                    <w:pPr>
                      <w:pStyle w:val="Footer"/>
                      <w:ind w:right="360"/>
                      <w:suppressOverlap/>
                      <w:jc w:val="right"/>
                      <w:rPr>
                        <w:rFonts w:cs="Arial"/>
                        <w:b/>
                        <w:color w:val="009D00"/>
                        <w:sz w:val="28"/>
                        <w:szCs w:val="28"/>
                      </w:rPr>
                    </w:pPr>
                    <w:r>
                      <w:rPr>
                        <w:rFonts w:cs="Arial"/>
                        <w:b/>
                        <w:color w:val="009D00"/>
                        <w:sz w:val="16"/>
                        <w:szCs w:val="16"/>
                      </w:rPr>
                      <w:t xml:space="preserve">Review date: April 2021 </w:t>
                    </w:r>
                  </w:p>
                  <w:p w:rsidR="00A008FE" w:rsidRDefault="00A008FE" w:rsidP="0054590E"/>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AE7AEEA" wp14:editId="352E1C6E">
              <wp:simplePos x="0" y="0"/>
              <wp:positionH relativeFrom="column">
                <wp:posOffset>6626</wp:posOffset>
              </wp:positionH>
              <wp:positionV relativeFrom="paragraph">
                <wp:posOffset>114687</wp:posOffset>
              </wp:positionV>
              <wp:extent cx="9720470" cy="0"/>
              <wp:effectExtent l="0" t="19050" r="14605" b="19050"/>
              <wp:wrapNone/>
              <wp:docPr id="18" name="Straight Connector 18"/>
              <wp:cNvGraphicFramePr/>
              <a:graphic xmlns:a="http://schemas.openxmlformats.org/drawingml/2006/main">
                <a:graphicData uri="http://schemas.microsoft.com/office/word/2010/wordprocessingShape">
                  <wps:wsp>
                    <wps:cNvCnPr/>
                    <wps:spPr>
                      <a:xfrm>
                        <a:off x="0" y="0"/>
                        <a:ext cx="9720470" cy="0"/>
                      </a:xfrm>
                      <a:prstGeom prst="line">
                        <a:avLst/>
                      </a:prstGeom>
                      <a:ln w="31750">
                        <a:solidFill>
                          <a:srgbClr val="009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05pt" to="765.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" strokecolor="#009d00" strokeweight="2.5pt"/>
          </w:pict>
        </mc:Fallback>
      </mc:AlternateContent>
    </w:r>
  </w:p>
  <w:p w:rsidR="00A008FE" w:rsidRDefault="0009285E" w:rsidP="0076089E">
    <w:pPr>
      <w:pStyle w:val="Footer"/>
      <w:tabs>
        <w:tab w:val="left" w:pos="7655"/>
      </w:tabs>
      <w:rPr>
        <w:rFonts w:cs="Arial"/>
        <w:b/>
        <w:sz w:val="28"/>
        <w:szCs w:val="28"/>
      </w:rPr>
    </w:pPr>
    <w:hyperlink r:id="rId1" w:history="1">
      <w:r w:rsidR="00A008FE" w:rsidRPr="004B2C57">
        <w:rPr>
          <w:rStyle w:val="Hyperlink"/>
          <w:rFonts w:cs="Arial"/>
          <w:b/>
          <w:sz w:val="28"/>
          <w:szCs w:val="28"/>
        </w:rPr>
        <w:t>www.sps.nhs.uk</w:t>
      </w:r>
    </w:hyperlink>
    <w:r w:rsidR="00A008FE">
      <w:rPr>
        <w:rFonts w:cs="Arial"/>
        <w:b/>
        <w:sz w:val="28"/>
        <w:szCs w:val="28"/>
      </w:rPr>
      <w:t xml:space="preserve">                                                                 </w:t>
    </w:r>
  </w:p>
  <w:p w:rsidR="00A008FE" w:rsidRDefault="00A008FE" w:rsidP="0076089E">
    <w:pPr>
      <w:pStyle w:val="Footer"/>
      <w:tabs>
        <w:tab w:val="left" w:pos="7655"/>
      </w:tabs>
      <w:rPr>
        <w:rFonts w:cs="Arial"/>
        <w:b/>
        <w:color w:val="0070C0"/>
        <w:sz w:val="28"/>
        <w:szCs w:val="28"/>
      </w:rPr>
    </w:pPr>
    <w:r>
      <w:rPr>
        <w:rFonts w:cs="Arial"/>
        <w:b/>
        <w:sz w:val="28"/>
        <w:szCs w:val="28"/>
      </w:rPr>
      <w:t xml:space="preserve">                                                                                             </w:t>
    </w:r>
    <w:r w:rsidRPr="00275D9C">
      <w:rPr>
        <w:rFonts w:cs="Arial"/>
        <w:b/>
        <w:color w:val="808080" w:themeColor="background1" w:themeShade="80"/>
        <w:sz w:val="16"/>
        <w:szCs w:val="16"/>
      </w:rPr>
      <w:t>Page</w:t>
    </w:r>
    <w:r w:rsidRPr="00275D9C">
      <w:rPr>
        <w:rFonts w:cs="Arial"/>
        <w:b/>
        <w:sz w:val="16"/>
        <w:szCs w:val="16"/>
      </w:rPr>
      <w:t xml:space="preserve"> | </w:t>
    </w:r>
    <w:r w:rsidRPr="00275D9C">
      <w:rPr>
        <w:rFonts w:cs="Arial"/>
        <w:b/>
        <w:sz w:val="16"/>
        <w:szCs w:val="16"/>
      </w:rPr>
      <w:fldChar w:fldCharType="begin"/>
    </w:r>
    <w:r w:rsidRPr="00275D9C">
      <w:rPr>
        <w:rFonts w:cs="Arial"/>
        <w:b/>
        <w:sz w:val="16"/>
        <w:szCs w:val="16"/>
      </w:rPr>
      <w:instrText xml:space="preserve"> PAGE   \* MERGEFORMAT </w:instrText>
    </w:r>
    <w:r w:rsidRPr="00275D9C">
      <w:rPr>
        <w:rFonts w:cs="Arial"/>
        <w:b/>
        <w:sz w:val="16"/>
        <w:szCs w:val="16"/>
      </w:rPr>
      <w:fldChar w:fldCharType="separate"/>
    </w:r>
    <w:r w:rsidR="0009285E" w:rsidRPr="0009285E">
      <w:rPr>
        <w:rFonts w:cs="Arial"/>
        <w:b/>
        <w:bCs/>
        <w:noProof/>
        <w:sz w:val="16"/>
        <w:szCs w:val="16"/>
      </w:rPr>
      <w:t>25</w:t>
    </w:r>
    <w:r w:rsidRPr="00275D9C">
      <w:rPr>
        <w:rFonts w:cs="Arial"/>
        <w:b/>
        <w:bCs/>
        <w:noProof/>
        <w:sz w:val="16"/>
        <w:szCs w:val="16"/>
      </w:rPr>
      <w:fldChar w:fldCharType="end"/>
    </w:r>
  </w:p>
  <w:p w:rsidR="00A008FE" w:rsidRPr="0076298A" w:rsidRDefault="00A008FE" w:rsidP="006A6EFD">
    <w:pPr>
      <w:pStyle w:val="Foo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FE" w:rsidRDefault="00A008FE">
    <w:pPr>
      <w:pStyle w:val="Footer"/>
    </w:pPr>
    <w:r w:rsidRPr="00C544E5">
      <w:rPr>
        <w:b/>
        <w:noProof/>
        <w:lang w:eastAsia="en-GB"/>
      </w:rPr>
      <mc:AlternateContent>
        <mc:Choice Requires="wps">
          <w:drawing>
            <wp:anchor distT="0" distB="0" distL="114300" distR="114300" simplePos="0" relativeHeight="251664384" behindDoc="0" locked="0" layoutInCell="1" allowOverlap="1" wp14:anchorId="6DA16B29" wp14:editId="6498EE37">
              <wp:simplePos x="0" y="0"/>
              <wp:positionH relativeFrom="column">
                <wp:posOffset>5042452</wp:posOffset>
              </wp:positionH>
              <wp:positionV relativeFrom="paragraph">
                <wp:posOffset>3262354</wp:posOffset>
              </wp:positionV>
              <wp:extent cx="5042011" cy="356235"/>
              <wp:effectExtent l="0" t="0" r="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011" cy="356235"/>
                      </a:xfrm>
                      <a:prstGeom prst="rect">
                        <a:avLst/>
                      </a:prstGeom>
                      <a:noFill/>
                      <a:ln w="9525">
                        <a:noFill/>
                        <a:miter lim="800000"/>
                        <a:headEnd/>
                        <a:tailEnd/>
                      </a:ln>
                    </wps:spPr>
                    <wps:txbx>
                      <w:txbxContent>
                        <w:p w:rsidR="00A008FE" w:rsidRDefault="00A008FE" w:rsidP="0054590E">
                          <w:pPr>
                            <w:pStyle w:val="Footer"/>
                            <w:ind w:right="360"/>
                            <w:suppressOverlap/>
                            <w:jc w:val="right"/>
                            <w:rPr>
                              <w:rFonts w:cs="Arial"/>
                              <w:b/>
                              <w:color w:val="009D00"/>
                              <w:sz w:val="16"/>
                              <w:szCs w:val="16"/>
                            </w:rPr>
                          </w:pPr>
                          <w:r w:rsidRPr="0026225D">
                            <w:rPr>
                              <w:rFonts w:cs="Arial"/>
                              <w:b/>
                              <w:color w:val="009D00"/>
                              <w:sz w:val="16"/>
                              <w:szCs w:val="16"/>
                            </w:rPr>
                            <w:t xml:space="preserve">Version </w:t>
                          </w:r>
                          <w:proofErr w:type="spellStart"/>
                          <w:r w:rsidRPr="0026225D">
                            <w:rPr>
                              <w:rFonts w:cs="Arial"/>
                              <w:b/>
                              <w:color w:val="009D00"/>
                              <w:sz w:val="16"/>
                              <w:szCs w:val="16"/>
                            </w:rPr>
                            <w:t>x.x</w:t>
                          </w:r>
                          <w:proofErr w:type="spellEnd"/>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A008FE" w:rsidRDefault="00A008FE" w:rsidP="0054590E">
                          <w:pPr>
                            <w:pStyle w:val="Footer"/>
                            <w:ind w:right="360"/>
                            <w:suppressOverlap/>
                            <w:jc w:val="right"/>
                            <w:rPr>
                              <w:rFonts w:cs="Arial"/>
                              <w:b/>
                              <w:color w:val="009D00"/>
                              <w:sz w:val="28"/>
                              <w:szCs w:val="28"/>
                            </w:rPr>
                          </w:pPr>
                          <w:r>
                            <w:rPr>
                              <w:rFonts w:cs="Arial"/>
                              <w:b/>
                              <w:color w:val="009D00"/>
                              <w:sz w:val="16"/>
                              <w:szCs w:val="16"/>
                            </w:rPr>
                            <w:t xml:space="preserve">Review date: April 2022 </w:t>
                          </w:r>
                        </w:p>
                        <w:p w:rsidR="00A008FE" w:rsidRDefault="00A008FE" w:rsidP="00545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397.05pt;margin-top:256.9pt;width:397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" filled="f" stroked="f">
              <v:textbox>
                <w:txbxContent>
                  <w:p w:rsidR="00A008FE" w:rsidRDefault="00A008FE" w:rsidP="0054590E">
                    <w:pPr>
                      <w:pStyle w:val="Footer"/>
                      <w:ind w:right="360"/>
                      <w:suppressOverlap/>
                      <w:jc w:val="right"/>
                      <w:rPr>
                        <w:rFonts w:cs="Arial"/>
                        <w:b/>
                        <w:color w:val="009D00"/>
                        <w:sz w:val="16"/>
                        <w:szCs w:val="16"/>
                      </w:rPr>
                    </w:pPr>
                    <w:r w:rsidRPr="0026225D">
                      <w:rPr>
                        <w:rFonts w:cs="Arial"/>
                        <w:b/>
                        <w:color w:val="009D00"/>
                        <w:sz w:val="16"/>
                        <w:szCs w:val="16"/>
                      </w:rPr>
                      <w:t xml:space="preserve">Version </w:t>
                    </w:r>
                    <w:proofErr w:type="spellStart"/>
                    <w:r w:rsidRPr="0026225D">
                      <w:rPr>
                        <w:rFonts w:cs="Arial"/>
                        <w:b/>
                        <w:color w:val="009D00"/>
                        <w:sz w:val="16"/>
                        <w:szCs w:val="16"/>
                      </w:rPr>
                      <w:t>x.x</w:t>
                    </w:r>
                    <w:proofErr w:type="spellEnd"/>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A008FE" w:rsidRDefault="00A008FE" w:rsidP="0054590E">
                    <w:pPr>
                      <w:pStyle w:val="Footer"/>
                      <w:ind w:right="360"/>
                      <w:suppressOverlap/>
                      <w:jc w:val="right"/>
                      <w:rPr>
                        <w:rFonts w:cs="Arial"/>
                        <w:b/>
                        <w:color w:val="009D00"/>
                        <w:sz w:val="28"/>
                        <w:szCs w:val="28"/>
                      </w:rPr>
                    </w:pPr>
                    <w:r>
                      <w:rPr>
                        <w:rFonts w:cs="Arial"/>
                        <w:b/>
                        <w:color w:val="009D00"/>
                        <w:sz w:val="16"/>
                        <w:szCs w:val="16"/>
                      </w:rPr>
                      <w:t xml:space="preserve">Review date: April 2022 </w:t>
                    </w:r>
                  </w:p>
                  <w:p w:rsidR="00A008FE" w:rsidRDefault="00A008FE" w:rsidP="0054590E"/>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9F7AA97" wp14:editId="0D58514E">
              <wp:simplePos x="0" y="0"/>
              <wp:positionH relativeFrom="column">
                <wp:posOffset>0</wp:posOffset>
              </wp:positionH>
              <wp:positionV relativeFrom="paragraph">
                <wp:posOffset>81832</wp:posOffset>
              </wp:positionV>
              <wp:extent cx="9733722" cy="0"/>
              <wp:effectExtent l="0" t="19050" r="1270" b="19050"/>
              <wp:wrapNone/>
              <wp:docPr id="15" name="Straight Connector 15"/>
              <wp:cNvGraphicFramePr/>
              <a:graphic xmlns:a="http://schemas.openxmlformats.org/drawingml/2006/main">
                <a:graphicData uri="http://schemas.microsoft.com/office/word/2010/wordprocessingShape">
                  <wps:wsp>
                    <wps:cNvCnPr/>
                    <wps:spPr>
                      <a:xfrm>
                        <a:off x="0" y="0"/>
                        <a:ext cx="9733722" cy="0"/>
                      </a:xfrm>
                      <a:prstGeom prst="line">
                        <a:avLst/>
                      </a:prstGeom>
                      <a:ln w="31750">
                        <a:solidFill>
                          <a:srgbClr val="009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45pt" to="766.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" strokecolor="#009d00" strokeweight="2.5pt"/>
          </w:pict>
        </mc:Fallback>
      </mc:AlternateContent>
    </w:r>
    <w:r>
      <w:softHyphen/>
    </w:r>
    <w:r>
      <w:softHyphen/>
    </w:r>
    <w:r>
      <w:softHyphen/>
    </w:r>
  </w:p>
  <w:p w:rsidR="00A008FE" w:rsidRPr="002039C4" w:rsidRDefault="00A008FE" w:rsidP="001D64A1">
    <w:pPr>
      <w:pStyle w:val="Footer"/>
      <w:tabs>
        <w:tab w:val="clear" w:pos="4513"/>
        <w:tab w:val="left" w:pos="9026"/>
      </w:tabs>
      <w:rPr>
        <w:rFonts w:cs="Arial"/>
        <w:b/>
        <w:color w:val="0070C0"/>
        <w:sz w:val="28"/>
        <w:szCs w:val="28"/>
      </w:rPr>
    </w:pPr>
    <w:r w:rsidRPr="00B94902">
      <w:rPr>
        <w:b/>
        <w:noProof/>
        <w:lang w:eastAsia="en-GB"/>
      </w:rPr>
      <mc:AlternateContent>
        <mc:Choice Requires="wps">
          <w:drawing>
            <wp:anchor distT="0" distB="0" distL="114300" distR="114300" simplePos="0" relativeHeight="251670528" behindDoc="0" locked="0" layoutInCell="1" allowOverlap="1" wp14:anchorId="1033C6C6" wp14:editId="2D5D5E91">
              <wp:simplePos x="0" y="0"/>
              <wp:positionH relativeFrom="column">
                <wp:posOffset>5161280</wp:posOffset>
              </wp:positionH>
              <wp:positionV relativeFrom="paragraph">
                <wp:posOffset>3810</wp:posOffset>
              </wp:positionV>
              <wp:extent cx="4921250" cy="356235"/>
              <wp:effectExtent l="0" t="0" r="0" b="57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356235"/>
                      </a:xfrm>
                      <a:prstGeom prst="rect">
                        <a:avLst/>
                      </a:prstGeom>
                      <a:noFill/>
                      <a:ln w="9525">
                        <a:noFill/>
                        <a:miter lim="800000"/>
                        <a:headEnd/>
                        <a:tailEnd/>
                      </a:ln>
                    </wps:spPr>
                    <wps:txbx>
                      <w:txbxContent>
                        <w:p w:rsidR="00A008FE" w:rsidRDefault="00A008FE" w:rsidP="00B94902">
                          <w:pPr>
                            <w:pStyle w:val="Footer"/>
                            <w:ind w:right="360"/>
                            <w:suppressOverlap/>
                            <w:jc w:val="right"/>
                            <w:rPr>
                              <w:rFonts w:cs="Arial"/>
                              <w:b/>
                              <w:color w:val="009D00"/>
                              <w:sz w:val="16"/>
                              <w:szCs w:val="16"/>
                            </w:rPr>
                          </w:pPr>
                          <w:r>
                            <w:rPr>
                              <w:rFonts w:cs="Arial"/>
                              <w:b/>
                              <w:color w:val="009D00"/>
                              <w:sz w:val="16"/>
                              <w:szCs w:val="16"/>
                            </w:rPr>
                            <w:t>Version 1.0</w:t>
                          </w:r>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A008FE" w:rsidRDefault="00A008FE" w:rsidP="00B94902">
                          <w:pPr>
                            <w:pStyle w:val="Footer"/>
                            <w:ind w:right="360"/>
                            <w:suppressOverlap/>
                            <w:jc w:val="right"/>
                            <w:rPr>
                              <w:rFonts w:cs="Arial"/>
                              <w:b/>
                              <w:color w:val="009D00"/>
                              <w:sz w:val="28"/>
                              <w:szCs w:val="28"/>
                            </w:rPr>
                          </w:pPr>
                          <w:r>
                            <w:rPr>
                              <w:rFonts w:cs="Arial"/>
                              <w:b/>
                              <w:color w:val="009D00"/>
                              <w:sz w:val="16"/>
                              <w:szCs w:val="16"/>
                            </w:rPr>
                            <w:t xml:space="preserve">Review date: April 2021 </w:t>
                          </w:r>
                        </w:p>
                        <w:p w:rsidR="00A008FE" w:rsidRDefault="00A008FE" w:rsidP="00B949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06.4pt;margin-top:.3pt;width:387.5pt;height:2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" filled="f" stroked="f">
              <v:textbox>
                <w:txbxContent>
                  <w:p w:rsidR="00A008FE" w:rsidRDefault="00A008FE" w:rsidP="00B94902">
                    <w:pPr>
                      <w:pStyle w:val="Footer"/>
                      <w:ind w:right="360"/>
                      <w:suppressOverlap/>
                      <w:jc w:val="right"/>
                      <w:rPr>
                        <w:rFonts w:cs="Arial"/>
                        <w:b/>
                        <w:color w:val="009D00"/>
                        <w:sz w:val="16"/>
                        <w:szCs w:val="16"/>
                      </w:rPr>
                    </w:pPr>
                    <w:r>
                      <w:rPr>
                        <w:rFonts w:cs="Arial"/>
                        <w:b/>
                        <w:color w:val="009D00"/>
                        <w:sz w:val="16"/>
                        <w:szCs w:val="16"/>
                      </w:rPr>
                      <w:t>Version 1.0</w:t>
                    </w:r>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A008FE" w:rsidRDefault="00A008FE" w:rsidP="00B94902">
                    <w:pPr>
                      <w:pStyle w:val="Footer"/>
                      <w:ind w:right="360"/>
                      <w:suppressOverlap/>
                      <w:jc w:val="right"/>
                      <w:rPr>
                        <w:rFonts w:cs="Arial"/>
                        <w:b/>
                        <w:color w:val="009D00"/>
                        <w:sz w:val="28"/>
                        <w:szCs w:val="28"/>
                      </w:rPr>
                    </w:pPr>
                    <w:r>
                      <w:rPr>
                        <w:rFonts w:cs="Arial"/>
                        <w:b/>
                        <w:color w:val="009D00"/>
                        <w:sz w:val="16"/>
                        <w:szCs w:val="16"/>
                      </w:rPr>
                      <w:t xml:space="preserve">Review date: April 2021 </w:t>
                    </w:r>
                  </w:p>
                  <w:p w:rsidR="00A008FE" w:rsidRDefault="00A008FE" w:rsidP="00B94902"/>
                </w:txbxContent>
              </v:textbox>
            </v:shape>
          </w:pict>
        </mc:Fallback>
      </mc:AlternateContent>
    </w:r>
    <w:hyperlink r:id="rId1" w:history="1">
      <w:r w:rsidRPr="00DE05AE">
        <w:rPr>
          <w:rStyle w:val="Hyperlink"/>
          <w:rFonts w:cs="Arial"/>
          <w:b/>
          <w:sz w:val="28"/>
          <w:szCs w:val="28"/>
        </w:rPr>
        <w:t>www.sps.nhs.uk</w:t>
      </w:r>
    </w:hyperlink>
    <w:r>
      <w:rPr>
        <w:rFonts w:cs="Arial"/>
        <w:b/>
        <w:sz w:val="28"/>
        <w:szCs w:val="28"/>
      </w:rPr>
      <w:t xml:space="preserve">              </w:t>
    </w:r>
    <w:r>
      <w:rPr>
        <w:rFonts w:cs="Arial"/>
        <w:b/>
        <w:sz w:val="28"/>
        <w:szCs w:val="28"/>
      </w:rPr>
      <w:tab/>
    </w:r>
  </w:p>
  <w:p w:rsidR="00A008FE" w:rsidRPr="00275D9C" w:rsidRDefault="00A008FE" w:rsidP="0076089E">
    <w:pPr>
      <w:pStyle w:val="Footer"/>
      <w:tabs>
        <w:tab w:val="left" w:pos="6804"/>
        <w:tab w:val="left" w:pos="7655"/>
      </w:tabs>
      <w:rPr>
        <w:b/>
        <w:sz w:val="16"/>
        <w:szCs w:val="16"/>
      </w:rPr>
    </w:pPr>
    <w:r>
      <w:rPr>
        <w:b/>
        <w:color w:val="808080" w:themeColor="background1" w:themeShade="80"/>
        <w:sz w:val="16"/>
        <w:szCs w:val="16"/>
      </w:rPr>
      <w:t xml:space="preserve">                                                                                                                                                                   </w:t>
    </w:r>
    <w:r w:rsidRPr="00275D9C">
      <w:rPr>
        <w:b/>
        <w:color w:val="808080" w:themeColor="background1" w:themeShade="80"/>
        <w:sz w:val="16"/>
        <w:szCs w:val="16"/>
      </w:rPr>
      <w:t>Page</w:t>
    </w:r>
    <w:r w:rsidRPr="00275D9C">
      <w:rPr>
        <w:b/>
        <w:sz w:val="16"/>
        <w:szCs w:val="16"/>
      </w:rPr>
      <w:t xml:space="preserve"> | </w:t>
    </w:r>
    <w:r w:rsidRPr="00275D9C">
      <w:rPr>
        <w:b/>
        <w:sz w:val="16"/>
        <w:szCs w:val="16"/>
      </w:rPr>
      <w:fldChar w:fldCharType="begin"/>
    </w:r>
    <w:r w:rsidRPr="00275D9C">
      <w:rPr>
        <w:b/>
        <w:sz w:val="16"/>
        <w:szCs w:val="16"/>
      </w:rPr>
      <w:instrText xml:space="preserve"> PAGE   \* MERGEFORMAT </w:instrText>
    </w:r>
    <w:r w:rsidRPr="00275D9C">
      <w:rPr>
        <w:b/>
        <w:sz w:val="16"/>
        <w:szCs w:val="16"/>
      </w:rPr>
      <w:fldChar w:fldCharType="separate"/>
    </w:r>
    <w:r w:rsidR="0009285E" w:rsidRPr="0009285E">
      <w:rPr>
        <w:b/>
        <w:bCs/>
        <w:noProof/>
        <w:sz w:val="16"/>
        <w:szCs w:val="16"/>
      </w:rPr>
      <w:t>8</w:t>
    </w:r>
    <w:r w:rsidRPr="00275D9C">
      <w:rPr>
        <w:b/>
        <w:bCs/>
        <w:noProof/>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FE" w:rsidRDefault="00A008FE" w:rsidP="00744438">
    <w:pPr>
      <w:pStyle w:val="Footer"/>
      <w:tabs>
        <w:tab w:val="left" w:pos="5387"/>
      </w:tabs>
    </w:pPr>
    <w:r w:rsidRPr="00C544E5">
      <w:rPr>
        <w:b/>
        <w:noProof/>
        <w:lang w:eastAsia="en-GB"/>
      </w:rPr>
      <mc:AlternateContent>
        <mc:Choice Requires="wps">
          <w:drawing>
            <wp:anchor distT="0" distB="0" distL="114300" distR="114300" simplePos="0" relativeHeight="251674624" behindDoc="0" locked="0" layoutInCell="1" allowOverlap="1" wp14:anchorId="38992E63" wp14:editId="67955D7C">
              <wp:simplePos x="0" y="0"/>
              <wp:positionH relativeFrom="column">
                <wp:posOffset>2063115</wp:posOffset>
              </wp:positionH>
              <wp:positionV relativeFrom="paragraph">
                <wp:posOffset>38100</wp:posOffset>
              </wp:positionV>
              <wp:extent cx="4921250" cy="356235"/>
              <wp:effectExtent l="0" t="0" r="0" b="571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356235"/>
                      </a:xfrm>
                      <a:prstGeom prst="rect">
                        <a:avLst/>
                      </a:prstGeom>
                      <a:noFill/>
                      <a:ln w="9525">
                        <a:noFill/>
                        <a:miter lim="800000"/>
                        <a:headEnd/>
                        <a:tailEnd/>
                      </a:ln>
                    </wps:spPr>
                    <wps:txbx>
                      <w:txbxContent>
                        <w:p w:rsidR="00A008FE" w:rsidRDefault="00A008FE" w:rsidP="0054590E">
                          <w:pPr>
                            <w:pStyle w:val="Footer"/>
                            <w:ind w:right="360"/>
                            <w:suppressOverlap/>
                            <w:jc w:val="right"/>
                            <w:rPr>
                              <w:rFonts w:cs="Arial"/>
                              <w:b/>
                              <w:color w:val="009D00"/>
                              <w:sz w:val="16"/>
                              <w:szCs w:val="16"/>
                            </w:rPr>
                          </w:pPr>
                          <w:r w:rsidRPr="0026225D">
                            <w:rPr>
                              <w:rFonts w:cs="Arial"/>
                              <w:b/>
                              <w:color w:val="009D00"/>
                              <w:sz w:val="16"/>
                              <w:szCs w:val="16"/>
                            </w:rPr>
                            <w:t xml:space="preserve">Version </w:t>
                          </w:r>
                          <w:r>
                            <w:rPr>
                              <w:rFonts w:cs="Arial"/>
                              <w:b/>
                              <w:color w:val="009D00"/>
                              <w:sz w:val="16"/>
                              <w:szCs w:val="16"/>
                            </w:rPr>
                            <w:t>1.0</w:t>
                          </w:r>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A008FE" w:rsidRDefault="00A008FE" w:rsidP="0054590E">
                          <w:pPr>
                            <w:pStyle w:val="Footer"/>
                            <w:ind w:right="360"/>
                            <w:suppressOverlap/>
                            <w:jc w:val="right"/>
                            <w:rPr>
                              <w:rFonts w:cs="Arial"/>
                              <w:b/>
                              <w:color w:val="009D00"/>
                              <w:sz w:val="28"/>
                              <w:szCs w:val="28"/>
                            </w:rPr>
                          </w:pPr>
                          <w:r>
                            <w:rPr>
                              <w:rFonts w:cs="Arial"/>
                              <w:b/>
                              <w:color w:val="009D00"/>
                              <w:sz w:val="16"/>
                              <w:szCs w:val="16"/>
                            </w:rPr>
                            <w:t xml:space="preserve">Review date: April 2021 </w:t>
                          </w:r>
                        </w:p>
                        <w:p w:rsidR="00A008FE" w:rsidRDefault="00A008FE" w:rsidP="00545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62.45pt;margin-top:3pt;width:387.5pt;height:2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" filled="f" stroked="f">
              <v:textbox>
                <w:txbxContent>
                  <w:p w:rsidR="002C707D" w:rsidRDefault="002C707D" w:rsidP="0054590E">
                    <w:pPr>
                      <w:pStyle w:val="Footer"/>
                      <w:ind w:right="360"/>
                      <w:suppressOverlap/>
                      <w:jc w:val="right"/>
                      <w:rPr>
                        <w:rFonts w:cs="Arial"/>
                        <w:b/>
                        <w:color w:val="009D00"/>
                        <w:sz w:val="16"/>
                        <w:szCs w:val="16"/>
                      </w:rPr>
                    </w:pPr>
                    <w:r w:rsidRPr="0026225D">
                      <w:rPr>
                        <w:rFonts w:cs="Arial"/>
                        <w:b/>
                        <w:color w:val="009D00"/>
                        <w:sz w:val="16"/>
                        <w:szCs w:val="16"/>
                      </w:rPr>
                      <w:t xml:space="preserve">Version </w:t>
                    </w:r>
                    <w:r>
                      <w:rPr>
                        <w:rFonts w:cs="Arial"/>
                        <w:b/>
                        <w:color w:val="009D00"/>
                        <w:sz w:val="16"/>
                        <w:szCs w:val="16"/>
                      </w:rPr>
                      <w:t>1.0</w:t>
                    </w:r>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2C707D" w:rsidRDefault="002C707D" w:rsidP="0054590E">
                    <w:pPr>
                      <w:pStyle w:val="Footer"/>
                      <w:ind w:right="360"/>
                      <w:suppressOverlap/>
                      <w:jc w:val="right"/>
                      <w:rPr>
                        <w:rFonts w:cs="Arial"/>
                        <w:b/>
                        <w:color w:val="009D00"/>
                        <w:sz w:val="28"/>
                        <w:szCs w:val="28"/>
                      </w:rPr>
                    </w:pPr>
                    <w:r>
                      <w:rPr>
                        <w:rFonts w:cs="Arial"/>
                        <w:b/>
                        <w:color w:val="009D00"/>
                        <w:sz w:val="16"/>
                        <w:szCs w:val="16"/>
                      </w:rPr>
                      <w:t xml:space="preserve">Review date: April 2021 </w:t>
                    </w:r>
                  </w:p>
                  <w:p w:rsidR="002C707D" w:rsidRDefault="002C707D" w:rsidP="0054590E"/>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68304FDC" wp14:editId="2074A7C1">
              <wp:simplePos x="0" y="0"/>
              <wp:positionH relativeFrom="column">
                <wp:posOffset>-41564</wp:posOffset>
              </wp:positionH>
              <wp:positionV relativeFrom="paragraph">
                <wp:posOffset>32327</wp:posOffset>
              </wp:positionV>
              <wp:extent cx="6705600" cy="0"/>
              <wp:effectExtent l="0" t="19050" r="0" b="19050"/>
              <wp:wrapNone/>
              <wp:docPr id="289" name="Straight Connector 289"/>
              <wp:cNvGraphicFramePr/>
              <a:graphic xmlns:a="http://schemas.openxmlformats.org/drawingml/2006/main">
                <a:graphicData uri="http://schemas.microsoft.com/office/word/2010/wordprocessingShape">
                  <wps:wsp>
                    <wps:cNvCnPr/>
                    <wps:spPr>
                      <a:xfrm>
                        <a:off x="0" y="0"/>
                        <a:ext cx="6705600" cy="0"/>
                      </a:xfrm>
                      <a:prstGeom prst="line">
                        <a:avLst/>
                      </a:prstGeom>
                      <a:ln w="31750">
                        <a:solidFill>
                          <a:srgbClr val="009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55pt" to="524.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" strokecolor="#009d00" strokeweight="2.5pt"/>
          </w:pict>
        </mc:Fallback>
      </mc:AlternateContent>
    </w:r>
  </w:p>
  <w:p w:rsidR="00A008FE" w:rsidRDefault="0009285E" w:rsidP="0076089E">
    <w:pPr>
      <w:pStyle w:val="Footer"/>
      <w:tabs>
        <w:tab w:val="left" w:pos="7655"/>
      </w:tabs>
      <w:rPr>
        <w:rFonts w:cs="Arial"/>
        <w:b/>
        <w:sz w:val="28"/>
        <w:szCs w:val="28"/>
      </w:rPr>
    </w:pPr>
    <w:hyperlink r:id="rId1" w:history="1">
      <w:r w:rsidR="00A008FE" w:rsidRPr="004B2C57">
        <w:rPr>
          <w:rStyle w:val="Hyperlink"/>
          <w:rFonts w:cs="Arial"/>
          <w:b/>
          <w:sz w:val="28"/>
          <w:szCs w:val="28"/>
        </w:rPr>
        <w:t>www.sps.nhs.uk</w:t>
      </w:r>
    </w:hyperlink>
    <w:r w:rsidR="00A008FE">
      <w:rPr>
        <w:rFonts w:cs="Arial"/>
        <w:b/>
        <w:sz w:val="28"/>
        <w:szCs w:val="28"/>
      </w:rPr>
      <w:t xml:space="preserve">                                                                 </w:t>
    </w:r>
  </w:p>
  <w:p w:rsidR="00A008FE" w:rsidRDefault="00A008FE" w:rsidP="00744438">
    <w:pPr>
      <w:pStyle w:val="Footer"/>
      <w:tabs>
        <w:tab w:val="left" w:pos="5387"/>
        <w:tab w:val="left" w:pos="7655"/>
      </w:tabs>
      <w:rPr>
        <w:rFonts w:cs="Arial"/>
        <w:b/>
        <w:color w:val="0070C0"/>
        <w:sz w:val="28"/>
        <w:szCs w:val="28"/>
      </w:rPr>
    </w:pPr>
    <w:r>
      <w:rPr>
        <w:rFonts w:cs="Arial"/>
        <w:b/>
        <w:sz w:val="28"/>
        <w:szCs w:val="28"/>
      </w:rPr>
      <w:t xml:space="preserve">                                                                </w:t>
    </w:r>
    <w:r w:rsidRPr="00275D9C">
      <w:rPr>
        <w:rFonts w:cs="Arial"/>
        <w:b/>
        <w:color w:val="808080" w:themeColor="background1" w:themeShade="80"/>
        <w:sz w:val="16"/>
        <w:szCs w:val="16"/>
      </w:rPr>
      <w:t>Page</w:t>
    </w:r>
    <w:r w:rsidRPr="00275D9C">
      <w:rPr>
        <w:rFonts w:cs="Arial"/>
        <w:b/>
        <w:sz w:val="16"/>
        <w:szCs w:val="16"/>
      </w:rPr>
      <w:t xml:space="preserve"> | </w:t>
    </w:r>
    <w:r w:rsidRPr="00275D9C">
      <w:rPr>
        <w:rFonts w:cs="Arial"/>
        <w:b/>
        <w:sz w:val="16"/>
        <w:szCs w:val="16"/>
      </w:rPr>
      <w:fldChar w:fldCharType="begin"/>
    </w:r>
    <w:r w:rsidRPr="00275D9C">
      <w:rPr>
        <w:rFonts w:cs="Arial"/>
        <w:b/>
        <w:sz w:val="16"/>
        <w:szCs w:val="16"/>
      </w:rPr>
      <w:instrText xml:space="preserve"> PAGE   \* MERGEFORMAT </w:instrText>
    </w:r>
    <w:r w:rsidRPr="00275D9C">
      <w:rPr>
        <w:rFonts w:cs="Arial"/>
        <w:b/>
        <w:sz w:val="16"/>
        <w:szCs w:val="16"/>
      </w:rPr>
      <w:fldChar w:fldCharType="separate"/>
    </w:r>
    <w:r w:rsidR="0009285E" w:rsidRPr="0009285E">
      <w:rPr>
        <w:rFonts w:cs="Arial"/>
        <w:b/>
        <w:bCs/>
        <w:noProof/>
        <w:sz w:val="16"/>
        <w:szCs w:val="16"/>
      </w:rPr>
      <w:t>27</w:t>
    </w:r>
    <w:r w:rsidRPr="00275D9C">
      <w:rPr>
        <w:rFonts w:cs="Arial"/>
        <w:b/>
        <w:bCs/>
        <w:noProof/>
        <w:sz w:val="16"/>
        <w:szCs w:val="16"/>
      </w:rPr>
      <w:fldChar w:fldCharType="end"/>
    </w:r>
  </w:p>
  <w:p w:rsidR="00A008FE" w:rsidRPr="0076298A" w:rsidRDefault="00A008FE" w:rsidP="006A6EFD">
    <w:pPr>
      <w:pStyle w:val="Footer"/>
      <w:rPr>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FE" w:rsidRDefault="00A008FE">
    <w:pPr>
      <w:pStyle w:val="Footer"/>
    </w:pPr>
    <w:r w:rsidRPr="001D64A1">
      <w:rPr>
        <w:b/>
        <w:noProof/>
        <w:lang w:eastAsia="en-GB"/>
      </w:rPr>
      <mc:AlternateContent>
        <mc:Choice Requires="wps">
          <w:drawing>
            <wp:anchor distT="0" distB="0" distL="114300" distR="114300" simplePos="0" relativeHeight="251669504" behindDoc="0" locked="0" layoutInCell="1" allowOverlap="1" wp14:anchorId="028FB17F" wp14:editId="5D98FEA5">
              <wp:simplePos x="0" y="0"/>
              <wp:positionH relativeFrom="column">
                <wp:posOffset>3071190</wp:posOffset>
              </wp:positionH>
              <wp:positionV relativeFrom="paragraph">
                <wp:posOffset>157038</wp:posOffset>
              </wp:positionV>
              <wp:extent cx="3857763" cy="356235"/>
              <wp:effectExtent l="0" t="0" r="0" b="571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763" cy="356235"/>
                      </a:xfrm>
                      <a:prstGeom prst="rect">
                        <a:avLst/>
                      </a:prstGeom>
                      <a:noFill/>
                      <a:ln w="9525">
                        <a:noFill/>
                        <a:miter lim="800000"/>
                        <a:headEnd/>
                        <a:tailEnd/>
                      </a:ln>
                    </wps:spPr>
                    <wps:txbx>
                      <w:txbxContent>
                        <w:p w:rsidR="00A008FE" w:rsidRDefault="00A008FE" w:rsidP="001D64A1">
                          <w:pPr>
                            <w:pStyle w:val="Footer"/>
                            <w:ind w:right="360"/>
                            <w:suppressOverlap/>
                            <w:jc w:val="right"/>
                            <w:rPr>
                              <w:rFonts w:cs="Arial"/>
                              <w:b/>
                              <w:color w:val="009D00"/>
                              <w:sz w:val="16"/>
                              <w:szCs w:val="16"/>
                            </w:rPr>
                          </w:pPr>
                          <w:r w:rsidRPr="0026225D">
                            <w:rPr>
                              <w:rFonts w:cs="Arial"/>
                              <w:b/>
                              <w:color w:val="009D00"/>
                              <w:sz w:val="16"/>
                              <w:szCs w:val="16"/>
                            </w:rPr>
                            <w:t xml:space="preserve">Version </w:t>
                          </w:r>
                          <w:r>
                            <w:rPr>
                              <w:rFonts w:cs="Arial"/>
                              <w:b/>
                              <w:color w:val="009D00"/>
                              <w:sz w:val="16"/>
                              <w:szCs w:val="16"/>
                            </w:rPr>
                            <w:t>1.0</w:t>
                          </w:r>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A008FE" w:rsidRDefault="00A008FE" w:rsidP="001D64A1">
                          <w:pPr>
                            <w:pStyle w:val="Footer"/>
                            <w:ind w:right="360"/>
                            <w:suppressOverlap/>
                            <w:jc w:val="right"/>
                            <w:rPr>
                              <w:rFonts w:cs="Arial"/>
                              <w:b/>
                              <w:color w:val="009D00"/>
                              <w:sz w:val="28"/>
                              <w:szCs w:val="28"/>
                            </w:rPr>
                          </w:pPr>
                          <w:r>
                            <w:rPr>
                              <w:rFonts w:cs="Arial"/>
                              <w:b/>
                              <w:color w:val="009D00"/>
                              <w:sz w:val="16"/>
                              <w:szCs w:val="16"/>
                            </w:rPr>
                            <w:t xml:space="preserve">Review date: April 2021 </w:t>
                          </w:r>
                        </w:p>
                        <w:p w:rsidR="00A008FE" w:rsidRDefault="00A008FE" w:rsidP="001D64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41.85pt;margin-top:12.35pt;width:303.75pt;height:28.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" filled="f" stroked="f">
              <v:textbox>
                <w:txbxContent>
                  <w:p w:rsidR="001D64A1" w:rsidRDefault="001D64A1" w:rsidP="001D64A1">
                    <w:pPr>
                      <w:pStyle w:val="Footer"/>
                      <w:ind w:right="360"/>
                      <w:suppressOverlap/>
                      <w:jc w:val="right"/>
                      <w:rPr>
                        <w:rFonts w:cs="Arial"/>
                        <w:b/>
                        <w:color w:val="009D00"/>
                        <w:sz w:val="16"/>
                        <w:szCs w:val="16"/>
                      </w:rPr>
                    </w:pPr>
                    <w:r w:rsidRPr="0026225D">
                      <w:rPr>
                        <w:rFonts w:cs="Arial"/>
                        <w:b/>
                        <w:color w:val="009D00"/>
                        <w:sz w:val="16"/>
                        <w:szCs w:val="16"/>
                      </w:rPr>
                      <w:t xml:space="preserve">Version </w:t>
                    </w:r>
                    <w:r w:rsidR="00CE1815">
                      <w:rPr>
                        <w:rFonts w:cs="Arial"/>
                        <w:b/>
                        <w:color w:val="009D00"/>
                        <w:sz w:val="16"/>
                        <w:szCs w:val="16"/>
                      </w:rPr>
                      <w:t>1.0</w:t>
                    </w:r>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1D64A1" w:rsidRDefault="001D64A1" w:rsidP="001D64A1">
                    <w:pPr>
                      <w:pStyle w:val="Footer"/>
                      <w:ind w:right="360"/>
                      <w:suppressOverlap/>
                      <w:jc w:val="right"/>
                      <w:rPr>
                        <w:rFonts w:cs="Arial"/>
                        <w:b/>
                        <w:color w:val="009D00"/>
                        <w:sz w:val="28"/>
                        <w:szCs w:val="28"/>
                      </w:rPr>
                    </w:pPr>
                    <w:r>
                      <w:rPr>
                        <w:rFonts w:cs="Arial"/>
                        <w:b/>
                        <w:color w:val="009D00"/>
                        <w:sz w:val="16"/>
                        <w:szCs w:val="16"/>
                      </w:rPr>
                      <w:t>Review date: April 202</w:t>
                    </w:r>
                    <w:r w:rsidR="00CE1815">
                      <w:rPr>
                        <w:rFonts w:cs="Arial"/>
                        <w:b/>
                        <w:color w:val="009D00"/>
                        <w:sz w:val="16"/>
                        <w:szCs w:val="16"/>
                      </w:rPr>
                      <w:t>1</w:t>
                    </w:r>
                    <w:r>
                      <w:rPr>
                        <w:rFonts w:cs="Arial"/>
                        <w:b/>
                        <w:color w:val="009D00"/>
                        <w:sz w:val="16"/>
                        <w:szCs w:val="16"/>
                      </w:rPr>
                      <w:t xml:space="preserve"> </w:t>
                    </w:r>
                  </w:p>
                  <w:p w:rsidR="001D64A1" w:rsidRDefault="001D64A1" w:rsidP="001D64A1"/>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16DF1E9" wp14:editId="01E64CB1">
              <wp:simplePos x="0" y="0"/>
              <wp:positionH relativeFrom="column">
                <wp:posOffset>-6626</wp:posOffset>
              </wp:positionH>
              <wp:positionV relativeFrom="paragraph">
                <wp:posOffset>84151</wp:posOffset>
              </wp:positionV>
              <wp:extent cx="6579704" cy="0"/>
              <wp:effectExtent l="0" t="19050" r="12065" b="19050"/>
              <wp:wrapNone/>
              <wp:docPr id="20" name="Straight Connector 20"/>
              <wp:cNvGraphicFramePr/>
              <a:graphic xmlns:a="http://schemas.openxmlformats.org/drawingml/2006/main">
                <a:graphicData uri="http://schemas.microsoft.com/office/word/2010/wordprocessingShape">
                  <wps:wsp>
                    <wps:cNvCnPr/>
                    <wps:spPr>
                      <a:xfrm>
                        <a:off x="0" y="0"/>
                        <a:ext cx="6579704" cy="0"/>
                      </a:xfrm>
                      <a:prstGeom prst="line">
                        <a:avLst/>
                      </a:prstGeom>
                      <a:ln w="31750">
                        <a:solidFill>
                          <a:srgbClr val="009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65pt" to="517.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" strokecolor="#009d00" strokeweight="2.5pt"/>
          </w:pict>
        </mc:Fallback>
      </mc:AlternateContent>
    </w:r>
    <w:r w:rsidRPr="00C544E5">
      <w:rPr>
        <w:b/>
        <w:noProof/>
        <w:lang w:eastAsia="en-GB"/>
      </w:rPr>
      <mc:AlternateContent>
        <mc:Choice Requires="wps">
          <w:drawing>
            <wp:anchor distT="0" distB="0" distL="114300" distR="114300" simplePos="0" relativeHeight="251668480" behindDoc="0" locked="0" layoutInCell="1" allowOverlap="1" wp14:anchorId="7B18DBFE" wp14:editId="03BC9A3D">
              <wp:simplePos x="0" y="0"/>
              <wp:positionH relativeFrom="column">
                <wp:posOffset>5042452</wp:posOffset>
              </wp:positionH>
              <wp:positionV relativeFrom="paragraph">
                <wp:posOffset>3262354</wp:posOffset>
              </wp:positionV>
              <wp:extent cx="5042011" cy="356235"/>
              <wp:effectExtent l="0" t="0" r="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011" cy="356235"/>
                      </a:xfrm>
                      <a:prstGeom prst="rect">
                        <a:avLst/>
                      </a:prstGeom>
                      <a:noFill/>
                      <a:ln w="9525">
                        <a:noFill/>
                        <a:miter lim="800000"/>
                        <a:headEnd/>
                        <a:tailEnd/>
                      </a:ln>
                    </wps:spPr>
                    <wps:txbx>
                      <w:txbxContent>
                        <w:p w:rsidR="00A008FE" w:rsidRDefault="00A008FE" w:rsidP="0054590E">
                          <w:pPr>
                            <w:pStyle w:val="Footer"/>
                            <w:ind w:right="360"/>
                            <w:suppressOverlap/>
                            <w:jc w:val="right"/>
                            <w:rPr>
                              <w:rFonts w:cs="Arial"/>
                              <w:b/>
                              <w:color w:val="009D00"/>
                              <w:sz w:val="16"/>
                              <w:szCs w:val="16"/>
                            </w:rPr>
                          </w:pPr>
                          <w:r w:rsidRPr="0026225D">
                            <w:rPr>
                              <w:rFonts w:cs="Arial"/>
                              <w:b/>
                              <w:color w:val="009D00"/>
                              <w:sz w:val="16"/>
                              <w:szCs w:val="16"/>
                            </w:rPr>
                            <w:t xml:space="preserve">Version </w:t>
                          </w:r>
                          <w:proofErr w:type="spellStart"/>
                          <w:r w:rsidRPr="0026225D">
                            <w:rPr>
                              <w:rFonts w:cs="Arial"/>
                              <w:b/>
                              <w:color w:val="009D00"/>
                              <w:sz w:val="16"/>
                              <w:szCs w:val="16"/>
                            </w:rPr>
                            <w:t>x.x</w:t>
                          </w:r>
                          <w:proofErr w:type="spellEnd"/>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A008FE" w:rsidRDefault="00A008FE" w:rsidP="0054590E">
                          <w:pPr>
                            <w:pStyle w:val="Footer"/>
                            <w:ind w:right="360"/>
                            <w:suppressOverlap/>
                            <w:jc w:val="right"/>
                            <w:rPr>
                              <w:rFonts w:cs="Arial"/>
                              <w:b/>
                              <w:color w:val="009D00"/>
                              <w:sz w:val="28"/>
                              <w:szCs w:val="28"/>
                            </w:rPr>
                          </w:pPr>
                          <w:r>
                            <w:rPr>
                              <w:rFonts w:cs="Arial"/>
                              <w:b/>
                              <w:color w:val="009D00"/>
                              <w:sz w:val="16"/>
                              <w:szCs w:val="16"/>
                            </w:rPr>
                            <w:t xml:space="preserve">Review date: April 2022 </w:t>
                          </w:r>
                        </w:p>
                        <w:p w:rsidR="00A008FE" w:rsidRDefault="00A008FE" w:rsidP="00545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margin-left:397.05pt;margin-top:256.9pt;width:397pt;height:28.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" filled="f" stroked="f">
              <v:textbox>
                <w:txbxContent>
                  <w:p w:rsidR="001D64A1" w:rsidRDefault="001D64A1" w:rsidP="0054590E">
                    <w:pPr>
                      <w:pStyle w:val="Footer"/>
                      <w:ind w:right="360"/>
                      <w:suppressOverlap/>
                      <w:jc w:val="right"/>
                      <w:rPr>
                        <w:rFonts w:cs="Arial"/>
                        <w:b/>
                        <w:color w:val="009D00"/>
                        <w:sz w:val="16"/>
                        <w:szCs w:val="16"/>
                      </w:rPr>
                    </w:pPr>
                    <w:r w:rsidRPr="0026225D">
                      <w:rPr>
                        <w:rFonts w:cs="Arial"/>
                        <w:b/>
                        <w:color w:val="009D00"/>
                        <w:sz w:val="16"/>
                        <w:szCs w:val="16"/>
                      </w:rPr>
                      <w:t xml:space="preserve">Version </w:t>
                    </w:r>
                    <w:proofErr w:type="spellStart"/>
                    <w:r w:rsidRPr="0026225D">
                      <w:rPr>
                        <w:rFonts w:cs="Arial"/>
                        <w:b/>
                        <w:color w:val="009D00"/>
                        <w:sz w:val="16"/>
                        <w:szCs w:val="16"/>
                      </w:rPr>
                      <w:t>x.x</w:t>
                    </w:r>
                    <w:proofErr w:type="spellEnd"/>
                    <w:r w:rsidRPr="0026225D">
                      <w:rPr>
                        <w:rFonts w:cs="Arial"/>
                        <w:b/>
                        <w:color w:val="009D00"/>
                        <w:sz w:val="16"/>
                        <w:szCs w:val="16"/>
                      </w:rPr>
                      <w:t xml:space="preserve">, </w:t>
                    </w:r>
                    <w:r>
                      <w:rPr>
                        <w:rFonts w:cs="Arial"/>
                        <w:b/>
                        <w:color w:val="009D00"/>
                        <w:sz w:val="16"/>
                        <w:szCs w:val="16"/>
                      </w:rPr>
                      <w:t>Publication Date April</w:t>
                    </w:r>
                    <w:r w:rsidRPr="0026225D">
                      <w:rPr>
                        <w:rFonts w:cs="Arial"/>
                        <w:b/>
                        <w:color w:val="009D00"/>
                        <w:sz w:val="16"/>
                        <w:szCs w:val="16"/>
                      </w:rPr>
                      <w:t xml:space="preserve"> 20</w:t>
                    </w:r>
                    <w:r>
                      <w:rPr>
                        <w:rFonts w:cs="Arial"/>
                        <w:b/>
                        <w:color w:val="009D00"/>
                        <w:sz w:val="16"/>
                        <w:szCs w:val="16"/>
                      </w:rPr>
                      <w:t>19 (correct at time of publication)</w:t>
                    </w:r>
                  </w:p>
                  <w:p w:rsidR="001D64A1" w:rsidRDefault="001D64A1" w:rsidP="0054590E">
                    <w:pPr>
                      <w:pStyle w:val="Footer"/>
                      <w:ind w:right="360"/>
                      <w:suppressOverlap/>
                      <w:jc w:val="right"/>
                      <w:rPr>
                        <w:rFonts w:cs="Arial"/>
                        <w:b/>
                        <w:color w:val="009D00"/>
                        <w:sz w:val="28"/>
                        <w:szCs w:val="28"/>
                      </w:rPr>
                    </w:pPr>
                    <w:r>
                      <w:rPr>
                        <w:rFonts w:cs="Arial"/>
                        <w:b/>
                        <w:color w:val="009D00"/>
                        <w:sz w:val="16"/>
                        <w:szCs w:val="16"/>
                      </w:rPr>
                      <w:t xml:space="preserve">Review date: April 2022 </w:t>
                    </w:r>
                  </w:p>
                  <w:p w:rsidR="001D64A1" w:rsidRDefault="001D64A1" w:rsidP="0054590E"/>
                </w:txbxContent>
              </v:textbox>
            </v:shape>
          </w:pict>
        </mc:Fallback>
      </mc:AlternateContent>
    </w:r>
    <w:r>
      <w:softHyphen/>
    </w:r>
    <w:r>
      <w:softHyphen/>
    </w:r>
    <w:r>
      <w:softHyphen/>
    </w:r>
  </w:p>
  <w:p w:rsidR="00A008FE" w:rsidRPr="002039C4" w:rsidRDefault="0009285E" w:rsidP="001D64A1">
    <w:pPr>
      <w:pStyle w:val="Footer"/>
      <w:tabs>
        <w:tab w:val="clear" w:pos="4513"/>
        <w:tab w:val="left" w:pos="9026"/>
      </w:tabs>
      <w:rPr>
        <w:rFonts w:cs="Arial"/>
        <w:b/>
        <w:color w:val="0070C0"/>
        <w:sz w:val="28"/>
        <w:szCs w:val="28"/>
      </w:rPr>
    </w:pPr>
    <w:hyperlink r:id="rId1" w:history="1">
      <w:r w:rsidR="00A008FE" w:rsidRPr="00DE05AE">
        <w:rPr>
          <w:rStyle w:val="Hyperlink"/>
          <w:rFonts w:cs="Arial"/>
          <w:b/>
          <w:sz w:val="28"/>
          <w:szCs w:val="28"/>
        </w:rPr>
        <w:t>www.sps.nhs.uk</w:t>
      </w:r>
    </w:hyperlink>
    <w:r w:rsidR="00A008FE">
      <w:rPr>
        <w:rFonts w:cs="Arial"/>
        <w:b/>
        <w:sz w:val="28"/>
        <w:szCs w:val="28"/>
      </w:rPr>
      <w:t xml:space="preserve">              </w:t>
    </w:r>
    <w:r w:rsidR="00A008FE">
      <w:rPr>
        <w:rFonts w:cs="Arial"/>
        <w:b/>
        <w:sz w:val="28"/>
        <w:szCs w:val="28"/>
      </w:rPr>
      <w:tab/>
    </w:r>
  </w:p>
  <w:p w:rsidR="00A008FE" w:rsidRPr="00275D9C" w:rsidRDefault="00A008FE" w:rsidP="0076089E">
    <w:pPr>
      <w:pStyle w:val="Footer"/>
      <w:tabs>
        <w:tab w:val="left" w:pos="5387"/>
      </w:tabs>
      <w:rPr>
        <w:b/>
        <w:sz w:val="16"/>
        <w:szCs w:val="16"/>
      </w:rPr>
    </w:pPr>
    <w:r>
      <w:rPr>
        <w:b/>
        <w:color w:val="808080" w:themeColor="background1" w:themeShade="80"/>
        <w:sz w:val="16"/>
        <w:szCs w:val="16"/>
      </w:rPr>
      <w:t xml:space="preserve">                                                                                                                </w:t>
    </w:r>
    <w:r w:rsidRPr="00275D9C">
      <w:rPr>
        <w:b/>
        <w:color w:val="808080" w:themeColor="background1" w:themeShade="80"/>
        <w:sz w:val="16"/>
        <w:szCs w:val="16"/>
      </w:rPr>
      <w:t>Page</w:t>
    </w:r>
    <w:r w:rsidRPr="00275D9C">
      <w:rPr>
        <w:b/>
        <w:sz w:val="16"/>
        <w:szCs w:val="16"/>
      </w:rPr>
      <w:t xml:space="preserve"> | </w:t>
    </w:r>
    <w:r w:rsidRPr="00275D9C">
      <w:rPr>
        <w:b/>
        <w:sz w:val="16"/>
        <w:szCs w:val="16"/>
      </w:rPr>
      <w:fldChar w:fldCharType="begin"/>
    </w:r>
    <w:r w:rsidRPr="00275D9C">
      <w:rPr>
        <w:b/>
        <w:sz w:val="16"/>
        <w:szCs w:val="16"/>
      </w:rPr>
      <w:instrText xml:space="preserve"> PAGE   \* MERGEFORMAT </w:instrText>
    </w:r>
    <w:r w:rsidRPr="00275D9C">
      <w:rPr>
        <w:b/>
        <w:sz w:val="16"/>
        <w:szCs w:val="16"/>
      </w:rPr>
      <w:fldChar w:fldCharType="separate"/>
    </w:r>
    <w:r w:rsidR="0009285E" w:rsidRPr="0009285E">
      <w:rPr>
        <w:b/>
        <w:bCs/>
        <w:noProof/>
        <w:sz w:val="16"/>
        <w:szCs w:val="16"/>
      </w:rPr>
      <w:t>26</w:t>
    </w:r>
    <w:r w:rsidRPr="00275D9C">
      <w:rPr>
        <w:b/>
        <w:bCs/>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8FE" w:rsidRDefault="00A008FE" w:rsidP="0038441D">
      <w:r>
        <w:separator/>
      </w:r>
    </w:p>
  </w:footnote>
  <w:footnote w:type="continuationSeparator" w:id="0">
    <w:p w:rsidR="00A008FE" w:rsidRDefault="00A008FE" w:rsidP="00384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FE" w:rsidRDefault="00A008FE">
    <w:pPr>
      <w:pStyle w:val="Header"/>
    </w:pPr>
    <w:r>
      <w:rPr>
        <w:noProof/>
        <w:lang w:eastAsia="en-GB"/>
      </w:rPr>
      <w:drawing>
        <wp:anchor distT="0" distB="0" distL="114300" distR="114300" simplePos="0" relativeHeight="251651072" behindDoc="0" locked="0" layoutInCell="1" allowOverlap="1" wp14:anchorId="40B097BB" wp14:editId="51B9B96C">
          <wp:simplePos x="0" y="0"/>
          <wp:positionH relativeFrom="column">
            <wp:posOffset>5718175</wp:posOffset>
          </wp:positionH>
          <wp:positionV relativeFrom="paragraph">
            <wp:posOffset>20320</wp:posOffset>
          </wp:positionV>
          <wp:extent cx="1009015" cy="735330"/>
          <wp:effectExtent l="0" t="0" r="635"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7353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0048" behindDoc="0" locked="0" layoutInCell="1" allowOverlap="1" wp14:anchorId="5D0B51EE" wp14:editId="1652EE4E">
          <wp:simplePos x="0" y="0"/>
          <wp:positionH relativeFrom="column">
            <wp:posOffset>4796790</wp:posOffset>
          </wp:positionH>
          <wp:positionV relativeFrom="paragraph">
            <wp:posOffset>14605</wp:posOffset>
          </wp:positionV>
          <wp:extent cx="748030" cy="748030"/>
          <wp:effectExtent l="0" t="0" r="0" b="0"/>
          <wp:wrapSquare wrapText="bothSides"/>
          <wp:docPr id="23" name="Picture 23" descr="X:\PPU\MedicinesInfo\RMOC\Admin\Templates\Images (put where you think is best)\rmoc-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rmoc-ico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49024" behindDoc="0" locked="0" layoutInCell="1" allowOverlap="1" wp14:anchorId="068CEDD2" wp14:editId="678C4FB4">
          <wp:simplePos x="0" y="0"/>
          <wp:positionH relativeFrom="column">
            <wp:posOffset>-41275</wp:posOffset>
          </wp:positionH>
          <wp:positionV relativeFrom="paragraph">
            <wp:posOffset>10160</wp:posOffset>
          </wp:positionV>
          <wp:extent cx="2101850" cy="668020"/>
          <wp:effectExtent l="0" t="0" r="0" b="0"/>
          <wp:wrapSquare wrapText="bothSides"/>
          <wp:docPr id="24" name="Picture 24" descr="X:\PPU\MedicinesInfo\RMOC\Admin\Templates\Images (put where you think is best)\SPS-Logo_Large-1024x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SPS-Logo_Large-1024x327.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01850"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8FE" w:rsidRDefault="00A008FE">
    <w:pPr>
      <w:pStyle w:val="Header"/>
    </w:pPr>
  </w:p>
  <w:p w:rsidR="00A008FE" w:rsidRDefault="00A008FE">
    <w:pPr>
      <w:pStyle w:val="Header"/>
    </w:pPr>
  </w:p>
  <w:p w:rsidR="00A008FE" w:rsidRDefault="00A008FE">
    <w:pPr>
      <w:pStyle w:val="Header"/>
    </w:pPr>
  </w:p>
  <w:p w:rsidR="00A008FE" w:rsidRDefault="00A008FE" w:rsidP="002D614A">
    <w:pPr>
      <w:pStyle w:val="Header"/>
      <w:tabs>
        <w:tab w:val="clear" w:pos="4513"/>
        <w:tab w:val="clear" w:pos="9026"/>
        <w:tab w:val="left" w:pos="239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FE" w:rsidRDefault="00A008FE" w:rsidP="0038441D">
    <w:pPr>
      <w:pStyle w:val="Header"/>
      <w:tabs>
        <w:tab w:val="clear" w:pos="4513"/>
        <w:tab w:val="clear" w:pos="9026"/>
        <w:tab w:val="left" w:pos="1477"/>
        <w:tab w:val="left" w:pos="5442"/>
      </w:tabs>
    </w:pPr>
    <w:r>
      <w:rPr>
        <w:noProof/>
        <w:lang w:eastAsia="en-GB"/>
      </w:rPr>
      <w:drawing>
        <wp:anchor distT="0" distB="0" distL="114300" distR="114300" simplePos="0" relativeHeight="251643904" behindDoc="0" locked="0" layoutInCell="1" allowOverlap="1" wp14:anchorId="0841B6CD" wp14:editId="5C0E95EF">
          <wp:simplePos x="0" y="0"/>
          <wp:positionH relativeFrom="column">
            <wp:posOffset>5728335</wp:posOffset>
          </wp:positionH>
          <wp:positionV relativeFrom="paragraph">
            <wp:posOffset>12065</wp:posOffset>
          </wp:positionV>
          <wp:extent cx="1009015" cy="735330"/>
          <wp:effectExtent l="0" t="0" r="635" b="76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7353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44928" behindDoc="0" locked="0" layoutInCell="1" allowOverlap="1" wp14:anchorId="369AEC42" wp14:editId="7066722C">
          <wp:simplePos x="0" y="0"/>
          <wp:positionH relativeFrom="column">
            <wp:posOffset>-46990</wp:posOffset>
          </wp:positionH>
          <wp:positionV relativeFrom="paragraph">
            <wp:posOffset>6350</wp:posOffset>
          </wp:positionV>
          <wp:extent cx="2101850" cy="668020"/>
          <wp:effectExtent l="0" t="0" r="0" b="0"/>
          <wp:wrapSquare wrapText="bothSides"/>
          <wp:docPr id="26" name="Picture 26" descr="X:\PPU\MedicinesInfo\RMOC\Admin\Templates\Images (put where you think is best)\SPS-Logo_Large-1024x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SPS-Logo_Large-1024x327.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185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45952" behindDoc="0" locked="0" layoutInCell="1" allowOverlap="1" wp14:anchorId="2536E5CA" wp14:editId="461A4E20">
          <wp:simplePos x="0" y="0"/>
          <wp:positionH relativeFrom="column">
            <wp:posOffset>4794885</wp:posOffset>
          </wp:positionH>
          <wp:positionV relativeFrom="paragraph">
            <wp:posOffset>1270</wp:posOffset>
          </wp:positionV>
          <wp:extent cx="748030" cy="748030"/>
          <wp:effectExtent l="0" t="0" r="0" b="0"/>
          <wp:wrapSquare wrapText="bothSides"/>
          <wp:docPr id="27" name="Picture 27" descr="X:\PPU\MedicinesInfo\RMOC\Admin\Templates\Images (put where you think is best)\rmoc-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rmoc-icon.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A008FE" w:rsidRDefault="00A008FE" w:rsidP="0038441D">
    <w:pPr>
      <w:pStyle w:val="Header"/>
      <w:tabs>
        <w:tab w:val="clear" w:pos="4513"/>
        <w:tab w:val="clear" w:pos="9026"/>
        <w:tab w:val="left" w:pos="1477"/>
        <w:tab w:val="left" w:pos="5442"/>
      </w:tabs>
    </w:pPr>
  </w:p>
  <w:p w:rsidR="00A008FE" w:rsidRDefault="00A008FE" w:rsidP="0038441D">
    <w:pPr>
      <w:pStyle w:val="Header"/>
      <w:tabs>
        <w:tab w:val="clear" w:pos="4513"/>
        <w:tab w:val="clear" w:pos="9026"/>
        <w:tab w:val="left" w:pos="1477"/>
        <w:tab w:val="left" w:pos="5442"/>
      </w:tabs>
    </w:pPr>
  </w:p>
  <w:p w:rsidR="00A008FE" w:rsidRDefault="00A008FE" w:rsidP="0038441D">
    <w:pPr>
      <w:pStyle w:val="Header"/>
      <w:tabs>
        <w:tab w:val="clear" w:pos="4513"/>
        <w:tab w:val="clear" w:pos="9026"/>
        <w:tab w:val="left" w:pos="1477"/>
        <w:tab w:val="left" w:pos="5442"/>
      </w:tabs>
    </w:pPr>
  </w:p>
  <w:p w:rsidR="00A008FE" w:rsidRDefault="00A008FE" w:rsidP="0038441D">
    <w:pPr>
      <w:pStyle w:val="Header"/>
      <w:tabs>
        <w:tab w:val="clear" w:pos="4513"/>
        <w:tab w:val="clear" w:pos="9026"/>
        <w:tab w:val="left" w:pos="1477"/>
        <w:tab w:val="left" w:pos="5442"/>
      </w:tabs>
    </w:pPr>
  </w:p>
  <w:tbl>
    <w:tblPr>
      <w:tblStyle w:val="TableGrid"/>
      <w:tblW w:w="0" w:type="auto"/>
      <w:tblLook w:val="04A0" w:firstRow="1" w:lastRow="0" w:firstColumn="1" w:lastColumn="0" w:noHBand="0" w:noVBand="1"/>
    </w:tblPr>
    <w:tblGrid>
      <w:gridCol w:w="10682"/>
    </w:tblGrid>
    <w:tr w:rsidR="00A008FE" w:rsidTr="00A2238D">
      <w:tc>
        <w:tcPr>
          <w:tcW w:w="10682" w:type="dxa"/>
          <w:tcBorders>
            <w:top w:val="nil"/>
            <w:left w:val="nil"/>
            <w:bottom w:val="nil"/>
            <w:right w:val="nil"/>
          </w:tcBorders>
          <w:shd w:val="clear" w:color="auto" w:fill="0070C0"/>
        </w:tcPr>
        <w:p w:rsidR="00A008FE" w:rsidRPr="002B3386" w:rsidRDefault="00A008FE" w:rsidP="003321CD">
          <w:pPr>
            <w:pStyle w:val="Header"/>
            <w:tabs>
              <w:tab w:val="clear" w:pos="4513"/>
              <w:tab w:val="clear" w:pos="9026"/>
              <w:tab w:val="left" w:pos="1477"/>
              <w:tab w:val="left" w:pos="5442"/>
            </w:tabs>
            <w:spacing w:before="120" w:after="120"/>
            <w:contextualSpacing/>
            <w:jc w:val="center"/>
            <w:rPr>
              <w:rFonts w:cs="Arial"/>
              <w:b/>
              <w:color w:val="FFFFFF" w:themeColor="background1"/>
              <w:sz w:val="12"/>
              <w:szCs w:val="12"/>
            </w:rPr>
          </w:pPr>
        </w:p>
        <w:p w:rsidR="00A008FE" w:rsidRPr="008D04BD" w:rsidRDefault="00A008FE" w:rsidP="008D04BD">
          <w:pPr>
            <w:pStyle w:val="Header"/>
            <w:tabs>
              <w:tab w:val="clear" w:pos="4513"/>
              <w:tab w:val="clear" w:pos="9026"/>
              <w:tab w:val="left" w:pos="1477"/>
              <w:tab w:val="left" w:pos="5442"/>
            </w:tabs>
            <w:spacing w:before="120" w:after="120"/>
            <w:contextualSpacing/>
            <w:jc w:val="center"/>
            <w:rPr>
              <w:rFonts w:cs="Arial"/>
              <w:b/>
              <w:color w:val="FFFFFF" w:themeColor="background1"/>
              <w:sz w:val="12"/>
              <w:szCs w:val="12"/>
            </w:rPr>
          </w:pPr>
        </w:p>
        <w:p w:rsidR="00A008FE" w:rsidRDefault="00A008FE" w:rsidP="00500CD1">
          <w:pPr>
            <w:pStyle w:val="Header"/>
            <w:tabs>
              <w:tab w:val="clear" w:pos="4513"/>
              <w:tab w:val="clear" w:pos="9026"/>
              <w:tab w:val="left" w:pos="1477"/>
              <w:tab w:val="left" w:pos="5442"/>
            </w:tabs>
            <w:spacing w:before="120" w:after="120"/>
            <w:contextualSpacing/>
            <w:jc w:val="center"/>
            <w:rPr>
              <w:rFonts w:cs="Arial"/>
              <w:b/>
              <w:color w:val="FFFFFF" w:themeColor="background1"/>
              <w:sz w:val="36"/>
              <w:szCs w:val="36"/>
            </w:rPr>
          </w:pPr>
          <w:r>
            <w:rPr>
              <w:rFonts w:cs="Arial"/>
              <w:b/>
              <w:color w:val="FFFFFF" w:themeColor="background1"/>
              <w:sz w:val="36"/>
              <w:szCs w:val="36"/>
            </w:rPr>
            <w:t xml:space="preserve">Guidance ratified by the </w:t>
          </w:r>
          <w:r>
            <w:rPr>
              <w:rFonts w:cs="Arial"/>
              <w:b/>
              <w:color w:val="FFFFFF" w:themeColor="background1"/>
              <w:sz w:val="36"/>
              <w:szCs w:val="36"/>
            </w:rPr>
            <w:br/>
            <w:t>Regional Medicines Optimisation Committee (RMOC)</w:t>
          </w:r>
        </w:p>
        <w:p w:rsidR="00A008FE" w:rsidRPr="00AF0D4B" w:rsidRDefault="00A008FE" w:rsidP="00500CD1">
          <w:pPr>
            <w:pStyle w:val="Header"/>
            <w:tabs>
              <w:tab w:val="clear" w:pos="4513"/>
              <w:tab w:val="clear" w:pos="9026"/>
              <w:tab w:val="left" w:pos="1477"/>
              <w:tab w:val="left" w:pos="5442"/>
            </w:tabs>
            <w:spacing w:before="120" w:after="120"/>
            <w:contextualSpacing/>
            <w:jc w:val="center"/>
            <w:rPr>
              <w:rFonts w:cs="Arial"/>
              <w:b/>
              <w:color w:val="FFFFFF" w:themeColor="background1"/>
              <w:sz w:val="36"/>
              <w:szCs w:val="36"/>
            </w:rPr>
          </w:pPr>
        </w:p>
        <w:p w:rsidR="00A008FE" w:rsidRPr="00500CD1" w:rsidRDefault="00A008FE" w:rsidP="00583A88">
          <w:pPr>
            <w:pStyle w:val="Header"/>
            <w:tabs>
              <w:tab w:val="clear" w:pos="4513"/>
              <w:tab w:val="clear" w:pos="9026"/>
              <w:tab w:val="left" w:pos="1477"/>
              <w:tab w:val="left" w:pos="5442"/>
            </w:tabs>
            <w:spacing w:before="120" w:after="120"/>
            <w:contextualSpacing/>
            <w:jc w:val="center"/>
            <w:rPr>
              <w:rFonts w:cs="Arial"/>
              <w:b/>
              <w:color w:val="FFFFFF" w:themeColor="background1"/>
              <w:sz w:val="40"/>
              <w:szCs w:val="40"/>
            </w:rPr>
          </w:pPr>
          <w:r w:rsidRPr="00500CD1">
            <w:rPr>
              <w:rFonts w:cs="Arial"/>
              <w:b/>
              <w:color w:val="FFFFFF" w:themeColor="background1"/>
              <w:sz w:val="40"/>
              <w:szCs w:val="40"/>
            </w:rPr>
            <w:t xml:space="preserve">Principles guiding the decision making about the </w:t>
          </w:r>
          <w:r>
            <w:rPr>
              <w:rFonts w:cs="Arial"/>
              <w:b/>
              <w:color w:val="FFFFFF" w:themeColor="background1"/>
              <w:sz w:val="40"/>
              <w:szCs w:val="40"/>
            </w:rPr>
            <w:br/>
          </w:r>
          <w:r w:rsidRPr="00500CD1">
            <w:rPr>
              <w:rFonts w:cs="Arial"/>
              <w:b/>
              <w:color w:val="FFFFFF" w:themeColor="background1"/>
              <w:sz w:val="40"/>
              <w:szCs w:val="40"/>
            </w:rPr>
            <w:t>route of supply of medicines to outpatients</w:t>
          </w:r>
        </w:p>
        <w:p w:rsidR="00A008FE" w:rsidRDefault="00A008FE" w:rsidP="00583A88">
          <w:pPr>
            <w:pStyle w:val="Header"/>
            <w:tabs>
              <w:tab w:val="clear" w:pos="4513"/>
              <w:tab w:val="clear" w:pos="9026"/>
              <w:tab w:val="left" w:pos="1477"/>
              <w:tab w:val="left" w:pos="5442"/>
            </w:tabs>
            <w:spacing w:before="120" w:after="120"/>
            <w:contextualSpacing/>
            <w:jc w:val="center"/>
            <w:rPr>
              <w:rFonts w:cs="Arial"/>
              <w:b/>
              <w:color w:val="FFFFFF" w:themeColor="background1"/>
              <w:sz w:val="36"/>
              <w:szCs w:val="36"/>
            </w:rPr>
          </w:pPr>
        </w:p>
        <w:p w:rsidR="00A008FE" w:rsidRPr="00AF0D4B" w:rsidRDefault="00A008FE" w:rsidP="00583A88">
          <w:pPr>
            <w:pStyle w:val="Header"/>
            <w:tabs>
              <w:tab w:val="clear" w:pos="4513"/>
              <w:tab w:val="clear" w:pos="9026"/>
              <w:tab w:val="left" w:pos="1477"/>
              <w:tab w:val="left" w:pos="5442"/>
            </w:tabs>
            <w:spacing w:before="120" w:after="120"/>
            <w:contextualSpacing/>
            <w:jc w:val="center"/>
            <w:rPr>
              <w:rFonts w:cs="Arial"/>
              <w:color w:val="FFFFFF" w:themeColor="background1"/>
              <w:sz w:val="32"/>
              <w:szCs w:val="32"/>
            </w:rPr>
          </w:pPr>
          <w:r w:rsidRPr="00AF0D4B">
            <w:rPr>
              <w:rFonts w:cs="Arial"/>
              <w:color w:val="FFFFFF" w:themeColor="background1"/>
              <w:sz w:val="32"/>
              <w:szCs w:val="32"/>
            </w:rPr>
            <w:t>April 2019</w:t>
          </w:r>
        </w:p>
      </w:tc>
    </w:tr>
  </w:tbl>
  <w:p w:rsidR="00A008FE" w:rsidRDefault="00A008FE" w:rsidP="0038441D">
    <w:pPr>
      <w:pStyle w:val="Header"/>
      <w:tabs>
        <w:tab w:val="clear" w:pos="4513"/>
        <w:tab w:val="clear" w:pos="9026"/>
        <w:tab w:val="left" w:pos="1477"/>
        <w:tab w:val="left" w:pos="544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FE" w:rsidRDefault="00A008FE">
    <w:pPr>
      <w:pStyle w:val="Header"/>
    </w:pPr>
    <w:r>
      <w:rPr>
        <w:noProof/>
        <w:lang w:eastAsia="en-GB"/>
      </w:rPr>
      <w:drawing>
        <wp:anchor distT="0" distB="0" distL="114300" distR="114300" simplePos="0" relativeHeight="251658240" behindDoc="0" locked="0" layoutInCell="1" allowOverlap="1" wp14:anchorId="5C0D4164" wp14:editId="03928B00">
          <wp:simplePos x="0" y="0"/>
          <wp:positionH relativeFrom="column">
            <wp:posOffset>7767955</wp:posOffset>
          </wp:positionH>
          <wp:positionV relativeFrom="paragraph">
            <wp:posOffset>-104140</wp:posOffset>
          </wp:positionV>
          <wp:extent cx="748030" cy="748030"/>
          <wp:effectExtent l="0" t="0" r="0" b="0"/>
          <wp:wrapSquare wrapText="bothSides"/>
          <wp:docPr id="7" name="Picture 7" descr="X:\PPU\MedicinesInfo\RMOC\Admin\Templates\Images (put where you think is best)\rmoc-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rmoc-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27EB212B" wp14:editId="026441DF">
          <wp:simplePos x="0" y="0"/>
          <wp:positionH relativeFrom="column">
            <wp:posOffset>8712200</wp:posOffset>
          </wp:positionH>
          <wp:positionV relativeFrom="paragraph">
            <wp:posOffset>-98425</wp:posOffset>
          </wp:positionV>
          <wp:extent cx="1009015" cy="735330"/>
          <wp:effectExtent l="0" t="0" r="635"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015" cy="7353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5B3FB3EB" wp14:editId="35E62926">
          <wp:simplePos x="0" y="0"/>
          <wp:positionH relativeFrom="column">
            <wp:posOffset>-41275</wp:posOffset>
          </wp:positionH>
          <wp:positionV relativeFrom="paragraph">
            <wp:posOffset>10160</wp:posOffset>
          </wp:positionV>
          <wp:extent cx="2101850" cy="668020"/>
          <wp:effectExtent l="0" t="0" r="0" b="0"/>
          <wp:wrapSquare wrapText="bothSides"/>
          <wp:docPr id="8" name="Picture 8" descr="X:\PPU\MedicinesInfo\RMOC\Admin\Templates\Images (put where you think is best)\SPS-Logo_Large-1024x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SPS-Logo_Large-1024x327.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01850"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8FE" w:rsidRDefault="00A008FE">
    <w:pPr>
      <w:pStyle w:val="Header"/>
    </w:pPr>
  </w:p>
  <w:p w:rsidR="00A008FE" w:rsidRDefault="00A008FE">
    <w:pPr>
      <w:pStyle w:val="Header"/>
    </w:pPr>
  </w:p>
  <w:p w:rsidR="00A008FE" w:rsidRDefault="00A008FE">
    <w:pPr>
      <w:pStyle w:val="Header"/>
    </w:pPr>
  </w:p>
  <w:p w:rsidR="00A008FE" w:rsidRDefault="00A008FE" w:rsidP="002D614A">
    <w:pPr>
      <w:pStyle w:val="Header"/>
      <w:tabs>
        <w:tab w:val="clear" w:pos="4513"/>
        <w:tab w:val="clear" w:pos="9026"/>
        <w:tab w:val="left" w:pos="239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FE" w:rsidRDefault="00A008FE" w:rsidP="0038441D">
    <w:pPr>
      <w:pStyle w:val="Header"/>
      <w:tabs>
        <w:tab w:val="clear" w:pos="4513"/>
        <w:tab w:val="clear" w:pos="9026"/>
        <w:tab w:val="left" w:pos="1477"/>
        <w:tab w:val="left" w:pos="5442"/>
      </w:tabs>
    </w:pPr>
    <w:r>
      <w:rPr>
        <w:noProof/>
        <w:lang w:eastAsia="en-GB"/>
      </w:rPr>
      <w:drawing>
        <wp:anchor distT="0" distB="0" distL="114300" distR="114300" simplePos="0" relativeHeight="251654144" behindDoc="0" locked="0" layoutInCell="1" allowOverlap="1" wp14:anchorId="45057523" wp14:editId="7D6B9CFF">
          <wp:simplePos x="0" y="0"/>
          <wp:positionH relativeFrom="column">
            <wp:posOffset>8725535</wp:posOffset>
          </wp:positionH>
          <wp:positionV relativeFrom="paragraph">
            <wp:posOffset>6985</wp:posOffset>
          </wp:positionV>
          <wp:extent cx="1009015" cy="735330"/>
          <wp:effectExtent l="0" t="0" r="635" b="762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7353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0" locked="0" layoutInCell="1" allowOverlap="1" wp14:anchorId="2472E850" wp14:editId="6746FA56">
          <wp:simplePos x="0" y="0"/>
          <wp:positionH relativeFrom="column">
            <wp:posOffset>7807960</wp:posOffset>
          </wp:positionH>
          <wp:positionV relativeFrom="paragraph">
            <wp:posOffset>5080</wp:posOffset>
          </wp:positionV>
          <wp:extent cx="748030" cy="748030"/>
          <wp:effectExtent l="0" t="0" r="0" b="0"/>
          <wp:wrapSquare wrapText="bothSides"/>
          <wp:docPr id="30" name="Picture 30" descr="X:\PPU\MedicinesInfo\RMOC\Admin\Templates\Images (put where you think is best)\rmoc-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rmoc-ico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0" locked="0" layoutInCell="1" allowOverlap="1" wp14:anchorId="28FE94B4" wp14:editId="499B809A">
          <wp:simplePos x="0" y="0"/>
          <wp:positionH relativeFrom="column">
            <wp:posOffset>-46990</wp:posOffset>
          </wp:positionH>
          <wp:positionV relativeFrom="paragraph">
            <wp:posOffset>6350</wp:posOffset>
          </wp:positionV>
          <wp:extent cx="2101850" cy="668020"/>
          <wp:effectExtent l="0" t="0" r="0" b="0"/>
          <wp:wrapSquare wrapText="bothSides"/>
          <wp:docPr id="29" name="Picture 29" descr="X:\PPU\MedicinesInfo\RMOC\Admin\Templates\Images (put where you think is best)\SPS-Logo_Large-1024x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SPS-Logo_Large-1024x327.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01850" cy="6680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A008FE" w:rsidRDefault="00A008FE" w:rsidP="0038441D">
    <w:pPr>
      <w:pStyle w:val="Header"/>
      <w:tabs>
        <w:tab w:val="clear" w:pos="4513"/>
        <w:tab w:val="clear" w:pos="9026"/>
        <w:tab w:val="left" w:pos="1477"/>
        <w:tab w:val="left" w:pos="5442"/>
      </w:tabs>
    </w:pPr>
  </w:p>
  <w:p w:rsidR="00A008FE" w:rsidRDefault="00A008FE" w:rsidP="0038441D">
    <w:pPr>
      <w:pStyle w:val="Header"/>
      <w:tabs>
        <w:tab w:val="clear" w:pos="4513"/>
        <w:tab w:val="clear" w:pos="9026"/>
        <w:tab w:val="left" w:pos="1477"/>
        <w:tab w:val="left" w:pos="5442"/>
      </w:tabs>
    </w:pPr>
    <w:r>
      <w:t xml:space="preserve">             </w:t>
    </w:r>
  </w:p>
  <w:p w:rsidR="00A008FE" w:rsidRDefault="00A008FE" w:rsidP="0038441D">
    <w:pPr>
      <w:pStyle w:val="Header"/>
      <w:tabs>
        <w:tab w:val="clear" w:pos="4513"/>
        <w:tab w:val="clear" w:pos="9026"/>
        <w:tab w:val="left" w:pos="1477"/>
        <w:tab w:val="left" w:pos="5442"/>
      </w:tabs>
    </w:pPr>
  </w:p>
  <w:p w:rsidR="00A008FE" w:rsidRDefault="00A008FE" w:rsidP="0038441D">
    <w:pPr>
      <w:pStyle w:val="Header"/>
      <w:tabs>
        <w:tab w:val="clear" w:pos="4513"/>
        <w:tab w:val="clear" w:pos="9026"/>
        <w:tab w:val="left" w:pos="1477"/>
        <w:tab w:val="left" w:pos="5442"/>
      </w:tabs>
    </w:pPr>
  </w:p>
  <w:p w:rsidR="00A008FE" w:rsidRDefault="00A008FE" w:rsidP="0038441D">
    <w:pPr>
      <w:pStyle w:val="Header"/>
      <w:tabs>
        <w:tab w:val="clear" w:pos="4513"/>
        <w:tab w:val="clear" w:pos="9026"/>
        <w:tab w:val="left" w:pos="1477"/>
        <w:tab w:val="left" w:pos="5442"/>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FE" w:rsidRDefault="00A008FE">
    <w:pPr>
      <w:pStyle w:val="Header"/>
    </w:pPr>
    <w:r>
      <w:rPr>
        <w:noProof/>
        <w:lang w:eastAsia="en-GB"/>
      </w:rPr>
      <w:drawing>
        <wp:anchor distT="0" distB="0" distL="114300" distR="114300" simplePos="0" relativeHeight="251677696" behindDoc="0" locked="0" layoutInCell="1" allowOverlap="1" wp14:anchorId="7DC3E8DB" wp14:editId="5FC921A0">
          <wp:simplePos x="0" y="0"/>
          <wp:positionH relativeFrom="column">
            <wp:posOffset>4747260</wp:posOffset>
          </wp:positionH>
          <wp:positionV relativeFrom="paragraph">
            <wp:posOffset>-118745</wp:posOffset>
          </wp:positionV>
          <wp:extent cx="748030" cy="748030"/>
          <wp:effectExtent l="0" t="0" r="0" b="0"/>
          <wp:wrapSquare wrapText="bothSides"/>
          <wp:docPr id="290" name="Picture 290" descr="X:\PPU\MedicinesInfo\RMOC\Admin\Templates\Images (put where you think is best)\rmoc-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rmoc-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720" behindDoc="0" locked="0" layoutInCell="1" allowOverlap="1" wp14:anchorId="09A27632" wp14:editId="389D188F">
          <wp:simplePos x="0" y="0"/>
          <wp:positionH relativeFrom="column">
            <wp:posOffset>5653405</wp:posOffset>
          </wp:positionH>
          <wp:positionV relativeFrom="paragraph">
            <wp:posOffset>-98425</wp:posOffset>
          </wp:positionV>
          <wp:extent cx="1009015" cy="735330"/>
          <wp:effectExtent l="0" t="0" r="635" b="7620"/>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015" cy="7353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0" locked="0" layoutInCell="1" allowOverlap="1" wp14:anchorId="23C86416" wp14:editId="59B4563D">
          <wp:simplePos x="0" y="0"/>
          <wp:positionH relativeFrom="column">
            <wp:posOffset>-41275</wp:posOffset>
          </wp:positionH>
          <wp:positionV relativeFrom="paragraph">
            <wp:posOffset>10160</wp:posOffset>
          </wp:positionV>
          <wp:extent cx="2101850" cy="668020"/>
          <wp:effectExtent l="0" t="0" r="0" b="0"/>
          <wp:wrapSquare wrapText="bothSides"/>
          <wp:docPr id="292" name="Picture 292" descr="X:\PPU\MedicinesInfo\RMOC\Admin\Templates\Images (put where you think is best)\SPS-Logo_Large-1024x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SPS-Logo_Large-1024x327.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01850"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8FE" w:rsidRDefault="00A008FE">
    <w:pPr>
      <w:pStyle w:val="Header"/>
    </w:pPr>
  </w:p>
  <w:p w:rsidR="00A008FE" w:rsidRDefault="00A008FE">
    <w:pPr>
      <w:pStyle w:val="Header"/>
    </w:pPr>
  </w:p>
  <w:p w:rsidR="00A008FE" w:rsidRDefault="00A008FE">
    <w:pPr>
      <w:pStyle w:val="Header"/>
    </w:pPr>
  </w:p>
  <w:p w:rsidR="00A008FE" w:rsidRDefault="00A008FE" w:rsidP="002D614A">
    <w:pPr>
      <w:pStyle w:val="Header"/>
      <w:tabs>
        <w:tab w:val="clear" w:pos="4513"/>
        <w:tab w:val="clear" w:pos="9026"/>
        <w:tab w:val="left" w:pos="239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FE" w:rsidRDefault="00A008FE" w:rsidP="0038441D">
    <w:pPr>
      <w:pStyle w:val="Header"/>
      <w:tabs>
        <w:tab w:val="clear" w:pos="4513"/>
        <w:tab w:val="clear" w:pos="9026"/>
        <w:tab w:val="left" w:pos="1477"/>
        <w:tab w:val="left" w:pos="5442"/>
      </w:tabs>
    </w:pPr>
    <w:r>
      <w:rPr>
        <w:noProof/>
        <w:lang w:eastAsia="en-GB"/>
      </w:rPr>
      <w:drawing>
        <wp:anchor distT="0" distB="0" distL="114300" distR="114300" simplePos="0" relativeHeight="251660288" behindDoc="0" locked="0" layoutInCell="1" allowOverlap="1" wp14:anchorId="3654621E" wp14:editId="5E44EBEB">
          <wp:simplePos x="0" y="0"/>
          <wp:positionH relativeFrom="column">
            <wp:posOffset>5619115</wp:posOffset>
          </wp:positionH>
          <wp:positionV relativeFrom="paragraph">
            <wp:posOffset>-104140</wp:posOffset>
          </wp:positionV>
          <wp:extent cx="1009015" cy="735330"/>
          <wp:effectExtent l="0" t="0" r="635"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7353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151B7A1B" wp14:editId="5A280837">
          <wp:simplePos x="0" y="0"/>
          <wp:positionH relativeFrom="column">
            <wp:posOffset>4678045</wp:posOffset>
          </wp:positionH>
          <wp:positionV relativeFrom="paragraph">
            <wp:posOffset>-74295</wp:posOffset>
          </wp:positionV>
          <wp:extent cx="748030" cy="748030"/>
          <wp:effectExtent l="0" t="0" r="0" b="0"/>
          <wp:wrapSquare wrapText="bothSides"/>
          <wp:docPr id="11" name="Picture 11" descr="X:\PPU\MedicinesInfo\RMOC\Admin\Templates\Images (put where you think is best)\rmoc-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rmoc-ico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4CD01ED7" wp14:editId="673BF76B">
          <wp:simplePos x="0" y="0"/>
          <wp:positionH relativeFrom="column">
            <wp:posOffset>-46990</wp:posOffset>
          </wp:positionH>
          <wp:positionV relativeFrom="paragraph">
            <wp:posOffset>6350</wp:posOffset>
          </wp:positionV>
          <wp:extent cx="2101850" cy="668020"/>
          <wp:effectExtent l="0" t="0" r="0" b="0"/>
          <wp:wrapSquare wrapText="bothSides"/>
          <wp:docPr id="14" name="Picture 14" descr="X:\PPU\MedicinesInfo\RMOC\Admin\Templates\Images (put where you think is best)\SPS-Logo_Large-1024x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SPS-Logo_Large-1024x327.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01850" cy="6680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A008FE" w:rsidRDefault="00A008FE" w:rsidP="0038441D">
    <w:pPr>
      <w:pStyle w:val="Header"/>
      <w:tabs>
        <w:tab w:val="clear" w:pos="4513"/>
        <w:tab w:val="clear" w:pos="9026"/>
        <w:tab w:val="left" w:pos="1477"/>
        <w:tab w:val="left" w:pos="5442"/>
      </w:tabs>
    </w:pPr>
  </w:p>
  <w:p w:rsidR="00A008FE" w:rsidRDefault="00A008FE" w:rsidP="0038441D">
    <w:pPr>
      <w:pStyle w:val="Header"/>
      <w:tabs>
        <w:tab w:val="clear" w:pos="4513"/>
        <w:tab w:val="clear" w:pos="9026"/>
        <w:tab w:val="left" w:pos="1477"/>
        <w:tab w:val="left" w:pos="5442"/>
      </w:tabs>
    </w:pPr>
    <w:r>
      <w:t xml:space="preserve">             </w:t>
    </w:r>
  </w:p>
  <w:p w:rsidR="00A008FE" w:rsidRDefault="00A008FE" w:rsidP="0038441D">
    <w:pPr>
      <w:pStyle w:val="Header"/>
      <w:tabs>
        <w:tab w:val="clear" w:pos="4513"/>
        <w:tab w:val="clear" w:pos="9026"/>
        <w:tab w:val="left" w:pos="1477"/>
        <w:tab w:val="left" w:pos="5442"/>
      </w:tabs>
    </w:pPr>
  </w:p>
  <w:p w:rsidR="00A008FE" w:rsidRDefault="00A008FE" w:rsidP="0038441D">
    <w:pPr>
      <w:pStyle w:val="Header"/>
      <w:tabs>
        <w:tab w:val="clear" w:pos="4513"/>
        <w:tab w:val="clear" w:pos="9026"/>
        <w:tab w:val="left" w:pos="1477"/>
        <w:tab w:val="left" w:pos="5442"/>
      </w:tabs>
    </w:pPr>
  </w:p>
  <w:p w:rsidR="00A008FE" w:rsidRDefault="00A008FE" w:rsidP="0038441D">
    <w:pPr>
      <w:pStyle w:val="Header"/>
      <w:tabs>
        <w:tab w:val="clear" w:pos="4513"/>
        <w:tab w:val="clear" w:pos="9026"/>
        <w:tab w:val="left" w:pos="1477"/>
        <w:tab w:val="left" w:pos="544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614"/>
    <w:multiLevelType w:val="hybridMultilevel"/>
    <w:tmpl w:val="98D6E0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6F3CF6"/>
    <w:multiLevelType w:val="hybridMultilevel"/>
    <w:tmpl w:val="E13A306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CA4682"/>
    <w:multiLevelType w:val="hybridMultilevel"/>
    <w:tmpl w:val="5E207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737476"/>
    <w:multiLevelType w:val="hybridMultilevel"/>
    <w:tmpl w:val="3CC60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C3B69A9"/>
    <w:multiLevelType w:val="hybridMultilevel"/>
    <w:tmpl w:val="6C52EF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357E46"/>
    <w:multiLevelType w:val="hybridMultilevel"/>
    <w:tmpl w:val="364A37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1A57293A"/>
    <w:multiLevelType w:val="hybridMultilevel"/>
    <w:tmpl w:val="166458CC"/>
    <w:lvl w:ilvl="0" w:tplc="A94C39A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606453"/>
    <w:multiLevelType w:val="hybridMultilevel"/>
    <w:tmpl w:val="1256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014C7F"/>
    <w:multiLevelType w:val="hybridMultilevel"/>
    <w:tmpl w:val="02D86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0562CF"/>
    <w:multiLevelType w:val="multilevel"/>
    <w:tmpl w:val="F4BE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55DF8"/>
    <w:multiLevelType w:val="hybridMultilevel"/>
    <w:tmpl w:val="9568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707058"/>
    <w:multiLevelType w:val="hybridMultilevel"/>
    <w:tmpl w:val="AF90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9D2F81"/>
    <w:multiLevelType w:val="hybridMultilevel"/>
    <w:tmpl w:val="6EDEC0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F748E8"/>
    <w:multiLevelType w:val="hybridMultilevel"/>
    <w:tmpl w:val="D14AA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8F7B9A"/>
    <w:multiLevelType w:val="hybridMultilevel"/>
    <w:tmpl w:val="06FC39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386B2C20"/>
    <w:multiLevelType w:val="hybridMultilevel"/>
    <w:tmpl w:val="12B2AD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8923CF"/>
    <w:multiLevelType w:val="hybridMultilevel"/>
    <w:tmpl w:val="0E8A29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FD4E08"/>
    <w:multiLevelType w:val="hybridMultilevel"/>
    <w:tmpl w:val="BBAE8D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601D8C"/>
    <w:multiLevelType w:val="hybridMultilevel"/>
    <w:tmpl w:val="515CC1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352A6A"/>
    <w:multiLevelType w:val="hybridMultilevel"/>
    <w:tmpl w:val="AAD8B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29764E"/>
    <w:multiLevelType w:val="hybridMultilevel"/>
    <w:tmpl w:val="FDB4A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441E59"/>
    <w:multiLevelType w:val="hybridMultilevel"/>
    <w:tmpl w:val="7D860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3F6F7D"/>
    <w:multiLevelType w:val="hybridMultilevel"/>
    <w:tmpl w:val="B9CA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7B33C6"/>
    <w:multiLevelType w:val="hybridMultilevel"/>
    <w:tmpl w:val="F35840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8345C0"/>
    <w:multiLevelType w:val="hybridMultilevel"/>
    <w:tmpl w:val="46E41268"/>
    <w:lvl w:ilvl="0" w:tplc="A94C39A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EB3415"/>
    <w:multiLevelType w:val="hybridMultilevel"/>
    <w:tmpl w:val="68C24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77A6FC5"/>
    <w:multiLevelType w:val="hybridMultilevel"/>
    <w:tmpl w:val="4D3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351805"/>
    <w:multiLevelType w:val="hybridMultilevel"/>
    <w:tmpl w:val="5BC61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B4F602F"/>
    <w:multiLevelType w:val="hybridMultilevel"/>
    <w:tmpl w:val="23805A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CD7B6B"/>
    <w:multiLevelType w:val="hybridMultilevel"/>
    <w:tmpl w:val="155A6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7"/>
  </w:num>
  <w:num w:numId="3">
    <w:abstractNumId w:val="29"/>
  </w:num>
  <w:num w:numId="4">
    <w:abstractNumId w:val="22"/>
  </w:num>
  <w:num w:numId="5">
    <w:abstractNumId w:val="26"/>
  </w:num>
  <w:num w:numId="6">
    <w:abstractNumId w:val="21"/>
  </w:num>
  <w:num w:numId="7">
    <w:abstractNumId w:val="1"/>
  </w:num>
  <w:num w:numId="8">
    <w:abstractNumId w:val="4"/>
  </w:num>
  <w:num w:numId="9">
    <w:abstractNumId w:val="23"/>
  </w:num>
  <w:num w:numId="10">
    <w:abstractNumId w:val="18"/>
  </w:num>
  <w:num w:numId="11">
    <w:abstractNumId w:val="16"/>
  </w:num>
  <w:num w:numId="12">
    <w:abstractNumId w:val="13"/>
  </w:num>
  <w:num w:numId="13">
    <w:abstractNumId w:val="14"/>
  </w:num>
  <w:num w:numId="14">
    <w:abstractNumId w:val="5"/>
  </w:num>
  <w:num w:numId="15">
    <w:abstractNumId w:val="9"/>
  </w:num>
  <w:num w:numId="16">
    <w:abstractNumId w:val="11"/>
  </w:num>
  <w:num w:numId="17">
    <w:abstractNumId w:val="8"/>
  </w:num>
  <w:num w:numId="18">
    <w:abstractNumId w:val="20"/>
  </w:num>
  <w:num w:numId="19">
    <w:abstractNumId w:val="19"/>
  </w:num>
  <w:num w:numId="20">
    <w:abstractNumId w:val="12"/>
  </w:num>
  <w:num w:numId="21">
    <w:abstractNumId w:val="28"/>
  </w:num>
  <w:num w:numId="22">
    <w:abstractNumId w:val="7"/>
  </w:num>
  <w:num w:numId="23">
    <w:abstractNumId w:val="3"/>
  </w:num>
  <w:num w:numId="24">
    <w:abstractNumId w:val="25"/>
  </w:num>
  <w:num w:numId="25">
    <w:abstractNumId w:val="2"/>
  </w:num>
  <w:num w:numId="26">
    <w:abstractNumId w:val="10"/>
  </w:num>
  <w:num w:numId="27">
    <w:abstractNumId w:val="6"/>
  </w:num>
  <w:num w:numId="28">
    <w:abstractNumId w:val="24"/>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05"/>
    <w:rsid w:val="00003C37"/>
    <w:rsid w:val="000052B7"/>
    <w:rsid w:val="00031275"/>
    <w:rsid w:val="000316A3"/>
    <w:rsid w:val="00032752"/>
    <w:rsid w:val="00037EB2"/>
    <w:rsid w:val="00040E9A"/>
    <w:rsid w:val="00041E1D"/>
    <w:rsid w:val="000544C5"/>
    <w:rsid w:val="00056D47"/>
    <w:rsid w:val="00073F64"/>
    <w:rsid w:val="00077299"/>
    <w:rsid w:val="0009285E"/>
    <w:rsid w:val="0009535F"/>
    <w:rsid w:val="00130717"/>
    <w:rsid w:val="00133707"/>
    <w:rsid w:val="001471FC"/>
    <w:rsid w:val="00150B9A"/>
    <w:rsid w:val="00150D84"/>
    <w:rsid w:val="00156C63"/>
    <w:rsid w:val="0018773D"/>
    <w:rsid w:val="001A3847"/>
    <w:rsid w:val="001D64A1"/>
    <w:rsid w:val="001D6A00"/>
    <w:rsid w:val="002039C4"/>
    <w:rsid w:val="002133EF"/>
    <w:rsid w:val="00213AAD"/>
    <w:rsid w:val="0023172D"/>
    <w:rsid w:val="00232335"/>
    <w:rsid w:val="00266A08"/>
    <w:rsid w:val="00275D9C"/>
    <w:rsid w:val="00281055"/>
    <w:rsid w:val="0028225A"/>
    <w:rsid w:val="002B3386"/>
    <w:rsid w:val="002B3DC0"/>
    <w:rsid w:val="002C0779"/>
    <w:rsid w:val="002C707D"/>
    <w:rsid w:val="002D614A"/>
    <w:rsid w:val="00301B15"/>
    <w:rsid w:val="00304019"/>
    <w:rsid w:val="0032036C"/>
    <w:rsid w:val="003321CD"/>
    <w:rsid w:val="00334902"/>
    <w:rsid w:val="00335F7B"/>
    <w:rsid w:val="00341B4D"/>
    <w:rsid w:val="00341CCB"/>
    <w:rsid w:val="0038441D"/>
    <w:rsid w:val="00390A68"/>
    <w:rsid w:val="00391E39"/>
    <w:rsid w:val="003967A0"/>
    <w:rsid w:val="003D7A89"/>
    <w:rsid w:val="00404798"/>
    <w:rsid w:val="00405E71"/>
    <w:rsid w:val="00415A56"/>
    <w:rsid w:val="00421CFE"/>
    <w:rsid w:val="00425932"/>
    <w:rsid w:val="004528DC"/>
    <w:rsid w:val="004606B0"/>
    <w:rsid w:val="00470C33"/>
    <w:rsid w:val="00493201"/>
    <w:rsid w:val="004A5E6D"/>
    <w:rsid w:val="004B69C9"/>
    <w:rsid w:val="004D7BB0"/>
    <w:rsid w:val="004D7BEC"/>
    <w:rsid w:val="004E1ED6"/>
    <w:rsid w:val="004E2BEB"/>
    <w:rsid w:val="004E3D79"/>
    <w:rsid w:val="004E7AEC"/>
    <w:rsid w:val="004F3F69"/>
    <w:rsid w:val="00500198"/>
    <w:rsid w:val="00500CD1"/>
    <w:rsid w:val="005308A3"/>
    <w:rsid w:val="0054590E"/>
    <w:rsid w:val="00547F63"/>
    <w:rsid w:val="00551058"/>
    <w:rsid w:val="00551E52"/>
    <w:rsid w:val="00562D5A"/>
    <w:rsid w:val="00583A88"/>
    <w:rsid w:val="00597B9C"/>
    <w:rsid w:val="005A06F2"/>
    <w:rsid w:val="005A78DD"/>
    <w:rsid w:val="005D5938"/>
    <w:rsid w:val="005E187B"/>
    <w:rsid w:val="0060193B"/>
    <w:rsid w:val="00602029"/>
    <w:rsid w:val="00617FD6"/>
    <w:rsid w:val="00621EA8"/>
    <w:rsid w:val="00635804"/>
    <w:rsid w:val="006567F6"/>
    <w:rsid w:val="00663729"/>
    <w:rsid w:val="0066614C"/>
    <w:rsid w:val="0066722A"/>
    <w:rsid w:val="006A530D"/>
    <w:rsid w:val="006A6CC0"/>
    <w:rsid w:val="006A6EFD"/>
    <w:rsid w:val="006C2FCF"/>
    <w:rsid w:val="006D79CA"/>
    <w:rsid w:val="006E6A1F"/>
    <w:rsid w:val="006F79BC"/>
    <w:rsid w:val="007109F8"/>
    <w:rsid w:val="00713696"/>
    <w:rsid w:val="007316F1"/>
    <w:rsid w:val="007331B3"/>
    <w:rsid w:val="00744438"/>
    <w:rsid w:val="0076089E"/>
    <w:rsid w:val="0076298A"/>
    <w:rsid w:val="00796F00"/>
    <w:rsid w:val="007A2A72"/>
    <w:rsid w:val="007C043F"/>
    <w:rsid w:val="007D2268"/>
    <w:rsid w:val="007E7DBB"/>
    <w:rsid w:val="00802864"/>
    <w:rsid w:val="00817C9F"/>
    <w:rsid w:val="00817FE1"/>
    <w:rsid w:val="00841B4E"/>
    <w:rsid w:val="00862A09"/>
    <w:rsid w:val="00864559"/>
    <w:rsid w:val="00866F71"/>
    <w:rsid w:val="00890670"/>
    <w:rsid w:val="00891246"/>
    <w:rsid w:val="008A3CB2"/>
    <w:rsid w:val="008D04BD"/>
    <w:rsid w:val="008D20B4"/>
    <w:rsid w:val="008F2F4A"/>
    <w:rsid w:val="00900C4F"/>
    <w:rsid w:val="00911587"/>
    <w:rsid w:val="00912F3B"/>
    <w:rsid w:val="009132B5"/>
    <w:rsid w:val="00926D24"/>
    <w:rsid w:val="00962CC9"/>
    <w:rsid w:val="00973252"/>
    <w:rsid w:val="009C453F"/>
    <w:rsid w:val="009E028C"/>
    <w:rsid w:val="009E6A97"/>
    <w:rsid w:val="009E7C53"/>
    <w:rsid w:val="009F36EA"/>
    <w:rsid w:val="00A008FE"/>
    <w:rsid w:val="00A04CC3"/>
    <w:rsid w:val="00A12A99"/>
    <w:rsid w:val="00A2238D"/>
    <w:rsid w:val="00A343C9"/>
    <w:rsid w:val="00A45DF1"/>
    <w:rsid w:val="00A55850"/>
    <w:rsid w:val="00A65831"/>
    <w:rsid w:val="00A65FB8"/>
    <w:rsid w:val="00A72723"/>
    <w:rsid w:val="00A814E4"/>
    <w:rsid w:val="00AA61CD"/>
    <w:rsid w:val="00AC4C85"/>
    <w:rsid w:val="00AD1B6C"/>
    <w:rsid w:val="00AF0D4B"/>
    <w:rsid w:val="00B025B9"/>
    <w:rsid w:val="00B20021"/>
    <w:rsid w:val="00B20500"/>
    <w:rsid w:val="00B42155"/>
    <w:rsid w:val="00B454F8"/>
    <w:rsid w:val="00B461EC"/>
    <w:rsid w:val="00B720FA"/>
    <w:rsid w:val="00B82EF5"/>
    <w:rsid w:val="00B92A94"/>
    <w:rsid w:val="00B93430"/>
    <w:rsid w:val="00B94902"/>
    <w:rsid w:val="00BA43D7"/>
    <w:rsid w:val="00BB48F1"/>
    <w:rsid w:val="00BD2F3B"/>
    <w:rsid w:val="00BE1BC6"/>
    <w:rsid w:val="00BE5B6A"/>
    <w:rsid w:val="00C445E9"/>
    <w:rsid w:val="00C56FE9"/>
    <w:rsid w:val="00C65081"/>
    <w:rsid w:val="00C67A60"/>
    <w:rsid w:val="00C7284B"/>
    <w:rsid w:val="00C815D2"/>
    <w:rsid w:val="00C81BE8"/>
    <w:rsid w:val="00C9384D"/>
    <w:rsid w:val="00C95240"/>
    <w:rsid w:val="00C9640D"/>
    <w:rsid w:val="00CA1A05"/>
    <w:rsid w:val="00CA383E"/>
    <w:rsid w:val="00CA7ACC"/>
    <w:rsid w:val="00CB645F"/>
    <w:rsid w:val="00CC0A0B"/>
    <w:rsid w:val="00CE1815"/>
    <w:rsid w:val="00D11768"/>
    <w:rsid w:val="00D56518"/>
    <w:rsid w:val="00D57A48"/>
    <w:rsid w:val="00D57E93"/>
    <w:rsid w:val="00D64C49"/>
    <w:rsid w:val="00D7165F"/>
    <w:rsid w:val="00D77209"/>
    <w:rsid w:val="00D955F2"/>
    <w:rsid w:val="00DA64C4"/>
    <w:rsid w:val="00DB4824"/>
    <w:rsid w:val="00DB6D72"/>
    <w:rsid w:val="00DD7072"/>
    <w:rsid w:val="00DE6897"/>
    <w:rsid w:val="00DF15B6"/>
    <w:rsid w:val="00DF6C39"/>
    <w:rsid w:val="00E002EB"/>
    <w:rsid w:val="00E1182A"/>
    <w:rsid w:val="00E352AF"/>
    <w:rsid w:val="00E72E3F"/>
    <w:rsid w:val="00E76C14"/>
    <w:rsid w:val="00E85934"/>
    <w:rsid w:val="00EB0305"/>
    <w:rsid w:val="00EB1579"/>
    <w:rsid w:val="00EB2C13"/>
    <w:rsid w:val="00EB2F33"/>
    <w:rsid w:val="00EB464A"/>
    <w:rsid w:val="00EC659D"/>
    <w:rsid w:val="00EF2B24"/>
    <w:rsid w:val="00F037E9"/>
    <w:rsid w:val="00F254C8"/>
    <w:rsid w:val="00F53402"/>
    <w:rsid w:val="00F96F0A"/>
    <w:rsid w:val="00FA44FC"/>
    <w:rsid w:val="00FB6550"/>
    <w:rsid w:val="00FC1B01"/>
    <w:rsid w:val="00FC1F44"/>
    <w:rsid w:val="00FC4B76"/>
    <w:rsid w:val="00FC6A40"/>
    <w:rsid w:val="00FE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SPS"/>
    <w:qFormat/>
    <w:rsid w:val="006A6EFD"/>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41D"/>
    <w:pPr>
      <w:tabs>
        <w:tab w:val="center" w:pos="4513"/>
        <w:tab w:val="right" w:pos="9026"/>
      </w:tabs>
    </w:pPr>
  </w:style>
  <w:style w:type="character" w:customStyle="1" w:styleId="HeaderChar">
    <w:name w:val="Header Char"/>
    <w:basedOn w:val="DefaultParagraphFont"/>
    <w:link w:val="Header"/>
    <w:uiPriority w:val="99"/>
    <w:rsid w:val="0038441D"/>
  </w:style>
  <w:style w:type="paragraph" w:styleId="Footer">
    <w:name w:val="footer"/>
    <w:basedOn w:val="Normal"/>
    <w:link w:val="FooterChar"/>
    <w:uiPriority w:val="99"/>
    <w:unhideWhenUsed/>
    <w:rsid w:val="0038441D"/>
    <w:pPr>
      <w:tabs>
        <w:tab w:val="center" w:pos="4513"/>
        <w:tab w:val="right" w:pos="9026"/>
      </w:tabs>
    </w:pPr>
  </w:style>
  <w:style w:type="character" w:customStyle="1" w:styleId="FooterChar">
    <w:name w:val="Footer Char"/>
    <w:basedOn w:val="DefaultParagraphFont"/>
    <w:link w:val="Footer"/>
    <w:uiPriority w:val="99"/>
    <w:rsid w:val="0038441D"/>
  </w:style>
  <w:style w:type="paragraph" w:styleId="BalloonText">
    <w:name w:val="Balloon Text"/>
    <w:basedOn w:val="Normal"/>
    <w:link w:val="BalloonTextChar"/>
    <w:uiPriority w:val="99"/>
    <w:semiHidden/>
    <w:unhideWhenUsed/>
    <w:rsid w:val="0038441D"/>
    <w:rPr>
      <w:rFonts w:ascii="Tahoma" w:hAnsi="Tahoma" w:cs="Tahoma"/>
      <w:sz w:val="16"/>
      <w:szCs w:val="16"/>
    </w:rPr>
  </w:style>
  <w:style w:type="character" w:customStyle="1" w:styleId="BalloonTextChar">
    <w:name w:val="Balloon Text Char"/>
    <w:basedOn w:val="DefaultParagraphFont"/>
    <w:link w:val="BalloonText"/>
    <w:uiPriority w:val="99"/>
    <w:semiHidden/>
    <w:rsid w:val="0038441D"/>
    <w:rPr>
      <w:rFonts w:ascii="Tahoma" w:hAnsi="Tahoma" w:cs="Tahoma"/>
      <w:sz w:val="16"/>
      <w:szCs w:val="16"/>
    </w:rPr>
  </w:style>
  <w:style w:type="table" w:styleId="TableGrid">
    <w:name w:val="Table Grid"/>
    <w:basedOn w:val="TableNormal"/>
    <w:uiPriority w:val="39"/>
    <w:rsid w:val="00A2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98A"/>
    <w:rPr>
      <w:rFonts w:ascii="Arial" w:hAnsi="Arial"/>
      <w:b w:val="0"/>
      <w:i w:val="0"/>
      <w:color w:val="009D00"/>
      <w:sz w:val="24"/>
      <w:u w:val="single"/>
    </w:rPr>
  </w:style>
  <w:style w:type="paragraph" w:customStyle="1" w:styleId="SPSTitle">
    <w:name w:val="SPS Title"/>
    <w:basedOn w:val="Normal"/>
    <w:qFormat/>
    <w:rsid w:val="006A6EFD"/>
    <w:rPr>
      <w:rFonts w:cs="Arial"/>
      <w:b/>
      <w:color w:val="009D00"/>
      <w:sz w:val="48"/>
      <w:szCs w:val="48"/>
    </w:rPr>
  </w:style>
  <w:style w:type="character" w:styleId="Emphasis">
    <w:name w:val="Emphasis"/>
    <w:aliases w:val="Bullet point list"/>
    <w:uiPriority w:val="20"/>
    <w:qFormat/>
    <w:rsid w:val="00EB1579"/>
    <w:rPr>
      <w:rFonts w:ascii="Arial" w:hAnsi="Arial"/>
      <w:color w:val="auto"/>
      <w:sz w:val="20"/>
      <w:szCs w:val="20"/>
    </w:rPr>
  </w:style>
  <w:style w:type="paragraph" w:styleId="ListParagraph">
    <w:name w:val="List Paragraph"/>
    <w:basedOn w:val="Normal"/>
    <w:uiPriority w:val="34"/>
    <w:qFormat/>
    <w:rsid w:val="00EB1579"/>
    <w:pPr>
      <w:ind w:left="720"/>
      <w:contextualSpacing/>
    </w:pPr>
  </w:style>
  <w:style w:type="paragraph" w:styleId="Title">
    <w:name w:val="Title"/>
    <w:basedOn w:val="Normal"/>
    <w:next w:val="Normal"/>
    <w:link w:val="TitleChar"/>
    <w:uiPriority w:val="10"/>
    <w:qFormat/>
    <w:rsid w:val="008D04BD"/>
    <w:pPr>
      <w:pBdr>
        <w:bottom w:val="single" w:sz="8" w:space="4" w:color="4F81BD" w:themeColor="accent1"/>
      </w:pBdr>
      <w:spacing w:after="300"/>
      <w:contextualSpacing/>
    </w:pPr>
    <w:rPr>
      <w:rFonts w:eastAsiaTheme="majorEastAsia"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8D04BD"/>
    <w:rPr>
      <w:rFonts w:ascii="Arial" w:eastAsiaTheme="majorEastAsia" w:hAnsi="Arial" w:cstheme="majorBidi"/>
      <w:b/>
      <w:color w:val="FFFFFF" w:themeColor="background1"/>
      <w:spacing w:val="5"/>
      <w:kern w:val="28"/>
      <w:sz w:val="48"/>
      <w:szCs w:val="52"/>
    </w:rPr>
  </w:style>
  <w:style w:type="paragraph" w:styleId="Subtitle">
    <w:name w:val="Subtitle"/>
    <w:basedOn w:val="Normal"/>
    <w:next w:val="Normal"/>
    <w:link w:val="SubtitleChar"/>
    <w:uiPriority w:val="11"/>
    <w:qFormat/>
    <w:rsid w:val="008D04BD"/>
    <w:pPr>
      <w:numPr>
        <w:ilvl w:val="1"/>
      </w:numPr>
    </w:pPr>
    <w:rPr>
      <w:rFonts w:eastAsiaTheme="majorEastAsia" w:cstheme="majorBidi"/>
      <w:iCs/>
      <w:color w:val="FFFFFF" w:themeColor="background1"/>
      <w:spacing w:val="15"/>
      <w:sz w:val="44"/>
    </w:rPr>
  </w:style>
  <w:style w:type="character" w:customStyle="1" w:styleId="SubtitleChar">
    <w:name w:val="Subtitle Char"/>
    <w:basedOn w:val="DefaultParagraphFont"/>
    <w:link w:val="Subtitle"/>
    <w:uiPriority w:val="11"/>
    <w:rsid w:val="008D04BD"/>
    <w:rPr>
      <w:rFonts w:ascii="Arial" w:eastAsiaTheme="majorEastAsia" w:hAnsi="Arial" w:cstheme="majorBidi"/>
      <w:iCs/>
      <w:color w:val="FFFFFF" w:themeColor="background1"/>
      <w:spacing w:val="15"/>
      <w:sz w:val="44"/>
      <w:szCs w:val="24"/>
    </w:rPr>
  </w:style>
  <w:style w:type="character" w:styleId="FollowedHyperlink">
    <w:name w:val="FollowedHyperlink"/>
    <w:basedOn w:val="DefaultParagraphFont"/>
    <w:uiPriority w:val="99"/>
    <w:semiHidden/>
    <w:unhideWhenUsed/>
    <w:rsid w:val="008A3C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SPS"/>
    <w:qFormat/>
    <w:rsid w:val="006A6EFD"/>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41D"/>
    <w:pPr>
      <w:tabs>
        <w:tab w:val="center" w:pos="4513"/>
        <w:tab w:val="right" w:pos="9026"/>
      </w:tabs>
    </w:pPr>
  </w:style>
  <w:style w:type="character" w:customStyle="1" w:styleId="HeaderChar">
    <w:name w:val="Header Char"/>
    <w:basedOn w:val="DefaultParagraphFont"/>
    <w:link w:val="Header"/>
    <w:uiPriority w:val="99"/>
    <w:rsid w:val="0038441D"/>
  </w:style>
  <w:style w:type="paragraph" w:styleId="Footer">
    <w:name w:val="footer"/>
    <w:basedOn w:val="Normal"/>
    <w:link w:val="FooterChar"/>
    <w:uiPriority w:val="99"/>
    <w:unhideWhenUsed/>
    <w:rsid w:val="0038441D"/>
    <w:pPr>
      <w:tabs>
        <w:tab w:val="center" w:pos="4513"/>
        <w:tab w:val="right" w:pos="9026"/>
      </w:tabs>
    </w:pPr>
  </w:style>
  <w:style w:type="character" w:customStyle="1" w:styleId="FooterChar">
    <w:name w:val="Footer Char"/>
    <w:basedOn w:val="DefaultParagraphFont"/>
    <w:link w:val="Footer"/>
    <w:uiPriority w:val="99"/>
    <w:rsid w:val="0038441D"/>
  </w:style>
  <w:style w:type="paragraph" w:styleId="BalloonText">
    <w:name w:val="Balloon Text"/>
    <w:basedOn w:val="Normal"/>
    <w:link w:val="BalloonTextChar"/>
    <w:uiPriority w:val="99"/>
    <w:semiHidden/>
    <w:unhideWhenUsed/>
    <w:rsid w:val="0038441D"/>
    <w:rPr>
      <w:rFonts w:ascii="Tahoma" w:hAnsi="Tahoma" w:cs="Tahoma"/>
      <w:sz w:val="16"/>
      <w:szCs w:val="16"/>
    </w:rPr>
  </w:style>
  <w:style w:type="character" w:customStyle="1" w:styleId="BalloonTextChar">
    <w:name w:val="Balloon Text Char"/>
    <w:basedOn w:val="DefaultParagraphFont"/>
    <w:link w:val="BalloonText"/>
    <w:uiPriority w:val="99"/>
    <w:semiHidden/>
    <w:rsid w:val="0038441D"/>
    <w:rPr>
      <w:rFonts w:ascii="Tahoma" w:hAnsi="Tahoma" w:cs="Tahoma"/>
      <w:sz w:val="16"/>
      <w:szCs w:val="16"/>
    </w:rPr>
  </w:style>
  <w:style w:type="table" w:styleId="TableGrid">
    <w:name w:val="Table Grid"/>
    <w:basedOn w:val="TableNormal"/>
    <w:uiPriority w:val="39"/>
    <w:rsid w:val="00A2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98A"/>
    <w:rPr>
      <w:rFonts w:ascii="Arial" w:hAnsi="Arial"/>
      <w:b w:val="0"/>
      <w:i w:val="0"/>
      <w:color w:val="009D00"/>
      <w:sz w:val="24"/>
      <w:u w:val="single"/>
    </w:rPr>
  </w:style>
  <w:style w:type="paragraph" w:customStyle="1" w:styleId="SPSTitle">
    <w:name w:val="SPS Title"/>
    <w:basedOn w:val="Normal"/>
    <w:qFormat/>
    <w:rsid w:val="006A6EFD"/>
    <w:rPr>
      <w:rFonts w:cs="Arial"/>
      <w:b/>
      <w:color w:val="009D00"/>
      <w:sz w:val="48"/>
      <w:szCs w:val="48"/>
    </w:rPr>
  </w:style>
  <w:style w:type="character" w:styleId="Emphasis">
    <w:name w:val="Emphasis"/>
    <w:aliases w:val="Bullet point list"/>
    <w:uiPriority w:val="20"/>
    <w:qFormat/>
    <w:rsid w:val="00EB1579"/>
    <w:rPr>
      <w:rFonts w:ascii="Arial" w:hAnsi="Arial"/>
      <w:color w:val="auto"/>
      <w:sz w:val="20"/>
      <w:szCs w:val="20"/>
    </w:rPr>
  </w:style>
  <w:style w:type="paragraph" w:styleId="ListParagraph">
    <w:name w:val="List Paragraph"/>
    <w:basedOn w:val="Normal"/>
    <w:uiPriority w:val="34"/>
    <w:qFormat/>
    <w:rsid w:val="00EB1579"/>
    <w:pPr>
      <w:ind w:left="720"/>
      <w:contextualSpacing/>
    </w:pPr>
  </w:style>
  <w:style w:type="paragraph" w:styleId="Title">
    <w:name w:val="Title"/>
    <w:basedOn w:val="Normal"/>
    <w:next w:val="Normal"/>
    <w:link w:val="TitleChar"/>
    <w:uiPriority w:val="10"/>
    <w:qFormat/>
    <w:rsid w:val="008D04BD"/>
    <w:pPr>
      <w:pBdr>
        <w:bottom w:val="single" w:sz="8" w:space="4" w:color="4F81BD" w:themeColor="accent1"/>
      </w:pBdr>
      <w:spacing w:after="300"/>
      <w:contextualSpacing/>
    </w:pPr>
    <w:rPr>
      <w:rFonts w:eastAsiaTheme="majorEastAsia"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8D04BD"/>
    <w:rPr>
      <w:rFonts w:ascii="Arial" w:eastAsiaTheme="majorEastAsia" w:hAnsi="Arial" w:cstheme="majorBidi"/>
      <w:b/>
      <w:color w:val="FFFFFF" w:themeColor="background1"/>
      <w:spacing w:val="5"/>
      <w:kern w:val="28"/>
      <w:sz w:val="48"/>
      <w:szCs w:val="52"/>
    </w:rPr>
  </w:style>
  <w:style w:type="paragraph" w:styleId="Subtitle">
    <w:name w:val="Subtitle"/>
    <w:basedOn w:val="Normal"/>
    <w:next w:val="Normal"/>
    <w:link w:val="SubtitleChar"/>
    <w:uiPriority w:val="11"/>
    <w:qFormat/>
    <w:rsid w:val="008D04BD"/>
    <w:pPr>
      <w:numPr>
        <w:ilvl w:val="1"/>
      </w:numPr>
    </w:pPr>
    <w:rPr>
      <w:rFonts w:eastAsiaTheme="majorEastAsia" w:cstheme="majorBidi"/>
      <w:iCs/>
      <w:color w:val="FFFFFF" w:themeColor="background1"/>
      <w:spacing w:val="15"/>
      <w:sz w:val="44"/>
    </w:rPr>
  </w:style>
  <w:style w:type="character" w:customStyle="1" w:styleId="SubtitleChar">
    <w:name w:val="Subtitle Char"/>
    <w:basedOn w:val="DefaultParagraphFont"/>
    <w:link w:val="Subtitle"/>
    <w:uiPriority w:val="11"/>
    <w:rsid w:val="008D04BD"/>
    <w:rPr>
      <w:rFonts w:ascii="Arial" w:eastAsiaTheme="majorEastAsia" w:hAnsi="Arial" w:cstheme="majorBidi"/>
      <w:iCs/>
      <w:color w:val="FFFFFF" w:themeColor="background1"/>
      <w:spacing w:val="15"/>
      <w:sz w:val="44"/>
      <w:szCs w:val="24"/>
    </w:rPr>
  </w:style>
  <w:style w:type="character" w:styleId="FollowedHyperlink">
    <w:name w:val="FollowedHyperlink"/>
    <w:basedOn w:val="DefaultParagraphFont"/>
    <w:uiPriority w:val="99"/>
    <w:semiHidden/>
    <w:unhideWhenUsed/>
    <w:rsid w:val="008A3C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0065">
      <w:bodyDiv w:val="1"/>
      <w:marLeft w:val="0"/>
      <w:marRight w:val="0"/>
      <w:marTop w:val="0"/>
      <w:marBottom w:val="0"/>
      <w:divBdr>
        <w:top w:val="none" w:sz="0" w:space="0" w:color="auto"/>
        <w:left w:val="none" w:sz="0" w:space="0" w:color="auto"/>
        <w:bottom w:val="none" w:sz="0" w:space="0" w:color="auto"/>
        <w:right w:val="none" w:sz="0" w:space="0" w:color="auto"/>
      </w:divBdr>
    </w:div>
    <w:div w:id="1564876710">
      <w:bodyDiv w:val="1"/>
      <w:marLeft w:val="0"/>
      <w:marRight w:val="0"/>
      <w:marTop w:val="0"/>
      <w:marBottom w:val="0"/>
      <w:divBdr>
        <w:top w:val="none" w:sz="0" w:space="0" w:color="auto"/>
        <w:left w:val="none" w:sz="0" w:space="0" w:color="auto"/>
        <w:bottom w:val="none" w:sz="0" w:space="0" w:color="auto"/>
        <w:right w:val="none" w:sz="0" w:space="0" w:color="auto"/>
      </w:divBdr>
    </w:div>
    <w:div w:id="1966354305">
      <w:bodyDiv w:val="1"/>
      <w:marLeft w:val="0"/>
      <w:marRight w:val="0"/>
      <w:marTop w:val="0"/>
      <w:marBottom w:val="0"/>
      <w:divBdr>
        <w:top w:val="none" w:sz="0" w:space="0" w:color="auto"/>
        <w:left w:val="none" w:sz="0" w:space="0" w:color="auto"/>
        <w:bottom w:val="none" w:sz="0" w:space="0" w:color="auto"/>
        <w:right w:val="none" w:sz="0" w:space="0" w:color="auto"/>
      </w:divBdr>
    </w:div>
    <w:div w:id="19938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provement.nhs.uk/documents/3509/Addendum_to_transactions_guidance_FINAL_CORRECTED.pdf" TargetMode="External"/><Relationship Id="rId18" Type="http://schemas.openxmlformats.org/officeDocument/2006/relationships/hyperlink" Target="https://www.sps.nhs.uk/articles/nhmc-homecare-regional-contacts/" TargetMode="External"/><Relationship Id="rId26" Type="http://schemas.openxmlformats.org/officeDocument/2006/relationships/hyperlink" Target="mailto:damian.child@sth.nhs.uk" TargetMode="External"/><Relationship Id="rId39" Type="http://schemas.openxmlformats.org/officeDocument/2006/relationships/hyperlink" Target="mailto:Rmoc.coordinatinghub@nhs.net" TargetMode="External"/><Relationship Id="rId3" Type="http://schemas.openxmlformats.org/officeDocument/2006/relationships/styles" Target="styles.xml"/><Relationship Id="rId21" Type="http://schemas.openxmlformats.org/officeDocument/2006/relationships/hyperlink" Target="mailto:Jacqueline.eastwood@lpp.nhs.uk" TargetMode="External"/><Relationship Id="rId34" Type="http://schemas.openxmlformats.org/officeDocument/2006/relationships/footer" Target="footer4.xml"/><Relationship Id="rId42"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s://engage.improvement.nhs.uk/subsidiary-companies-review/extension-to-review-of-subsidiary-companies/results/consultationresponse-subsidiarycompanies.pdf" TargetMode="External"/><Relationship Id="rId17" Type="http://schemas.openxmlformats.org/officeDocument/2006/relationships/footer" Target="footer2.xml"/><Relationship Id="rId25" Type="http://schemas.openxmlformats.org/officeDocument/2006/relationships/chart" Target="charts/chart3.xml"/><Relationship Id="rId33" Type="http://schemas.openxmlformats.org/officeDocument/2006/relationships/header" Target="header4.xml"/><Relationship Id="rId38" Type="http://schemas.openxmlformats.org/officeDocument/2006/relationships/hyperlink" Target="mailto:Rmoc.south@nhs.net"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lpp.nhs.uk/categories/medicines-optimisation-pharmacy-procurement/secondary-care/outpatient-pharmacy-dispensing-services-framework-agreement/" TargetMode="External"/><Relationship Id="rId29" Type="http://schemas.openxmlformats.org/officeDocument/2006/relationships/hyperlink" Target="mailto:Natasha.scarry@christie.nhs.uk"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government/uploads/system/uploads/attachment_data/file/725446/DHSC_Accounting_Officer_System_Statement_July_2018.pdf" TargetMode="External"/><Relationship Id="rId24" Type="http://schemas.openxmlformats.org/officeDocument/2006/relationships/chart" Target="charts/chart2.xml"/><Relationship Id="rId32" Type="http://schemas.openxmlformats.org/officeDocument/2006/relationships/footer" Target="footer3.xml"/><Relationship Id="rId37" Type="http://schemas.openxmlformats.org/officeDocument/2006/relationships/hyperlink" Target="https://www.sps.nhs.uk/" TargetMode="Externa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1.xml"/><Relationship Id="rId28" Type="http://schemas.openxmlformats.org/officeDocument/2006/relationships/hyperlink" Target="mailto:Robert.duncombe@christie.nhs.uk" TargetMode="External"/><Relationship Id="rId36" Type="http://schemas.openxmlformats.org/officeDocument/2006/relationships/image" Target="media/image5.png"/><Relationship Id="rId10" Type="http://schemas.openxmlformats.org/officeDocument/2006/relationships/hyperlink" Target="mailto:susan.gibert@berkshire.nhs.uk" TargetMode="External"/><Relationship Id="rId19" Type="http://schemas.openxmlformats.org/officeDocument/2006/relationships/hyperlink" Target="mailto:Jacqueline.eastwood@lpp.nhs.uk" TargetMode="External"/><Relationship Id="rId31" Type="http://schemas.openxmlformats.org/officeDocument/2006/relationships/header" Target="header3.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v.uk/government/publications/productivity-in-nhs-hospitals" TargetMode="External"/><Relationship Id="rId14" Type="http://schemas.openxmlformats.org/officeDocument/2006/relationships/header" Target="header1.xml"/><Relationship Id="rId22" Type="http://schemas.openxmlformats.org/officeDocument/2006/relationships/hyperlink" Target="mailto:Jatinder.Harchowal@rmh.nhs.uk" TargetMode="External"/><Relationship Id="rId27" Type="http://schemas.openxmlformats.org/officeDocument/2006/relationships/hyperlink" Target="mailto:susan.gibert@berkshire.nhs.uk" TargetMode="External"/><Relationship Id="rId30" Type="http://schemas.openxmlformats.org/officeDocument/2006/relationships/hyperlink" Target="https://www.rpharms.com/Portals/0/RPS%20document%20library/Open%20access/Policy%20statements/Access%20to%20medicines%20-%20position%20statement.pdf" TargetMode="External"/><Relationship Id="rId35" Type="http://schemas.openxmlformats.org/officeDocument/2006/relationships/image" Target="media/image4.png"/><Relationship Id="rId43"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outh%20RMOC\Templates\RMOC%20position%20statement%202.6.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a:ea typeface="Arial"/>
                <a:cs typeface="Arial"/>
              </a:defRPr>
            </a:pPr>
            <a:r>
              <a:rPr lang="en-GB"/>
              <a:t>Mean OPD prescription turnaround (mins)
</a:t>
            </a:r>
          </a:p>
        </c:rich>
      </c:tx>
      <c:layout/>
      <c:overlay val="0"/>
      <c:spPr>
        <a:noFill/>
        <a:ln w="25400">
          <a:noFill/>
        </a:ln>
      </c:spPr>
    </c:title>
    <c:autoTitleDeleted val="0"/>
    <c:plotArea>
      <c:layout>
        <c:manualLayout>
          <c:layoutTarget val="inner"/>
          <c:xMode val="edge"/>
          <c:yMode val="edge"/>
          <c:x val="5.6277582566022895E-2"/>
          <c:y val="0.11643044619422573"/>
          <c:w val="0.89073619054947117"/>
          <c:h val="0.71933704916098973"/>
        </c:manualLayout>
      </c:layout>
      <c:lineChart>
        <c:grouping val="standard"/>
        <c:varyColors val="0"/>
        <c:ser>
          <c:idx val="0"/>
          <c:order val="0"/>
          <c:tx>
            <c:strRef>
              <c:f>'Nov-12 to Mar-14'!$A$24</c:f>
              <c:strCache>
                <c:ptCount val="1"/>
                <c:pt idx="0">
                  <c:v>Hospital</c:v>
                </c:pt>
              </c:strCache>
            </c:strRef>
          </c:tx>
          <c:marker>
            <c:symbol val="none"/>
          </c:marker>
          <c:cat>
            <c:numRef>
              <c:f>('Nov-12 to Mar-14'!$B$23:$D$23,'Nov-12 to Mar-14'!$F$23:$AL$23)</c:f>
              <c:numCache>
                <c:formatCode>mmm\-yy</c:formatCode>
                <c:ptCount val="36"/>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pt idx="15">
                  <c:v>41456</c:v>
                </c:pt>
                <c:pt idx="16">
                  <c:v>41487</c:v>
                </c:pt>
                <c:pt idx="17">
                  <c:v>41518</c:v>
                </c:pt>
                <c:pt idx="18">
                  <c:v>41548</c:v>
                </c:pt>
                <c:pt idx="19">
                  <c:v>41579</c:v>
                </c:pt>
                <c:pt idx="20">
                  <c:v>41609</c:v>
                </c:pt>
                <c:pt idx="21">
                  <c:v>41640</c:v>
                </c:pt>
                <c:pt idx="22">
                  <c:v>41671</c:v>
                </c:pt>
                <c:pt idx="23">
                  <c:v>41699</c:v>
                </c:pt>
                <c:pt idx="24">
                  <c:v>41730</c:v>
                </c:pt>
                <c:pt idx="25">
                  <c:v>41760</c:v>
                </c:pt>
                <c:pt idx="26">
                  <c:v>41791</c:v>
                </c:pt>
                <c:pt idx="27">
                  <c:v>41821</c:v>
                </c:pt>
                <c:pt idx="28">
                  <c:v>41852</c:v>
                </c:pt>
                <c:pt idx="29">
                  <c:v>41883</c:v>
                </c:pt>
                <c:pt idx="30">
                  <c:v>41913</c:v>
                </c:pt>
                <c:pt idx="31">
                  <c:v>41944</c:v>
                </c:pt>
                <c:pt idx="32">
                  <c:v>41974</c:v>
                </c:pt>
                <c:pt idx="33">
                  <c:v>42005</c:v>
                </c:pt>
                <c:pt idx="34">
                  <c:v>42036</c:v>
                </c:pt>
                <c:pt idx="35">
                  <c:v>42064</c:v>
                </c:pt>
              </c:numCache>
            </c:numRef>
          </c:cat>
          <c:val>
            <c:numRef>
              <c:f>('Nov-12 to Mar-14'!$B$24:$D$24,'Nov-12 to Mar-14'!$F$24:$AL$24)</c:f>
              <c:numCache>
                <c:formatCode>General</c:formatCode>
                <c:ptCount val="36"/>
                <c:pt idx="0">
                  <c:v>33</c:v>
                </c:pt>
                <c:pt idx="1">
                  <c:v>37</c:v>
                </c:pt>
                <c:pt idx="2">
                  <c:v>31</c:v>
                </c:pt>
                <c:pt idx="3">
                  <c:v>30</c:v>
                </c:pt>
                <c:pt idx="4">
                  <c:v>29</c:v>
                </c:pt>
                <c:pt idx="5">
                  <c:v>30</c:v>
                </c:pt>
                <c:pt idx="6">
                  <c:v>32</c:v>
                </c:pt>
                <c:pt idx="7">
                  <c:v>36</c:v>
                </c:pt>
                <c:pt idx="8">
                  <c:v>21</c:v>
                </c:pt>
                <c:pt idx="9">
                  <c:v>27</c:v>
                </c:pt>
                <c:pt idx="10">
                  <c:v>30</c:v>
                </c:pt>
                <c:pt idx="11">
                  <c:v>25</c:v>
                </c:pt>
                <c:pt idx="12">
                  <c:v>23</c:v>
                </c:pt>
                <c:pt idx="13">
                  <c:v>20</c:v>
                </c:pt>
                <c:pt idx="14">
                  <c:v>21</c:v>
                </c:pt>
                <c:pt idx="15">
                  <c:v>21</c:v>
                </c:pt>
                <c:pt idx="16">
                  <c:v>21</c:v>
                </c:pt>
              </c:numCache>
            </c:numRef>
          </c:val>
          <c:smooth val="0"/>
          <c:extLst xmlns:c16r2="http://schemas.microsoft.com/office/drawing/2015/06/chart">
            <c:ext xmlns:c16="http://schemas.microsoft.com/office/drawing/2014/chart" uri="{C3380CC4-5D6E-409C-BE32-E72D297353CC}">
              <c16:uniqueId val="{00000000-5EC3-4CC4-B167-37CF890A84C6}"/>
            </c:ext>
          </c:extLst>
        </c:ser>
        <c:ser>
          <c:idx val="1"/>
          <c:order val="1"/>
          <c:tx>
            <c:strRef>
              <c:f>'Nov-12 to Mar-14'!$A$25</c:f>
              <c:strCache>
                <c:ptCount val="1"/>
                <c:pt idx="0">
                  <c:v>Boots</c:v>
                </c:pt>
              </c:strCache>
            </c:strRef>
          </c:tx>
          <c:marker>
            <c:symbol val="none"/>
          </c:marker>
          <c:cat>
            <c:numRef>
              <c:f>('Nov-12 to Mar-14'!$B$23:$D$23,'Nov-12 to Mar-14'!$F$23:$AL$23)</c:f>
              <c:numCache>
                <c:formatCode>mmm\-yy</c:formatCode>
                <c:ptCount val="36"/>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pt idx="15">
                  <c:v>41456</c:v>
                </c:pt>
                <c:pt idx="16">
                  <c:v>41487</c:v>
                </c:pt>
                <c:pt idx="17">
                  <c:v>41518</c:v>
                </c:pt>
                <c:pt idx="18">
                  <c:v>41548</c:v>
                </c:pt>
                <c:pt idx="19">
                  <c:v>41579</c:v>
                </c:pt>
                <c:pt idx="20">
                  <c:v>41609</c:v>
                </c:pt>
                <c:pt idx="21">
                  <c:v>41640</c:v>
                </c:pt>
                <c:pt idx="22">
                  <c:v>41671</c:v>
                </c:pt>
                <c:pt idx="23">
                  <c:v>41699</c:v>
                </c:pt>
                <c:pt idx="24">
                  <c:v>41730</c:v>
                </c:pt>
                <c:pt idx="25">
                  <c:v>41760</c:v>
                </c:pt>
                <c:pt idx="26">
                  <c:v>41791</c:v>
                </c:pt>
                <c:pt idx="27">
                  <c:v>41821</c:v>
                </c:pt>
                <c:pt idx="28">
                  <c:v>41852</c:v>
                </c:pt>
                <c:pt idx="29">
                  <c:v>41883</c:v>
                </c:pt>
                <c:pt idx="30">
                  <c:v>41913</c:v>
                </c:pt>
                <c:pt idx="31">
                  <c:v>41944</c:v>
                </c:pt>
                <c:pt idx="32">
                  <c:v>41974</c:v>
                </c:pt>
                <c:pt idx="33">
                  <c:v>42005</c:v>
                </c:pt>
                <c:pt idx="34">
                  <c:v>42036</c:v>
                </c:pt>
                <c:pt idx="35">
                  <c:v>42064</c:v>
                </c:pt>
              </c:numCache>
            </c:numRef>
          </c:cat>
          <c:val>
            <c:numRef>
              <c:f>('Nov-12 to Mar-14'!$B$25:$D$25,'Nov-12 to Mar-14'!$F$25:$AL$25)</c:f>
              <c:numCache>
                <c:formatCode>General</c:formatCode>
                <c:ptCount val="36"/>
                <c:pt idx="7">
                  <c:v>20.34</c:v>
                </c:pt>
                <c:pt idx="8">
                  <c:v>13.85</c:v>
                </c:pt>
                <c:pt idx="9">
                  <c:v>11.28</c:v>
                </c:pt>
                <c:pt idx="10">
                  <c:v>13.04</c:v>
                </c:pt>
                <c:pt idx="11">
                  <c:v>14.27</c:v>
                </c:pt>
                <c:pt idx="12">
                  <c:v>14.39</c:v>
                </c:pt>
                <c:pt idx="13">
                  <c:v>18.71</c:v>
                </c:pt>
                <c:pt idx="14">
                  <c:v>16.03</c:v>
                </c:pt>
                <c:pt idx="15">
                  <c:v>14.93</c:v>
                </c:pt>
                <c:pt idx="16">
                  <c:v>15.16</c:v>
                </c:pt>
                <c:pt idx="17">
                  <c:v>14.74</c:v>
                </c:pt>
                <c:pt idx="18">
                  <c:v>16.100000000000001</c:v>
                </c:pt>
                <c:pt idx="19">
                  <c:v>14.62</c:v>
                </c:pt>
                <c:pt idx="20">
                  <c:v>14.27</c:v>
                </c:pt>
                <c:pt idx="21">
                  <c:v>14.5</c:v>
                </c:pt>
                <c:pt idx="22">
                  <c:v>14.79</c:v>
                </c:pt>
                <c:pt idx="23">
                  <c:v>12.59</c:v>
                </c:pt>
                <c:pt idx="24">
                  <c:v>15.04</c:v>
                </c:pt>
                <c:pt idx="25">
                  <c:v>15.35</c:v>
                </c:pt>
                <c:pt idx="26">
                  <c:v>13.8</c:v>
                </c:pt>
                <c:pt idx="27">
                  <c:v>12.35</c:v>
                </c:pt>
                <c:pt idx="28">
                  <c:v>15.35</c:v>
                </c:pt>
                <c:pt idx="29">
                  <c:v>13.36</c:v>
                </c:pt>
                <c:pt idx="30">
                  <c:v>14.56</c:v>
                </c:pt>
                <c:pt idx="31">
                  <c:v>14.1</c:v>
                </c:pt>
                <c:pt idx="32">
                  <c:v>17.100000000000001</c:v>
                </c:pt>
                <c:pt idx="33">
                  <c:v>15.2</c:v>
                </c:pt>
                <c:pt idx="34">
                  <c:v>14.99</c:v>
                </c:pt>
                <c:pt idx="35">
                  <c:v>14.99</c:v>
                </c:pt>
              </c:numCache>
            </c:numRef>
          </c:val>
          <c:smooth val="0"/>
          <c:extLst xmlns:c16r2="http://schemas.microsoft.com/office/drawing/2015/06/chart">
            <c:ext xmlns:c16="http://schemas.microsoft.com/office/drawing/2014/chart" uri="{C3380CC4-5D6E-409C-BE32-E72D297353CC}">
              <c16:uniqueId val="{00000001-5EC3-4CC4-B167-37CF890A84C6}"/>
            </c:ext>
          </c:extLst>
        </c:ser>
        <c:dLbls>
          <c:showLegendKey val="0"/>
          <c:showVal val="0"/>
          <c:showCatName val="0"/>
          <c:showSerName val="0"/>
          <c:showPercent val="0"/>
          <c:showBubbleSize val="0"/>
        </c:dLbls>
        <c:marker val="1"/>
        <c:smooth val="0"/>
        <c:axId val="223214208"/>
        <c:axId val="171577728"/>
      </c:lineChart>
      <c:dateAx>
        <c:axId val="223214208"/>
        <c:scaling>
          <c:orientation val="minMax"/>
        </c:scaling>
        <c:delete val="0"/>
        <c:axPos val="b"/>
        <c:numFmt formatCode="mmm\-yy" sourceLinked="0"/>
        <c:majorTickMark val="out"/>
        <c:minorTickMark val="none"/>
        <c:tickLblPos val="nextTo"/>
        <c:txPr>
          <a:bodyPr rot="-5400000" vert="horz"/>
          <a:lstStyle/>
          <a:p>
            <a:pPr>
              <a:defRPr sz="900" b="0" i="0" u="none" strike="noStrike" baseline="0">
                <a:solidFill>
                  <a:srgbClr val="000000"/>
                </a:solidFill>
                <a:latin typeface="Calibri"/>
                <a:ea typeface="Calibri"/>
                <a:cs typeface="Calibri"/>
              </a:defRPr>
            </a:pPr>
            <a:endParaRPr lang="en-US"/>
          </a:p>
        </c:txPr>
        <c:crossAx val="171577728"/>
        <c:crosses val="autoZero"/>
        <c:auto val="1"/>
        <c:lblOffset val="100"/>
        <c:baseTimeUnit val="months"/>
      </c:dateAx>
      <c:valAx>
        <c:axId val="1715777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23214208"/>
        <c:crosses val="autoZero"/>
        <c:crossBetween val="between"/>
      </c:valAx>
    </c:plotArea>
    <c:legend>
      <c:legendPos val="r"/>
      <c:layout>
        <c:manualLayout>
          <c:xMode val="edge"/>
          <c:yMode val="edge"/>
          <c:x val="0.78502517804166982"/>
          <c:y val="3.8800338242238545E-2"/>
          <c:w val="0.18022980840749958"/>
          <c:h val="0.18438199409174269"/>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a:ea typeface="Arial"/>
                <a:cs typeface="Arial"/>
              </a:defRPr>
            </a:pPr>
            <a:r>
              <a:rPr lang="en-GB"/>
              <a:t>Patient experience</a:t>
            </a:r>
          </a:p>
        </c:rich>
      </c:tx>
      <c:layout/>
      <c:overlay val="0"/>
      <c:spPr>
        <a:noFill/>
        <a:ln w="25401">
          <a:noFill/>
        </a:ln>
      </c:spPr>
    </c:title>
    <c:autoTitleDeleted val="0"/>
    <c:plotArea>
      <c:layout>
        <c:manualLayout>
          <c:layoutTarget val="inner"/>
          <c:xMode val="edge"/>
          <c:yMode val="edge"/>
          <c:x val="6.3648164243061051E-2"/>
          <c:y val="0.12348831396075491"/>
          <c:w val="0.88150250576173861"/>
          <c:h val="0.83238845144356954"/>
        </c:manualLayout>
      </c:layout>
      <c:barChart>
        <c:barDir val="col"/>
        <c:grouping val="stacked"/>
        <c:varyColors val="0"/>
        <c:ser>
          <c:idx val="0"/>
          <c:order val="0"/>
          <c:tx>
            <c:strRef>
              <c:f>'Nov-12 to Mar-14'!$D$16</c:f>
              <c:strCache>
                <c:ptCount val="1"/>
                <c:pt idx="0">
                  <c:v>Compliments/positive feedback</c:v>
                </c:pt>
              </c:strCache>
            </c:strRef>
          </c:tx>
          <c:spPr>
            <a:solidFill>
              <a:srgbClr val="00FF00"/>
            </a:solidFill>
          </c:spPr>
          <c:invertIfNegative val="0"/>
          <c:cat>
            <c:numRef>
              <c:f>'Nov-12 to Mar-14'!$F$15:$AH$15</c:f>
              <c:numCache>
                <c:formatCode>mmm\-yy</c:formatCode>
                <c:ptCount val="29"/>
                <c:pt idx="0">
                  <c:v>41214</c:v>
                </c:pt>
                <c:pt idx="1">
                  <c:v>41244</c:v>
                </c:pt>
                <c:pt idx="2">
                  <c:v>41275</c:v>
                </c:pt>
                <c:pt idx="3">
                  <c:v>41306</c:v>
                </c:pt>
                <c:pt idx="4">
                  <c:v>41334</c:v>
                </c:pt>
                <c:pt idx="5">
                  <c:v>41365</c:v>
                </c:pt>
                <c:pt idx="6">
                  <c:v>41395</c:v>
                </c:pt>
                <c:pt idx="7">
                  <c:v>41426</c:v>
                </c:pt>
                <c:pt idx="8">
                  <c:v>41456</c:v>
                </c:pt>
                <c:pt idx="9">
                  <c:v>41487</c:v>
                </c:pt>
                <c:pt idx="10">
                  <c:v>41518</c:v>
                </c:pt>
                <c:pt idx="11">
                  <c:v>41548</c:v>
                </c:pt>
                <c:pt idx="12">
                  <c:v>41579</c:v>
                </c:pt>
                <c:pt idx="13">
                  <c:v>41609</c:v>
                </c:pt>
                <c:pt idx="14">
                  <c:v>41640</c:v>
                </c:pt>
                <c:pt idx="15">
                  <c:v>41671</c:v>
                </c:pt>
                <c:pt idx="16">
                  <c:v>41699</c:v>
                </c:pt>
                <c:pt idx="17">
                  <c:v>41730</c:v>
                </c:pt>
                <c:pt idx="18">
                  <c:v>41760</c:v>
                </c:pt>
                <c:pt idx="19">
                  <c:v>41791</c:v>
                </c:pt>
                <c:pt idx="20">
                  <c:v>41821</c:v>
                </c:pt>
                <c:pt idx="21">
                  <c:v>41852</c:v>
                </c:pt>
                <c:pt idx="22">
                  <c:v>41883</c:v>
                </c:pt>
                <c:pt idx="23">
                  <c:v>41913</c:v>
                </c:pt>
                <c:pt idx="24">
                  <c:v>41944</c:v>
                </c:pt>
                <c:pt idx="25">
                  <c:v>41974</c:v>
                </c:pt>
                <c:pt idx="26">
                  <c:v>42005</c:v>
                </c:pt>
                <c:pt idx="27">
                  <c:v>42036</c:v>
                </c:pt>
                <c:pt idx="28">
                  <c:v>42064</c:v>
                </c:pt>
              </c:numCache>
            </c:numRef>
          </c:cat>
          <c:val>
            <c:numRef>
              <c:f>'Nov-12 to Mar-14'!$F$16:$AH$16</c:f>
              <c:numCache>
                <c:formatCode>General</c:formatCode>
                <c:ptCount val="29"/>
                <c:pt idx="3" formatCode="0">
                  <c:v>18</c:v>
                </c:pt>
                <c:pt idx="4" formatCode="0">
                  <c:v>10</c:v>
                </c:pt>
                <c:pt idx="5" formatCode="0">
                  <c:v>9</c:v>
                </c:pt>
                <c:pt idx="6" formatCode="0">
                  <c:v>7</c:v>
                </c:pt>
                <c:pt idx="7" formatCode="0">
                  <c:v>0</c:v>
                </c:pt>
                <c:pt idx="8" formatCode="0">
                  <c:v>15</c:v>
                </c:pt>
                <c:pt idx="9" formatCode="0">
                  <c:v>15</c:v>
                </c:pt>
                <c:pt idx="10" formatCode="0">
                  <c:v>12</c:v>
                </c:pt>
                <c:pt idx="11" formatCode="0">
                  <c:v>17</c:v>
                </c:pt>
                <c:pt idx="12" formatCode="0">
                  <c:v>12</c:v>
                </c:pt>
                <c:pt idx="13">
                  <c:v>16</c:v>
                </c:pt>
                <c:pt idx="14">
                  <c:v>15</c:v>
                </c:pt>
                <c:pt idx="15">
                  <c:v>11</c:v>
                </c:pt>
                <c:pt idx="16">
                  <c:v>11</c:v>
                </c:pt>
                <c:pt idx="17">
                  <c:v>9</c:v>
                </c:pt>
                <c:pt idx="18" formatCode="0">
                  <c:v>5</c:v>
                </c:pt>
                <c:pt idx="19" formatCode="0">
                  <c:v>11</c:v>
                </c:pt>
                <c:pt idx="20" formatCode="0">
                  <c:v>12</c:v>
                </c:pt>
                <c:pt idx="21" formatCode="0">
                  <c:v>6</c:v>
                </c:pt>
                <c:pt idx="22" formatCode="0">
                  <c:v>9</c:v>
                </c:pt>
                <c:pt idx="23" formatCode="0">
                  <c:v>0</c:v>
                </c:pt>
                <c:pt idx="24" formatCode="0">
                  <c:v>0</c:v>
                </c:pt>
                <c:pt idx="25" formatCode="0">
                  <c:v>0</c:v>
                </c:pt>
                <c:pt idx="26" formatCode="0">
                  <c:v>3</c:v>
                </c:pt>
                <c:pt idx="27" formatCode="0">
                  <c:v>7</c:v>
                </c:pt>
                <c:pt idx="28" formatCode="0">
                  <c:v>7</c:v>
                </c:pt>
              </c:numCache>
            </c:numRef>
          </c:val>
          <c:extLst xmlns:c16r2="http://schemas.microsoft.com/office/drawing/2015/06/chart">
            <c:ext xmlns:c16="http://schemas.microsoft.com/office/drawing/2014/chart" uri="{C3380CC4-5D6E-409C-BE32-E72D297353CC}">
              <c16:uniqueId val="{00000000-AD36-4CFF-8729-3DDA814E3DF6}"/>
            </c:ext>
          </c:extLst>
        </c:ser>
        <c:ser>
          <c:idx val="1"/>
          <c:order val="1"/>
          <c:tx>
            <c:strRef>
              <c:f>'Nov-12 to Mar-14'!$D$17</c:f>
              <c:strCache>
                <c:ptCount val="1"/>
                <c:pt idx="0">
                  <c:v>Complaints/negative feedback</c:v>
                </c:pt>
              </c:strCache>
            </c:strRef>
          </c:tx>
          <c:invertIfNegative val="0"/>
          <c:cat>
            <c:numRef>
              <c:f>'Nov-12 to Mar-14'!$F$15:$AH$15</c:f>
              <c:numCache>
                <c:formatCode>mmm\-yy</c:formatCode>
                <c:ptCount val="29"/>
                <c:pt idx="0">
                  <c:v>41214</c:v>
                </c:pt>
                <c:pt idx="1">
                  <c:v>41244</c:v>
                </c:pt>
                <c:pt idx="2">
                  <c:v>41275</c:v>
                </c:pt>
                <c:pt idx="3">
                  <c:v>41306</c:v>
                </c:pt>
                <c:pt idx="4">
                  <c:v>41334</c:v>
                </c:pt>
                <c:pt idx="5">
                  <c:v>41365</c:v>
                </c:pt>
                <c:pt idx="6">
                  <c:v>41395</c:v>
                </c:pt>
                <c:pt idx="7">
                  <c:v>41426</c:v>
                </c:pt>
                <c:pt idx="8">
                  <c:v>41456</c:v>
                </c:pt>
                <c:pt idx="9">
                  <c:v>41487</c:v>
                </c:pt>
                <c:pt idx="10">
                  <c:v>41518</c:v>
                </c:pt>
                <c:pt idx="11">
                  <c:v>41548</c:v>
                </c:pt>
                <c:pt idx="12">
                  <c:v>41579</c:v>
                </c:pt>
                <c:pt idx="13">
                  <c:v>41609</c:v>
                </c:pt>
                <c:pt idx="14">
                  <c:v>41640</c:v>
                </c:pt>
                <c:pt idx="15">
                  <c:v>41671</c:v>
                </c:pt>
                <c:pt idx="16">
                  <c:v>41699</c:v>
                </c:pt>
                <c:pt idx="17">
                  <c:v>41730</c:v>
                </c:pt>
                <c:pt idx="18">
                  <c:v>41760</c:v>
                </c:pt>
                <c:pt idx="19">
                  <c:v>41791</c:v>
                </c:pt>
                <c:pt idx="20">
                  <c:v>41821</c:v>
                </c:pt>
                <c:pt idx="21">
                  <c:v>41852</c:v>
                </c:pt>
                <c:pt idx="22">
                  <c:v>41883</c:v>
                </c:pt>
                <c:pt idx="23">
                  <c:v>41913</c:v>
                </c:pt>
                <c:pt idx="24">
                  <c:v>41944</c:v>
                </c:pt>
                <c:pt idx="25">
                  <c:v>41974</c:v>
                </c:pt>
                <c:pt idx="26">
                  <c:v>42005</c:v>
                </c:pt>
                <c:pt idx="27">
                  <c:v>42036</c:v>
                </c:pt>
                <c:pt idx="28">
                  <c:v>42064</c:v>
                </c:pt>
              </c:numCache>
            </c:numRef>
          </c:cat>
          <c:val>
            <c:numRef>
              <c:f>'Nov-12 to Mar-14'!$F$17:$AH$17</c:f>
              <c:numCache>
                <c:formatCode>General</c:formatCode>
                <c:ptCount val="29"/>
                <c:pt idx="3" formatCode="0">
                  <c:v>0</c:v>
                </c:pt>
                <c:pt idx="4" formatCode="0">
                  <c:v>-1</c:v>
                </c:pt>
                <c:pt idx="5" formatCode="0">
                  <c:v>0</c:v>
                </c:pt>
                <c:pt idx="6" formatCode="0">
                  <c:v>-3</c:v>
                </c:pt>
                <c:pt idx="7" formatCode="0">
                  <c:v>-1</c:v>
                </c:pt>
                <c:pt idx="8" formatCode="0">
                  <c:v>-2</c:v>
                </c:pt>
                <c:pt idx="9" formatCode="0">
                  <c:v>-1</c:v>
                </c:pt>
                <c:pt idx="10" formatCode="0">
                  <c:v>-5</c:v>
                </c:pt>
                <c:pt idx="11" formatCode="0">
                  <c:v>0</c:v>
                </c:pt>
                <c:pt idx="12" formatCode="0">
                  <c:v>-1</c:v>
                </c:pt>
                <c:pt idx="13">
                  <c:v>-1</c:v>
                </c:pt>
                <c:pt idx="14">
                  <c:v>-3</c:v>
                </c:pt>
                <c:pt idx="15">
                  <c:v>-1</c:v>
                </c:pt>
                <c:pt idx="16">
                  <c:v>-1</c:v>
                </c:pt>
                <c:pt idx="17">
                  <c:v>0</c:v>
                </c:pt>
                <c:pt idx="18" formatCode="0">
                  <c:v>-1</c:v>
                </c:pt>
                <c:pt idx="19" formatCode="0">
                  <c:v>-1</c:v>
                </c:pt>
                <c:pt idx="20" formatCode="0">
                  <c:v>0</c:v>
                </c:pt>
                <c:pt idx="21" formatCode="0">
                  <c:v>0</c:v>
                </c:pt>
                <c:pt idx="22" formatCode="0">
                  <c:v>0</c:v>
                </c:pt>
                <c:pt idx="23" formatCode="0">
                  <c:v>0</c:v>
                </c:pt>
                <c:pt idx="24" formatCode="0">
                  <c:v>-1</c:v>
                </c:pt>
                <c:pt idx="25" formatCode="0">
                  <c:v>0</c:v>
                </c:pt>
                <c:pt idx="26" formatCode="0">
                  <c:v>-1</c:v>
                </c:pt>
                <c:pt idx="27" formatCode="0">
                  <c:v>0</c:v>
                </c:pt>
                <c:pt idx="28" formatCode="0">
                  <c:v>0</c:v>
                </c:pt>
              </c:numCache>
            </c:numRef>
          </c:val>
          <c:extLst xmlns:c16r2="http://schemas.microsoft.com/office/drawing/2015/06/chart">
            <c:ext xmlns:c16="http://schemas.microsoft.com/office/drawing/2014/chart" uri="{C3380CC4-5D6E-409C-BE32-E72D297353CC}">
              <c16:uniqueId val="{00000001-AD36-4CFF-8729-3DDA814E3DF6}"/>
            </c:ext>
          </c:extLst>
        </c:ser>
        <c:dLbls>
          <c:showLegendKey val="0"/>
          <c:showVal val="0"/>
          <c:showCatName val="0"/>
          <c:showSerName val="0"/>
          <c:showPercent val="0"/>
          <c:showBubbleSize val="0"/>
        </c:dLbls>
        <c:gapWidth val="150"/>
        <c:overlap val="100"/>
        <c:axId val="222827264"/>
        <c:axId val="222828800"/>
      </c:barChart>
      <c:dateAx>
        <c:axId val="222827264"/>
        <c:scaling>
          <c:orientation val="minMax"/>
        </c:scaling>
        <c:delete val="0"/>
        <c:axPos val="b"/>
        <c:numFmt formatCode="mmm\-yy" sourceLinked="0"/>
        <c:majorTickMark val="out"/>
        <c:minorTickMark val="none"/>
        <c:tickLblPos val="nextTo"/>
        <c:txPr>
          <a:bodyPr rot="-5400000" vert="horz"/>
          <a:lstStyle/>
          <a:p>
            <a:pPr>
              <a:defRPr sz="1000" b="0" i="0" u="none" strike="noStrike" baseline="0">
                <a:solidFill>
                  <a:srgbClr val="000000"/>
                </a:solidFill>
                <a:latin typeface="Calibri"/>
                <a:ea typeface="Calibri"/>
                <a:cs typeface="Calibri"/>
              </a:defRPr>
            </a:pPr>
            <a:endParaRPr lang="en-US"/>
          </a:p>
        </c:txPr>
        <c:crossAx val="222828800"/>
        <c:crosses val="autoZero"/>
        <c:auto val="1"/>
        <c:lblOffset val="100"/>
        <c:baseTimeUnit val="months"/>
      </c:dateAx>
      <c:valAx>
        <c:axId val="222828800"/>
        <c:scaling>
          <c:orientation val="minMax"/>
          <c:min val="-20"/>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22827264"/>
        <c:crosses val="autoZero"/>
        <c:crossBetween val="between"/>
      </c:valAx>
    </c:plotArea>
    <c:legend>
      <c:legendPos val="r"/>
      <c:layout>
        <c:manualLayout>
          <c:xMode val="edge"/>
          <c:yMode val="edge"/>
          <c:x val="0.27079586550052576"/>
          <c:y val="0.75004304461942262"/>
          <c:w val="0.5084598220010772"/>
          <c:h val="0.13585378191362441"/>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Discharge prescription turnaround</a:t>
            </a:r>
          </a:p>
        </c:rich>
      </c:tx>
      <c:layout>
        <c:manualLayout>
          <c:xMode val="edge"/>
          <c:yMode val="edge"/>
          <c:x val="0.29653868185043647"/>
          <c:y val="1.126746253492507E-2"/>
        </c:manualLayout>
      </c:layout>
      <c:overlay val="1"/>
    </c:title>
    <c:autoTitleDeleted val="0"/>
    <c:plotArea>
      <c:layout>
        <c:manualLayout>
          <c:layoutTarget val="inner"/>
          <c:xMode val="edge"/>
          <c:yMode val="edge"/>
          <c:x val="5.1140816700238054E-2"/>
          <c:y val="0.1169388192673099"/>
          <c:w val="0.90834926448147468"/>
          <c:h val="0.73691412517097332"/>
        </c:manualLayout>
      </c:layout>
      <c:lineChart>
        <c:grouping val="standard"/>
        <c:varyColors val="0"/>
        <c:ser>
          <c:idx val="0"/>
          <c:order val="0"/>
          <c:tx>
            <c:strRef>
              <c:f>Sheet1!$B$24</c:f>
              <c:strCache>
                <c:ptCount val="1"/>
                <c:pt idx="0">
                  <c:v>Mean turnaround per patient (mins)</c:v>
                </c:pt>
              </c:strCache>
            </c:strRef>
          </c:tx>
          <c:marker>
            <c:symbol val="none"/>
          </c:marker>
          <c:cat>
            <c:numRef>
              <c:f>Sheet1!$C$23:$AL$23</c:f>
              <c:numCache>
                <c:formatCode>mmm\-yy</c:formatCode>
                <c:ptCount val="36"/>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pt idx="15">
                  <c:v>41456</c:v>
                </c:pt>
                <c:pt idx="16">
                  <c:v>41487</c:v>
                </c:pt>
                <c:pt idx="17">
                  <c:v>41518</c:v>
                </c:pt>
                <c:pt idx="18">
                  <c:v>41548</c:v>
                </c:pt>
                <c:pt idx="19">
                  <c:v>41579</c:v>
                </c:pt>
                <c:pt idx="20">
                  <c:v>41609</c:v>
                </c:pt>
                <c:pt idx="21">
                  <c:v>41640</c:v>
                </c:pt>
                <c:pt idx="22">
                  <c:v>41671</c:v>
                </c:pt>
                <c:pt idx="23">
                  <c:v>41699</c:v>
                </c:pt>
                <c:pt idx="24">
                  <c:v>41730</c:v>
                </c:pt>
                <c:pt idx="25">
                  <c:v>41760</c:v>
                </c:pt>
                <c:pt idx="26">
                  <c:v>41791</c:v>
                </c:pt>
                <c:pt idx="27">
                  <c:v>41821</c:v>
                </c:pt>
                <c:pt idx="28">
                  <c:v>41852</c:v>
                </c:pt>
                <c:pt idx="29">
                  <c:v>41883</c:v>
                </c:pt>
                <c:pt idx="30">
                  <c:v>41913</c:v>
                </c:pt>
                <c:pt idx="31">
                  <c:v>41944</c:v>
                </c:pt>
                <c:pt idx="32">
                  <c:v>41974</c:v>
                </c:pt>
                <c:pt idx="33">
                  <c:v>42005</c:v>
                </c:pt>
                <c:pt idx="34">
                  <c:v>42036</c:v>
                </c:pt>
                <c:pt idx="35">
                  <c:v>42064</c:v>
                </c:pt>
              </c:numCache>
            </c:numRef>
          </c:cat>
          <c:val>
            <c:numRef>
              <c:f>Sheet1!$C$24:$AL$24</c:f>
              <c:numCache>
                <c:formatCode>0</c:formatCode>
                <c:ptCount val="36"/>
                <c:pt idx="0">
                  <c:v>91</c:v>
                </c:pt>
                <c:pt idx="1">
                  <c:v>98</c:v>
                </c:pt>
                <c:pt idx="2">
                  <c:v>88</c:v>
                </c:pt>
                <c:pt idx="3">
                  <c:v>83</c:v>
                </c:pt>
                <c:pt idx="4">
                  <c:v>85</c:v>
                </c:pt>
                <c:pt idx="5">
                  <c:v>84</c:v>
                </c:pt>
                <c:pt idx="6">
                  <c:v>84</c:v>
                </c:pt>
                <c:pt idx="7">
                  <c:v>96</c:v>
                </c:pt>
                <c:pt idx="8">
                  <c:v>94</c:v>
                </c:pt>
                <c:pt idx="9">
                  <c:v>91</c:v>
                </c:pt>
                <c:pt idx="10">
                  <c:v>89</c:v>
                </c:pt>
                <c:pt idx="11">
                  <c:v>90</c:v>
                </c:pt>
                <c:pt idx="12">
                  <c:v>78</c:v>
                </c:pt>
                <c:pt idx="13">
                  <c:v>52</c:v>
                </c:pt>
                <c:pt idx="14">
                  <c:v>52</c:v>
                </c:pt>
                <c:pt idx="15">
                  <c:v>47</c:v>
                </c:pt>
                <c:pt idx="16">
                  <c:v>44</c:v>
                </c:pt>
                <c:pt idx="17">
                  <c:v>48</c:v>
                </c:pt>
                <c:pt idx="18">
                  <c:v>56</c:v>
                </c:pt>
                <c:pt idx="19">
                  <c:v>57</c:v>
                </c:pt>
                <c:pt idx="20">
                  <c:v>59</c:v>
                </c:pt>
                <c:pt idx="21">
                  <c:v>55</c:v>
                </c:pt>
                <c:pt idx="22">
                  <c:v>59</c:v>
                </c:pt>
                <c:pt idx="23">
                  <c:v>55</c:v>
                </c:pt>
                <c:pt idx="24" formatCode="General">
                  <c:v>50</c:v>
                </c:pt>
                <c:pt idx="25">
                  <c:v>48</c:v>
                </c:pt>
                <c:pt idx="26">
                  <c:v>46</c:v>
                </c:pt>
                <c:pt idx="27">
                  <c:v>49</c:v>
                </c:pt>
                <c:pt idx="28">
                  <c:v>52</c:v>
                </c:pt>
                <c:pt idx="29">
                  <c:v>56</c:v>
                </c:pt>
                <c:pt idx="30">
                  <c:v>59</c:v>
                </c:pt>
                <c:pt idx="31">
                  <c:v>55</c:v>
                </c:pt>
                <c:pt idx="32" formatCode="General">
                  <c:v>53</c:v>
                </c:pt>
                <c:pt idx="33" formatCode="General">
                  <c:v>51</c:v>
                </c:pt>
                <c:pt idx="34" formatCode="General">
                  <c:v>55</c:v>
                </c:pt>
                <c:pt idx="35" formatCode="General">
                  <c:v>52</c:v>
                </c:pt>
              </c:numCache>
            </c:numRef>
          </c:val>
          <c:smooth val="0"/>
          <c:extLst xmlns:c16r2="http://schemas.microsoft.com/office/drawing/2015/06/chart">
            <c:ext xmlns:c16="http://schemas.microsoft.com/office/drawing/2014/chart" uri="{C3380CC4-5D6E-409C-BE32-E72D297353CC}">
              <c16:uniqueId val="{00000000-FA21-4D82-B55F-02A6CA22E55F}"/>
            </c:ext>
          </c:extLst>
        </c:ser>
        <c:ser>
          <c:idx val="1"/>
          <c:order val="1"/>
          <c:tx>
            <c:strRef>
              <c:f>Sheet1!$B$25</c:f>
              <c:strCache>
                <c:ptCount val="1"/>
                <c:pt idx="0">
                  <c:v>% completed within 120 minutes</c:v>
                </c:pt>
              </c:strCache>
            </c:strRef>
          </c:tx>
          <c:marker>
            <c:symbol val="none"/>
          </c:marker>
          <c:cat>
            <c:numRef>
              <c:f>Sheet1!$C$23:$AL$23</c:f>
              <c:numCache>
                <c:formatCode>mmm\-yy</c:formatCode>
                <c:ptCount val="36"/>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pt idx="15">
                  <c:v>41456</c:v>
                </c:pt>
                <c:pt idx="16">
                  <c:v>41487</c:v>
                </c:pt>
                <c:pt idx="17">
                  <c:v>41518</c:v>
                </c:pt>
                <c:pt idx="18">
                  <c:v>41548</c:v>
                </c:pt>
                <c:pt idx="19">
                  <c:v>41579</c:v>
                </c:pt>
                <c:pt idx="20">
                  <c:v>41609</c:v>
                </c:pt>
                <c:pt idx="21">
                  <c:v>41640</c:v>
                </c:pt>
                <c:pt idx="22">
                  <c:v>41671</c:v>
                </c:pt>
                <c:pt idx="23">
                  <c:v>41699</c:v>
                </c:pt>
                <c:pt idx="24">
                  <c:v>41730</c:v>
                </c:pt>
                <c:pt idx="25">
                  <c:v>41760</c:v>
                </c:pt>
                <c:pt idx="26">
                  <c:v>41791</c:v>
                </c:pt>
                <c:pt idx="27">
                  <c:v>41821</c:v>
                </c:pt>
                <c:pt idx="28">
                  <c:v>41852</c:v>
                </c:pt>
                <c:pt idx="29">
                  <c:v>41883</c:v>
                </c:pt>
                <c:pt idx="30">
                  <c:v>41913</c:v>
                </c:pt>
                <c:pt idx="31">
                  <c:v>41944</c:v>
                </c:pt>
                <c:pt idx="32">
                  <c:v>41974</c:v>
                </c:pt>
                <c:pt idx="33">
                  <c:v>42005</c:v>
                </c:pt>
                <c:pt idx="34">
                  <c:v>42036</c:v>
                </c:pt>
                <c:pt idx="35">
                  <c:v>42064</c:v>
                </c:pt>
              </c:numCache>
            </c:numRef>
          </c:cat>
          <c:val>
            <c:numRef>
              <c:f>Sheet1!$C$25:$AL$25</c:f>
              <c:numCache>
                <c:formatCode>0.0</c:formatCode>
                <c:ptCount val="36"/>
                <c:pt idx="0">
                  <c:v>66.349999999999994</c:v>
                </c:pt>
                <c:pt idx="1">
                  <c:v>64.600000000000009</c:v>
                </c:pt>
                <c:pt idx="2">
                  <c:v>68.900000000000006</c:v>
                </c:pt>
                <c:pt idx="3">
                  <c:v>73.61999999999999</c:v>
                </c:pt>
                <c:pt idx="4">
                  <c:v>74.05</c:v>
                </c:pt>
                <c:pt idx="5">
                  <c:v>72.180000000000007</c:v>
                </c:pt>
                <c:pt idx="6">
                  <c:v>72.489999999999995</c:v>
                </c:pt>
                <c:pt idx="7">
                  <c:v>66.58</c:v>
                </c:pt>
                <c:pt idx="8">
                  <c:v>66.259999999999991</c:v>
                </c:pt>
                <c:pt idx="9">
                  <c:v>68.510000000000005</c:v>
                </c:pt>
                <c:pt idx="10">
                  <c:v>70.08</c:v>
                </c:pt>
                <c:pt idx="11">
                  <c:v>70.28</c:v>
                </c:pt>
                <c:pt idx="12">
                  <c:v>78.06</c:v>
                </c:pt>
                <c:pt idx="13">
                  <c:v>96.29</c:v>
                </c:pt>
                <c:pt idx="14">
                  <c:v>95.9</c:v>
                </c:pt>
                <c:pt idx="15">
                  <c:v>97.24</c:v>
                </c:pt>
                <c:pt idx="16">
                  <c:v>97.81</c:v>
                </c:pt>
                <c:pt idx="17">
                  <c:v>97.54</c:v>
                </c:pt>
                <c:pt idx="18">
                  <c:v>94.87</c:v>
                </c:pt>
                <c:pt idx="19">
                  <c:v>93.61</c:v>
                </c:pt>
                <c:pt idx="20">
                  <c:v>94.4</c:v>
                </c:pt>
                <c:pt idx="21">
                  <c:v>95.6</c:v>
                </c:pt>
                <c:pt idx="22">
                  <c:v>98.04</c:v>
                </c:pt>
                <c:pt idx="23">
                  <c:v>93.41</c:v>
                </c:pt>
                <c:pt idx="24">
                  <c:v>94.6</c:v>
                </c:pt>
                <c:pt idx="25">
                  <c:v>93.1</c:v>
                </c:pt>
                <c:pt idx="26">
                  <c:v>96</c:v>
                </c:pt>
                <c:pt idx="27">
                  <c:v>96.4</c:v>
                </c:pt>
                <c:pt idx="28">
                  <c:v>95.25</c:v>
                </c:pt>
                <c:pt idx="29">
                  <c:v>93.97</c:v>
                </c:pt>
                <c:pt idx="30">
                  <c:v>92.23</c:v>
                </c:pt>
                <c:pt idx="31">
                  <c:v>93.75</c:v>
                </c:pt>
                <c:pt idx="32" formatCode="General">
                  <c:v>94.5</c:v>
                </c:pt>
                <c:pt idx="33" formatCode="General">
                  <c:v>96.9</c:v>
                </c:pt>
                <c:pt idx="34" formatCode="General">
                  <c:v>94.6</c:v>
                </c:pt>
                <c:pt idx="35" formatCode="General">
                  <c:v>95.53</c:v>
                </c:pt>
              </c:numCache>
            </c:numRef>
          </c:val>
          <c:smooth val="0"/>
          <c:extLst xmlns:c16r2="http://schemas.microsoft.com/office/drawing/2015/06/chart">
            <c:ext xmlns:c16="http://schemas.microsoft.com/office/drawing/2014/chart" uri="{C3380CC4-5D6E-409C-BE32-E72D297353CC}">
              <c16:uniqueId val="{00000001-FA21-4D82-B55F-02A6CA22E55F}"/>
            </c:ext>
          </c:extLst>
        </c:ser>
        <c:dLbls>
          <c:showLegendKey val="0"/>
          <c:showVal val="0"/>
          <c:showCatName val="0"/>
          <c:showSerName val="0"/>
          <c:showPercent val="0"/>
          <c:showBubbleSize val="0"/>
        </c:dLbls>
        <c:marker val="1"/>
        <c:smooth val="0"/>
        <c:axId val="223453184"/>
        <c:axId val="223454720"/>
      </c:lineChart>
      <c:dateAx>
        <c:axId val="223453184"/>
        <c:scaling>
          <c:orientation val="minMax"/>
        </c:scaling>
        <c:delete val="0"/>
        <c:axPos val="b"/>
        <c:numFmt formatCode="mmm\-yy" sourceLinked="0"/>
        <c:majorTickMark val="out"/>
        <c:minorTickMark val="none"/>
        <c:tickLblPos val="nextTo"/>
        <c:crossAx val="223454720"/>
        <c:crosses val="autoZero"/>
        <c:auto val="1"/>
        <c:lblOffset val="100"/>
        <c:baseTimeUnit val="months"/>
      </c:dateAx>
      <c:valAx>
        <c:axId val="223454720"/>
        <c:scaling>
          <c:orientation val="minMax"/>
          <c:max val="100"/>
        </c:scaling>
        <c:delete val="0"/>
        <c:axPos val="l"/>
        <c:majorGridlines/>
        <c:numFmt formatCode="0" sourceLinked="1"/>
        <c:majorTickMark val="out"/>
        <c:minorTickMark val="none"/>
        <c:tickLblPos val="nextTo"/>
        <c:crossAx val="223453184"/>
        <c:crosses val="autoZero"/>
        <c:crossBetween val="between"/>
      </c:valAx>
    </c:plotArea>
    <c:legend>
      <c:legendPos val="r"/>
      <c:layout>
        <c:manualLayout>
          <c:xMode val="edge"/>
          <c:yMode val="edge"/>
          <c:x val="6.3929142407687642E-2"/>
          <c:y val="0.46212979425958856"/>
          <c:w val="0.31436541930630002"/>
          <c:h val="0.25977774955549915"/>
        </c:manualLayout>
      </c:layout>
      <c:overlay val="0"/>
    </c:legend>
    <c:plotVisOnly val="1"/>
    <c:dispBlanksAs val="gap"/>
    <c:showDLblsOverMax val="0"/>
  </c:chart>
  <c:txPr>
    <a:bodyPr/>
    <a:lstStyle/>
    <a:p>
      <a:pPr>
        <a:defRPr sz="9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7C21-AAC9-4AF7-806C-95C6C849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RMOC position statement 2.6</Template>
  <TotalTime>0</TotalTime>
  <Pages>28</Pages>
  <Words>7236</Words>
  <Characters>41249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48389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Gillian</dc:creator>
  <cp:lastModifiedBy>Alvey, Alison</cp:lastModifiedBy>
  <cp:revision>2</cp:revision>
  <cp:lastPrinted>2019-04-11T15:25:00Z</cp:lastPrinted>
  <dcterms:created xsi:type="dcterms:W3CDTF">2019-06-25T08:31:00Z</dcterms:created>
  <dcterms:modified xsi:type="dcterms:W3CDTF">2019-06-25T08:31:00Z</dcterms:modified>
</cp:coreProperties>
</file>