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D71B" w14:textId="7D73C2CF" w:rsidR="00427F92" w:rsidRPr="004F24C2" w:rsidRDefault="00DF0F68" w:rsidP="00427F92">
      <w:pPr>
        <w:pStyle w:val="Heading1"/>
      </w:pPr>
      <w:r>
        <w:t>How should medicines</w:t>
      </w:r>
      <w:r w:rsidR="00231E33">
        <w:t xml:space="preserve"> be dosed in children</w:t>
      </w:r>
      <w:r>
        <w:t xml:space="preserve"> who are obese</w:t>
      </w:r>
      <w:r w:rsidR="00231E33">
        <w:t>?</w:t>
      </w:r>
      <w:r w:rsidR="003D0A29">
        <w:t xml:space="preserve"> </w:t>
      </w:r>
    </w:p>
    <w:p w14:paraId="1C442990" w14:textId="429992F1"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DD19D1">
        <w:fldChar w:fldCharType="begin"/>
      </w:r>
      <w:r w:rsidR="00DD19D1">
        <w:instrText xml:space="preserve"> HYPERLINK "http://www.ukmi.nhs.uk/ukmi/about/default.asp?pageRef=1" </w:instrText>
      </w:r>
      <w:r w:rsidR="00DD19D1">
        <w:fldChar w:fldCharType="separate"/>
      </w:r>
      <w:r w:rsidRPr="00B107C7">
        <w:rPr>
          <w:color w:val="0000FF"/>
          <w:szCs w:val="20"/>
          <w:u w:val="single"/>
          <w:lang w:val="en-US"/>
        </w:rPr>
        <w:t>UKMi</w:t>
      </w:r>
      <w:proofErr w:type="spellEnd"/>
      <w:r w:rsidR="00DD19D1">
        <w:rPr>
          <w:color w:val="0000FF"/>
          <w:szCs w:val="20"/>
          <w:u w:val="single"/>
          <w:lang w:val="en-US"/>
        </w:rPr>
        <w:fldChar w:fldCharType="end"/>
      </w:r>
      <w:r w:rsidRPr="00B107C7">
        <w:rPr>
          <w:szCs w:val="20"/>
          <w:lang w:val="en-US"/>
        </w:rPr>
        <w:t xml:space="preserve">) pharmacists </w:t>
      </w:r>
      <w:r w:rsidR="00757FF5">
        <w:rPr>
          <w:szCs w:val="20"/>
          <w:lang w:val="en-US"/>
        </w:rPr>
        <w:t xml:space="preserve">with input from the Neonatal and </w:t>
      </w:r>
      <w:proofErr w:type="spellStart"/>
      <w:r w:rsidR="00757FF5">
        <w:rPr>
          <w:szCs w:val="20"/>
          <w:lang w:val="en-US"/>
        </w:rPr>
        <w:t>Paediatric</w:t>
      </w:r>
      <w:proofErr w:type="spellEnd"/>
      <w:r w:rsidR="00757FF5">
        <w:rPr>
          <w:szCs w:val="20"/>
          <w:lang w:val="en-US"/>
        </w:rPr>
        <w:t xml:space="preserve"> Pharmacists Group (</w:t>
      </w:r>
      <w:hyperlink r:id="rId8" w:history="1">
        <w:r w:rsidR="00757FF5" w:rsidRPr="00757FF5">
          <w:rPr>
            <w:rStyle w:val="Hyperlink"/>
            <w:szCs w:val="20"/>
            <w:lang w:val="en-US"/>
          </w:rPr>
          <w:t>NPPG</w:t>
        </w:r>
      </w:hyperlink>
      <w:r w:rsidR="00757FF5">
        <w:rPr>
          <w:szCs w:val="20"/>
          <w:lang w:val="en-US"/>
        </w:rPr>
        <w:t xml:space="preserve">) </w:t>
      </w:r>
      <w:r w:rsidRPr="00B107C7">
        <w:rPr>
          <w:szCs w:val="20"/>
          <w:lang w:val="en-US"/>
        </w:rPr>
        <w:t>for NHS healthcare professionals</w:t>
      </w:r>
    </w:p>
    <w:p w14:paraId="7DFB2B70"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9" w:history="1">
        <w:r w:rsidRPr="00B107C7">
          <w:rPr>
            <w:rStyle w:val="Hyperlink"/>
            <w:rFonts w:cs="Arial"/>
            <w:i/>
            <w:iCs/>
            <w:sz w:val="18"/>
            <w:szCs w:val="18"/>
          </w:rPr>
          <w:t>https://www.sps.nhs.uk/articles/about-ukmi-medicines-qas/</w:t>
        </w:r>
      </w:hyperlink>
    </w:p>
    <w:p w14:paraId="27BE5562" w14:textId="5A0F28A9" w:rsidR="00427F92" w:rsidRDefault="00427F92" w:rsidP="00427F92">
      <w:pPr>
        <w:pStyle w:val="NoSpacing"/>
        <w:jc w:val="center"/>
        <w:rPr>
          <w:szCs w:val="20"/>
          <w:lang w:val="en-US"/>
        </w:rPr>
      </w:pPr>
      <w:r w:rsidRPr="00B107C7">
        <w:rPr>
          <w:szCs w:val="20"/>
          <w:lang w:val="en-US"/>
        </w:rPr>
        <w:t xml:space="preserve">Date </w:t>
      </w:r>
      <w:r w:rsidR="00790283">
        <w:rPr>
          <w:szCs w:val="20"/>
          <w:lang w:val="en-US"/>
        </w:rPr>
        <w:t>updated</w:t>
      </w:r>
      <w:r w:rsidRPr="00B107C7">
        <w:rPr>
          <w:szCs w:val="20"/>
          <w:lang w:val="en-US"/>
        </w:rPr>
        <w:t>:</w:t>
      </w:r>
      <w:r w:rsidR="002570D6">
        <w:rPr>
          <w:szCs w:val="20"/>
          <w:lang w:val="en-US"/>
        </w:rPr>
        <w:t xml:space="preserve"> </w:t>
      </w:r>
      <w:r w:rsidR="00EC5C98">
        <w:rPr>
          <w:szCs w:val="20"/>
          <w:lang w:val="en-US"/>
        </w:rPr>
        <w:t>7</w:t>
      </w:r>
      <w:r w:rsidR="004D7CDD" w:rsidRPr="0068479A">
        <w:rPr>
          <w:szCs w:val="20"/>
          <w:vertAlign w:val="superscript"/>
          <w:lang w:val="en-US"/>
        </w:rPr>
        <w:t>th</w:t>
      </w:r>
      <w:r w:rsidR="004D7CDD">
        <w:rPr>
          <w:szCs w:val="20"/>
          <w:lang w:val="en-US"/>
        </w:rPr>
        <w:t xml:space="preserve"> </w:t>
      </w:r>
      <w:r w:rsidR="00EC5C98">
        <w:rPr>
          <w:szCs w:val="20"/>
          <w:lang w:val="en-US"/>
        </w:rPr>
        <w:t>May</w:t>
      </w:r>
      <w:r w:rsidR="004D7CDD">
        <w:rPr>
          <w:szCs w:val="20"/>
          <w:lang w:val="en-US"/>
        </w:rPr>
        <w:t xml:space="preserve"> 2021</w:t>
      </w:r>
    </w:p>
    <w:p w14:paraId="13890550" w14:textId="77777777" w:rsidR="00B87895" w:rsidRPr="00B107C7" w:rsidRDefault="00B87895" w:rsidP="00427F92">
      <w:pPr>
        <w:pStyle w:val="NoSpacing"/>
        <w:jc w:val="center"/>
        <w:rPr>
          <w:szCs w:val="20"/>
          <w:lang w:val="en-US"/>
        </w:rPr>
      </w:pPr>
    </w:p>
    <w:p w14:paraId="4BDE6771" w14:textId="77777777"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2B66C2AC" w14:textId="77777777" w:rsidR="00331DCF" w:rsidRPr="00E27066" w:rsidRDefault="00331DCF" w:rsidP="0069588B">
      <w:pPr>
        <w:pStyle w:val="Heading2"/>
      </w:pPr>
      <w:r w:rsidRPr="0069588B">
        <w:t>Background</w:t>
      </w:r>
    </w:p>
    <w:p w14:paraId="386FB7BE" w14:textId="611C0FF3" w:rsidR="00AC7B10" w:rsidRDefault="00AC7B10" w:rsidP="008C5FFF">
      <w:pPr>
        <w:autoSpaceDE w:val="0"/>
        <w:autoSpaceDN w:val="0"/>
        <w:adjustRightInd w:val="0"/>
        <w:rPr>
          <w:rFonts w:cs="Arial"/>
        </w:rPr>
      </w:pPr>
      <w:r w:rsidRPr="00F32C16">
        <w:rPr>
          <w:rFonts w:cs="Arial"/>
        </w:rPr>
        <w:t xml:space="preserve">Childhood obesity is increasing </w:t>
      </w:r>
      <w:r>
        <w:rPr>
          <w:rFonts w:cs="Arial"/>
        </w:rPr>
        <w:t>in the UK and represents a serious and increasing global health problem (1</w:t>
      </w:r>
      <w:r w:rsidR="0068281E">
        <w:rPr>
          <w:rFonts w:cs="Arial"/>
        </w:rPr>
        <w:t>,</w:t>
      </w:r>
      <w:r>
        <w:rPr>
          <w:rFonts w:cs="Arial"/>
        </w:rPr>
        <w:t>2)</w:t>
      </w:r>
      <w:r w:rsidRPr="00F32C16">
        <w:rPr>
          <w:rFonts w:cs="Arial"/>
        </w:rPr>
        <w:t xml:space="preserve">. In England, about 3 in 10 children aged 2-15 years </w:t>
      </w:r>
      <w:r w:rsidR="007D17C9">
        <w:rPr>
          <w:rFonts w:cs="Arial"/>
        </w:rPr>
        <w:t xml:space="preserve">are </w:t>
      </w:r>
      <w:r w:rsidRPr="00F32C16">
        <w:rPr>
          <w:rFonts w:cs="Arial"/>
        </w:rPr>
        <w:t>overweight or obese</w:t>
      </w:r>
      <w:r>
        <w:rPr>
          <w:rFonts w:cs="Arial"/>
        </w:rPr>
        <w:t xml:space="preserve"> (2</w:t>
      </w:r>
      <w:r w:rsidR="008A6523">
        <w:rPr>
          <w:rFonts w:cs="Arial"/>
        </w:rPr>
        <w:t>,3</w:t>
      </w:r>
      <w:r>
        <w:rPr>
          <w:rFonts w:cs="Arial"/>
        </w:rPr>
        <w:t>)</w:t>
      </w:r>
      <w:r w:rsidRPr="00F32C16">
        <w:rPr>
          <w:rFonts w:cs="Arial"/>
        </w:rPr>
        <w:t>. Obesity is directly linked to many health problems including cardiovascular disease, type 2 diab</w:t>
      </w:r>
      <w:r>
        <w:rPr>
          <w:rFonts w:cs="Arial"/>
        </w:rPr>
        <w:t xml:space="preserve">etes </w:t>
      </w:r>
      <w:r w:rsidRPr="00F32C16">
        <w:rPr>
          <w:rFonts w:cs="Arial"/>
        </w:rPr>
        <w:t>and o</w:t>
      </w:r>
      <w:r>
        <w:rPr>
          <w:rFonts w:cs="Arial"/>
        </w:rPr>
        <w:t>bstructive sleep apnoea</w:t>
      </w:r>
      <w:r w:rsidRPr="00F32C16">
        <w:rPr>
          <w:rFonts w:cs="Arial"/>
        </w:rPr>
        <w:t xml:space="preserve">. It can also contribute to psychological and psychiatric morbidities. </w:t>
      </w:r>
      <w:r>
        <w:rPr>
          <w:rFonts w:cs="Arial"/>
        </w:rPr>
        <w:t xml:space="preserve"> As a result, healthcare professionals are increasingly likely to have under their care children with obesity-associated conditions requiring drug therapy</w:t>
      </w:r>
      <w:r w:rsidR="008F1078">
        <w:rPr>
          <w:rFonts w:cs="Arial"/>
        </w:rPr>
        <w:t xml:space="preserve"> (2)</w:t>
      </w:r>
      <w:r>
        <w:rPr>
          <w:rFonts w:cs="Arial"/>
        </w:rPr>
        <w:t xml:space="preserve">. </w:t>
      </w:r>
    </w:p>
    <w:p w14:paraId="6ECF61B6" w14:textId="71C8B864" w:rsidR="00AC7B10" w:rsidRPr="00F32C16" w:rsidRDefault="00AC7B10" w:rsidP="00AC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F32C16">
        <w:rPr>
          <w:rFonts w:cs="Arial"/>
        </w:rPr>
        <w:t xml:space="preserve">Childhood obesity is defined on the basis of weight and height, using body mass index (BMI). BMI </w:t>
      </w:r>
      <w:r>
        <w:rPr>
          <w:rFonts w:cs="Arial"/>
        </w:rPr>
        <w:t xml:space="preserve">(adjusted for age and gender) </w:t>
      </w:r>
      <w:r w:rsidRPr="00F32C16">
        <w:rPr>
          <w:rFonts w:cs="Arial"/>
        </w:rPr>
        <w:t xml:space="preserve">should be used as a practical estimation of body fat </w:t>
      </w:r>
      <w:r>
        <w:rPr>
          <w:rFonts w:cs="Arial"/>
        </w:rPr>
        <w:t xml:space="preserve">in children and young people </w:t>
      </w:r>
      <w:r w:rsidRPr="00F32C16">
        <w:rPr>
          <w:rFonts w:cs="Arial"/>
        </w:rPr>
        <w:t>(</w:t>
      </w:r>
      <w:r>
        <w:rPr>
          <w:rFonts w:cs="Arial"/>
        </w:rPr>
        <w:t>2</w:t>
      </w:r>
      <w:r w:rsidR="0068281E">
        <w:rPr>
          <w:rFonts w:cs="Arial"/>
        </w:rPr>
        <w:t>,</w:t>
      </w:r>
      <w:r w:rsidR="008A6523">
        <w:rPr>
          <w:rFonts w:cs="Arial"/>
        </w:rPr>
        <w:t>4</w:t>
      </w:r>
      <w:r>
        <w:rPr>
          <w:rFonts w:cs="Arial"/>
        </w:rPr>
        <w:t>)</w:t>
      </w:r>
      <w:r w:rsidRPr="00F32C16">
        <w:rPr>
          <w:rFonts w:cs="Arial"/>
        </w:rPr>
        <w:t>. However, it should be interpreted with caution as it is not a direct measure of adiposity</w:t>
      </w:r>
      <w:r>
        <w:rPr>
          <w:rFonts w:cs="Arial"/>
        </w:rPr>
        <w:t xml:space="preserve"> (2)</w:t>
      </w:r>
      <w:r w:rsidRPr="00F32C16">
        <w:rPr>
          <w:rFonts w:cs="Arial"/>
        </w:rPr>
        <w:t>. Assessing the BMI of children is more complicated than for adults because it changes as they grow and mature, with different growth patterns seen between boys and girls</w:t>
      </w:r>
      <w:r>
        <w:rPr>
          <w:rFonts w:cs="Arial"/>
        </w:rPr>
        <w:t xml:space="preserve"> (</w:t>
      </w:r>
      <w:r w:rsidR="008A6523">
        <w:rPr>
          <w:rFonts w:cs="Arial"/>
        </w:rPr>
        <w:t>4</w:t>
      </w:r>
      <w:r>
        <w:rPr>
          <w:rFonts w:cs="Arial"/>
        </w:rPr>
        <w:t>)</w:t>
      </w:r>
      <w:r w:rsidRPr="00F32C16">
        <w:rPr>
          <w:rFonts w:cs="Arial"/>
        </w:rPr>
        <w:t>. Public Health England advises that the British 1990 (UK90) growth reference charts should be used to determine the weight status of children. A child ≥ the 91st centile is classified as overweight, and as obese if ≥ the 98th centile</w:t>
      </w:r>
      <w:r>
        <w:rPr>
          <w:rFonts w:cs="Arial"/>
        </w:rPr>
        <w:t xml:space="preserve"> (</w:t>
      </w:r>
      <w:r w:rsidR="008A6523">
        <w:rPr>
          <w:rFonts w:cs="Arial"/>
        </w:rPr>
        <w:t>4</w:t>
      </w:r>
      <w:r>
        <w:rPr>
          <w:rFonts w:cs="Arial"/>
        </w:rPr>
        <w:t>)</w:t>
      </w:r>
      <w:r w:rsidRPr="00F32C16">
        <w:rPr>
          <w:rFonts w:cs="Arial"/>
        </w:rPr>
        <w:t>.</w:t>
      </w:r>
      <w:r w:rsidR="00D60776">
        <w:rPr>
          <w:rFonts w:cs="Arial"/>
        </w:rPr>
        <w:t xml:space="preserve"> </w:t>
      </w:r>
      <w:r w:rsidR="0089552F">
        <w:rPr>
          <w:rFonts w:cs="Arial"/>
        </w:rPr>
        <w:t xml:space="preserve">The </w:t>
      </w:r>
      <w:r w:rsidR="00DD19D1">
        <w:rPr>
          <w:rFonts w:cs="Arial"/>
        </w:rPr>
        <w:t>Royal College of Paediatrics and Child Health</w:t>
      </w:r>
      <w:r w:rsidR="00F172AB">
        <w:rPr>
          <w:rFonts w:cs="Arial"/>
        </w:rPr>
        <w:t xml:space="preserve"> (RCPCH)</w:t>
      </w:r>
      <w:r w:rsidR="00DD19D1">
        <w:rPr>
          <w:rFonts w:cs="Arial"/>
        </w:rPr>
        <w:t xml:space="preserve"> </w:t>
      </w:r>
      <w:hyperlink r:id="rId10" w:history="1">
        <w:r w:rsidR="00DD19D1" w:rsidRPr="00DD19D1">
          <w:rPr>
            <w:rStyle w:val="Hyperlink"/>
            <w:rFonts w:cs="Arial"/>
          </w:rPr>
          <w:t>BMI chart</w:t>
        </w:r>
      </w:hyperlink>
      <w:r w:rsidR="000309E3">
        <w:rPr>
          <w:rStyle w:val="Hyperlink"/>
          <w:rFonts w:cs="Arial"/>
        </w:rPr>
        <w:t xml:space="preserve"> or UK-WHO </w:t>
      </w:r>
      <w:hyperlink r:id="rId11" w:history="1">
        <w:r w:rsidR="000309E3" w:rsidRPr="000309E3">
          <w:rPr>
            <w:rStyle w:val="Hyperlink"/>
            <w:rFonts w:cs="Arial"/>
          </w:rPr>
          <w:t>growth charts</w:t>
        </w:r>
      </w:hyperlink>
      <w:r w:rsidR="00DD19D1">
        <w:rPr>
          <w:rFonts w:cs="Arial"/>
        </w:rPr>
        <w:t xml:space="preserve"> </w:t>
      </w:r>
      <w:r w:rsidR="0089552F">
        <w:rPr>
          <w:rFonts w:cs="Arial"/>
        </w:rPr>
        <w:t xml:space="preserve">can be used to determine a child’s BMI centile. </w:t>
      </w:r>
    </w:p>
    <w:p w14:paraId="67A0415D" w14:textId="29B6797B" w:rsidR="006D1385" w:rsidRDefault="00AC7B10" w:rsidP="006D1385">
      <w:r w:rsidRPr="006D7298">
        <w:rPr>
          <w:rFonts w:cs="Arial"/>
        </w:rPr>
        <w:t xml:space="preserve">Findings from a study by Collier </w:t>
      </w:r>
      <w:r w:rsidRPr="008C5FFF">
        <w:rPr>
          <w:rFonts w:cs="Arial"/>
          <w:i/>
        </w:rPr>
        <w:t>et al</w:t>
      </w:r>
      <w:r>
        <w:rPr>
          <w:rFonts w:cs="Arial"/>
        </w:rPr>
        <w:t>. suggests</w:t>
      </w:r>
      <w:r w:rsidRPr="006D7298">
        <w:rPr>
          <w:rFonts w:cs="Arial"/>
        </w:rPr>
        <w:t xml:space="preserve"> that </w:t>
      </w:r>
      <w:r>
        <w:rPr>
          <w:rFonts w:cs="Arial"/>
        </w:rPr>
        <w:t>the majority of</w:t>
      </w:r>
      <w:r w:rsidRPr="006D7298">
        <w:rPr>
          <w:rFonts w:cs="Arial"/>
        </w:rPr>
        <w:t xml:space="preserve"> paediatric prescribers d</w:t>
      </w:r>
      <w:r>
        <w:rPr>
          <w:rFonts w:cs="Arial"/>
        </w:rPr>
        <w:t>o</w:t>
      </w:r>
      <w:r w:rsidRPr="006D7298">
        <w:rPr>
          <w:rFonts w:cs="Arial"/>
        </w:rPr>
        <w:t xml:space="preserve"> not </w:t>
      </w:r>
      <w:r>
        <w:rPr>
          <w:rFonts w:cs="Arial"/>
        </w:rPr>
        <w:t xml:space="preserve">calculate BMI to </w:t>
      </w:r>
      <w:r w:rsidRPr="006D7298">
        <w:rPr>
          <w:rFonts w:cs="Arial"/>
        </w:rPr>
        <w:t xml:space="preserve">determine whether a child </w:t>
      </w:r>
      <w:r>
        <w:rPr>
          <w:rFonts w:cs="Arial"/>
        </w:rPr>
        <w:t>i</w:t>
      </w:r>
      <w:r w:rsidRPr="006D7298">
        <w:rPr>
          <w:rFonts w:cs="Arial"/>
        </w:rPr>
        <w:t xml:space="preserve">s obese when </w:t>
      </w:r>
      <w:r>
        <w:rPr>
          <w:rFonts w:cs="Arial"/>
        </w:rPr>
        <w:t>prescribing medication</w:t>
      </w:r>
      <w:r w:rsidR="008F1078">
        <w:rPr>
          <w:rFonts w:cs="Arial"/>
        </w:rPr>
        <w:t xml:space="preserve"> (1)</w:t>
      </w:r>
      <w:r w:rsidR="00CE60B7">
        <w:rPr>
          <w:rFonts w:cs="Arial"/>
        </w:rPr>
        <w:t xml:space="preserve">. </w:t>
      </w:r>
      <w:r w:rsidR="006D1385">
        <w:t>Currently, height is not routinely measured at the point of admission to hospital (</w:t>
      </w:r>
      <w:r w:rsidR="008A6523">
        <w:t>5</w:t>
      </w:r>
      <w:r w:rsidR="006D1385">
        <w:t>). Without a recent height it is not possible to determine a child’s BMI centile to identify if they are obese.</w:t>
      </w:r>
    </w:p>
    <w:p w14:paraId="6D667458" w14:textId="55E83075" w:rsidR="00AC7B10" w:rsidRDefault="00AC7B10" w:rsidP="00AC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Identifying whether a child is obese is important as b</w:t>
      </w:r>
      <w:r w:rsidRPr="006D7298">
        <w:rPr>
          <w:rFonts w:cs="Arial"/>
        </w:rPr>
        <w:t xml:space="preserve">ody composition and physiological changes in </w:t>
      </w:r>
      <w:r>
        <w:rPr>
          <w:rFonts w:cs="Arial"/>
        </w:rPr>
        <w:t>obesity</w:t>
      </w:r>
      <w:r w:rsidRPr="006D7298">
        <w:rPr>
          <w:rFonts w:cs="Arial"/>
        </w:rPr>
        <w:t xml:space="preserve"> can affect drug pharmacokinetics and the distribution of drugs into tissues (</w:t>
      </w:r>
      <w:r w:rsidR="008A6523">
        <w:rPr>
          <w:rFonts w:cs="Arial"/>
        </w:rPr>
        <w:t>6</w:t>
      </w:r>
      <w:r w:rsidR="0068281E">
        <w:rPr>
          <w:rFonts w:cs="Arial"/>
        </w:rPr>
        <w:t>,</w:t>
      </w:r>
      <w:r w:rsidR="008A6523">
        <w:rPr>
          <w:rFonts w:cs="Arial"/>
        </w:rPr>
        <w:t>7</w:t>
      </w:r>
      <w:r w:rsidRPr="006D7298">
        <w:rPr>
          <w:rFonts w:cs="Arial"/>
        </w:rPr>
        <w:t>).</w:t>
      </w:r>
    </w:p>
    <w:p w14:paraId="0E8A47A9" w14:textId="0F876A04" w:rsidR="00AC7B10" w:rsidRDefault="00AC7B10" w:rsidP="00AC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C439AB">
        <w:rPr>
          <w:rFonts w:cs="Arial"/>
        </w:rPr>
        <w:t xml:space="preserve">Traditionally, children are dosed </w:t>
      </w:r>
      <w:r w:rsidR="00667B31">
        <w:rPr>
          <w:rFonts w:cs="Arial"/>
        </w:rPr>
        <w:t>according to</w:t>
      </w:r>
      <w:r w:rsidRPr="00C439AB">
        <w:rPr>
          <w:rFonts w:cs="Arial"/>
        </w:rPr>
        <w:t xml:space="preserve"> </w:t>
      </w:r>
      <w:r w:rsidR="00667B31">
        <w:rPr>
          <w:rFonts w:cs="Arial"/>
        </w:rPr>
        <w:t>their</w:t>
      </w:r>
      <w:r w:rsidRPr="00C439AB">
        <w:rPr>
          <w:rFonts w:cs="Arial"/>
        </w:rPr>
        <w:t xml:space="preserve"> body</w:t>
      </w:r>
      <w:r w:rsidR="00800E83">
        <w:rPr>
          <w:rFonts w:cs="Arial"/>
        </w:rPr>
        <w:t>-</w:t>
      </w:r>
      <w:r w:rsidRPr="00C439AB">
        <w:rPr>
          <w:rFonts w:cs="Arial"/>
        </w:rPr>
        <w:t xml:space="preserve">weight </w:t>
      </w:r>
      <w:r w:rsidR="00304B66">
        <w:rPr>
          <w:rFonts w:cs="Arial"/>
        </w:rPr>
        <w:t>or age, as a surrogate of ‘normal’ size and function</w:t>
      </w:r>
      <w:r w:rsidRPr="00C439AB">
        <w:rPr>
          <w:rFonts w:cs="Arial"/>
        </w:rPr>
        <w:t xml:space="preserve"> (</w:t>
      </w:r>
      <w:r w:rsidR="008A6523">
        <w:rPr>
          <w:rFonts w:cs="Arial"/>
        </w:rPr>
        <w:t>6</w:t>
      </w:r>
      <w:r w:rsidRPr="00C439AB">
        <w:rPr>
          <w:rFonts w:cs="Arial"/>
        </w:rPr>
        <w:t>). However, as the increase in weight in children</w:t>
      </w:r>
      <w:r w:rsidR="009B5F4E">
        <w:rPr>
          <w:rFonts w:cs="Arial"/>
        </w:rPr>
        <w:t xml:space="preserve"> living with obesity</w:t>
      </w:r>
      <w:r w:rsidRPr="00C439AB">
        <w:rPr>
          <w:rFonts w:cs="Arial"/>
        </w:rPr>
        <w:t xml:space="preserve"> is not composed of similar proportions of fat and lean tissu</w:t>
      </w:r>
      <w:r w:rsidR="00EA1926">
        <w:rPr>
          <w:rFonts w:cs="Arial"/>
        </w:rPr>
        <w:t>e</w:t>
      </w:r>
      <w:r w:rsidRPr="00C439AB">
        <w:rPr>
          <w:rFonts w:cs="Arial"/>
        </w:rPr>
        <w:t xml:space="preserve">, there is a risk of overdose if </w:t>
      </w:r>
      <w:r w:rsidR="00667B31">
        <w:rPr>
          <w:rFonts w:cs="Arial"/>
        </w:rPr>
        <w:t>total body weight (</w:t>
      </w:r>
      <w:r w:rsidRPr="00C439AB">
        <w:rPr>
          <w:rFonts w:cs="Arial"/>
        </w:rPr>
        <w:t>TBW</w:t>
      </w:r>
      <w:r w:rsidR="00667B31">
        <w:rPr>
          <w:rFonts w:cs="Arial"/>
        </w:rPr>
        <w:t>)</w:t>
      </w:r>
      <w:r w:rsidRPr="00C439AB">
        <w:rPr>
          <w:rFonts w:cs="Arial"/>
        </w:rPr>
        <w:t xml:space="preserve"> is used during weight-based dosing of certain drugs (</w:t>
      </w:r>
      <w:r w:rsidR="008A6523">
        <w:rPr>
          <w:rFonts w:cs="Arial"/>
        </w:rPr>
        <w:t>5</w:t>
      </w:r>
      <w:r w:rsidR="0068281E">
        <w:rPr>
          <w:rFonts w:cs="Arial"/>
        </w:rPr>
        <w:t>,</w:t>
      </w:r>
      <w:r w:rsidR="008A6523">
        <w:rPr>
          <w:rFonts w:cs="Arial"/>
        </w:rPr>
        <w:t>6</w:t>
      </w:r>
      <w:r w:rsidRPr="00C439AB">
        <w:rPr>
          <w:rFonts w:cs="Arial"/>
        </w:rPr>
        <w:t>).</w:t>
      </w:r>
    </w:p>
    <w:p w14:paraId="24A00B53" w14:textId="415E7E4F" w:rsidR="0090156C" w:rsidRDefault="00AC7B10" w:rsidP="00AC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There is a lack of pharmacokinetic studies on individual drugs in children</w:t>
      </w:r>
      <w:r w:rsidR="009B5F4E">
        <w:rPr>
          <w:rFonts w:cs="Arial"/>
        </w:rPr>
        <w:t xml:space="preserve"> who are obese</w:t>
      </w:r>
      <w:r>
        <w:rPr>
          <w:rFonts w:cs="Arial"/>
        </w:rPr>
        <w:t xml:space="preserve"> and </w:t>
      </w:r>
      <w:r w:rsidR="009B5F4E">
        <w:rPr>
          <w:rFonts w:cs="Arial"/>
        </w:rPr>
        <w:t xml:space="preserve">these </w:t>
      </w:r>
      <w:r>
        <w:rPr>
          <w:rFonts w:cs="Arial"/>
        </w:rPr>
        <w:t>patients are rarely included in trials during drug development (</w:t>
      </w:r>
      <w:r w:rsidR="008A6523">
        <w:rPr>
          <w:rFonts w:cs="Arial"/>
        </w:rPr>
        <w:t>6</w:t>
      </w:r>
      <w:r>
        <w:rPr>
          <w:rFonts w:cs="Arial"/>
        </w:rPr>
        <w:t>,</w:t>
      </w:r>
      <w:r w:rsidR="008A6523">
        <w:rPr>
          <w:rFonts w:cs="Arial"/>
        </w:rPr>
        <w:t>8</w:t>
      </w:r>
      <w:r>
        <w:rPr>
          <w:rFonts w:cs="Arial"/>
        </w:rPr>
        <w:t>).</w:t>
      </w:r>
      <w:r w:rsidR="00915684">
        <w:rPr>
          <w:rFonts w:cs="Arial"/>
        </w:rPr>
        <w:t xml:space="preserve"> </w:t>
      </w:r>
      <w:r w:rsidRPr="00F32C16">
        <w:rPr>
          <w:rFonts w:cs="Arial"/>
        </w:rPr>
        <w:t xml:space="preserve">Determining whether </w:t>
      </w:r>
      <w:r>
        <w:rPr>
          <w:rFonts w:cs="Arial"/>
        </w:rPr>
        <w:t xml:space="preserve">drug </w:t>
      </w:r>
      <w:r w:rsidRPr="00F32C16">
        <w:rPr>
          <w:rFonts w:cs="Arial"/>
        </w:rPr>
        <w:t>dos</w:t>
      </w:r>
      <w:r>
        <w:rPr>
          <w:rFonts w:cs="Arial"/>
        </w:rPr>
        <w:t>e</w:t>
      </w:r>
      <w:r w:rsidRPr="00F32C16">
        <w:rPr>
          <w:rFonts w:cs="Arial"/>
        </w:rPr>
        <w:t xml:space="preserve"> adjustments are necessary</w:t>
      </w:r>
      <w:r>
        <w:rPr>
          <w:rFonts w:cs="Arial"/>
        </w:rPr>
        <w:t xml:space="preserve"> is b</w:t>
      </w:r>
      <w:r w:rsidRPr="00F32C16">
        <w:rPr>
          <w:rFonts w:cs="Arial"/>
        </w:rPr>
        <w:t xml:space="preserve">ecoming an </w:t>
      </w:r>
      <w:r w:rsidR="00DD19D1" w:rsidRPr="00F32C16">
        <w:rPr>
          <w:rFonts w:cs="Arial"/>
        </w:rPr>
        <w:t>ever-increasing</w:t>
      </w:r>
      <w:r w:rsidRPr="00F32C16">
        <w:rPr>
          <w:rFonts w:cs="Arial"/>
        </w:rPr>
        <w:t xml:space="preserve"> dilemma and </w:t>
      </w:r>
      <w:r>
        <w:rPr>
          <w:rFonts w:cs="Arial"/>
        </w:rPr>
        <w:t xml:space="preserve">in the absence of clear guidance, </w:t>
      </w:r>
      <w:r w:rsidRPr="00F32C16">
        <w:rPr>
          <w:rFonts w:cs="Arial"/>
        </w:rPr>
        <w:t>decisions are</w:t>
      </w:r>
      <w:r>
        <w:rPr>
          <w:rFonts w:cs="Arial"/>
        </w:rPr>
        <w:t xml:space="preserve"> often</w:t>
      </w:r>
      <w:r w:rsidRPr="00F32C16">
        <w:rPr>
          <w:rFonts w:cs="Arial"/>
        </w:rPr>
        <w:t xml:space="preserve"> left at the discretion and experience of prescriber</w:t>
      </w:r>
      <w:r>
        <w:rPr>
          <w:rFonts w:cs="Arial"/>
        </w:rPr>
        <w:t>s (</w:t>
      </w:r>
      <w:r w:rsidR="008A6523">
        <w:rPr>
          <w:rFonts w:cs="Arial"/>
        </w:rPr>
        <w:t>9</w:t>
      </w:r>
      <w:r w:rsidRPr="00F32C16">
        <w:rPr>
          <w:rFonts w:cs="Arial"/>
        </w:rPr>
        <w:t>).</w:t>
      </w:r>
      <w:r>
        <w:rPr>
          <w:rFonts w:cs="Arial"/>
        </w:rPr>
        <w:t xml:space="preserve"> </w:t>
      </w:r>
    </w:p>
    <w:p w14:paraId="0A9D76E7" w14:textId="0947D942" w:rsidR="00B87895" w:rsidRDefault="009F4B6B" w:rsidP="00AC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 xml:space="preserve">Due to the potential for differences in drug handling and pharmacokinetics in infants and neonates, this Q&amp;A is not applicable to children under the age of 2.  </w:t>
      </w:r>
      <w:r w:rsidR="00B87895">
        <w:rPr>
          <w:rFonts w:cs="Arial"/>
        </w:rPr>
        <w:br/>
      </w:r>
    </w:p>
    <w:p w14:paraId="411E8A14" w14:textId="77777777" w:rsidR="00331DCF" w:rsidRPr="00065DA6" w:rsidRDefault="00331DCF" w:rsidP="0069588B">
      <w:pPr>
        <w:pStyle w:val="Heading2"/>
      </w:pPr>
      <w:r w:rsidRPr="0069588B">
        <w:t>Answer</w:t>
      </w:r>
    </w:p>
    <w:p w14:paraId="4BA3FD6D" w14:textId="299F9D07" w:rsidR="00331DCF" w:rsidRPr="00065DA6" w:rsidRDefault="00331DCF" w:rsidP="00331DCF">
      <w:pPr>
        <w:pStyle w:val="Heading2"/>
        <w:spacing w:line="276" w:lineRule="auto"/>
        <w:rPr>
          <w:sz w:val="20"/>
        </w:rPr>
      </w:pPr>
      <w:r>
        <w:rPr>
          <w:sz w:val="20"/>
        </w:rPr>
        <w:t xml:space="preserve">Pharmacokinetics in </w:t>
      </w:r>
      <w:proofErr w:type="spellStart"/>
      <w:r>
        <w:rPr>
          <w:sz w:val="20"/>
        </w:rPr>
        <w:t>paediatric</w:t>
      </w:r>
      <w:proofErr w:type="spellEnd"/>
      <w:r>
        <w:rPr>
          <w:sz w:val="20"/>
        </w:rPr>
        <w:t xml:space="preserve"> obesity</w:t>
      </w:r>
      <w:r w:rsidR="0069588B">
        <w:rPr>
          <w:sz w:val="20"/>
        </w:rPr>
        <w:t xml:space="preserve"> </w:t>
      </w:r>
    </w:p>
    <w:p w14:paraId="16FAD7E5" w14:textId="0B0E1874" w:rsidR="00522EE2" w:rsidRDefault="000D5D2F" w:rsidP="00522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lang w:val="en-US"/>
        </w:rPr>
      </w:pPr>
      <w:r>
        <w:rPr>
          <w:rFonts w:cs="Arial"/>
          <w:szCs w:val="20"/>
        </w:rPr>
        <w:t>Pharmacokinetic (PK) alterations</w:t>
      </w:r>
      <w:r w:rsidRPr="00FD3D5C">
        <w:rPr>
          <w:rFonts w:cs="Arial"/>
          <w:szCs w:val="20"/>
        </w:rPr>
        <w:t xml:space="preserve"> occur in obesity due to changes in body composition and physiology.</w:t>
      </w:r>
      <w:r>
        <w:rPr>
          <w:rFonts w:cs="Arial"/>
          <w:szCs w:val="20"/>
        </w:rPr>
        <w:t xml:space="preserve"> </w:t>
      </w:r>
      <w:r w:rsidR="00522EE2" w:rsidRPr="00F32C16">
        <w:rPr>
          <w:rFonts w:cs="Arial"/>
          <w:szCs w:val="20"/>
          <w:lang w:val="en-US"/>
        </w:rPr>
        <w:t>It is important to consider the consequences of these changes as failure to adjust doses appropriately in patients</w:t>
      </w:r>
      <w:r w:rsidR="009B5F4E">
        <w:rPr>
          <w:rFonts w:cs="Arial"/>
          <w:szCs w:val="20"/>
          <w:lang w:val="en-US"/>
        </w:rPr>
        <w:t xml:space="preserve"> who are obese</w:t>
      </w:r>
      <w:r w:rsidR="00522EE2" w:rsidRPr="00F32C16">
        <w:rPr>
          <w:rFonts w:cs="Arial"/>
          <w:szCs w:val="20"/>
          <w:lang w:val="en-US"/>
        </w:rPr>
        <w:t xml:space="preserve"> may result in therapeutic failure or </w:t>
      </w:r>
      <w:r w:rsidR="0003487B">
        <w:rPr>
          <w:rFonts w:cs="Arial"/>
          <w:szCs w:val="20"/>
          <w:lang w:val="en-US"/>
        </w:rPr>
        <w:t xml:space="preserve">drug-related toxicity </w:t>
      </w:r>
      <w:r w:rsidR="00522EE2" w:rsidRPr="00F32C16">
        <w:rPr>
          <w:rFonts w:cs="Arial"/>
          <w:szCs w:val="20"/>
          <w:lang w:val="en-US"/>
        </w:rPr>
        <w:t>(</w:t>
      </w:r>
      <w:r w:rsidR="008A6523">
        <w:rPr>
          <w:rFonts w:cs="Arial"/>
          <w:szCs w:val="20"/>
          <w:lang w:val="en-US"/>
        </w:rPr>
        <w:t>5</w:t>
      </w:r>
      <w:r w:rsidR="00A1261C">
        <w:rPr>
          <w:rFonts w:cs="Arial"/>
          <w:szCs w:val="20"/>
          <w:lang w:val="en-US"/>
        </w:rPr>
        <w:t>,</w:t>
      </w:r>
      <w:r w:rsidR="008A6523">
        <w:rPr>
          <w:rFonts w:cs="Arial"/>
          <w:szCs w:val="20"/>
          <w:lang w:val="en-US"/>
        </w:rPr>
        <w:t>10</w:t>
      </w:r>
      <w:r w:rsidR="009063C9">
        <w:rPr>
          <w:rFonts w:cs="Arial"/>
          <w:szCs w:val="20"/>
          <w:lang w:val="en-US"/>
        </w:rPr>
        <w:t xml:space="preserve">). </w:t>
      </w:r>
    </w:p>
    <w:p w14:paraId="30392118" w14:textId="77777777" w:rsidR="00F35384" w:rsidRDefault="00F35384" w:rsidP="00F35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rPr>
      </w:pPr>
    </w:p>
    <w:p w14:paraId="1AB75257" w14:textId="6F675911" w:rsidR="00F35384" w:rsidRDefault="00065A97" w:rsidP="00F35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rPr>
      </w:pPr>
      <w:r w:rsidRPr="00F32C16">
        <w:rPr>
          <w:rFonts w:cs="Arial"/>
          <w:szCs w:val="20"/>
        </w:rPr>
        <w:lastRenderedPageBreak/>
        <w:t xml:space="preserve">Wells </w:t>
      </w:r>
      <w:r w:rsidRPr="00B148BA">
        <w:rPr>
          <w:rFonts w:cs="Arial"/>
          <w:i/>
          <w:szCs w:val="20"/>
        </w:rPr>
        <w:t>et al</w:t>
      </w:r>
      <w:r w:rsidR="00B148BA" w:rsidRPr="00B148BA">
        <w:rPr>
          <w:rFonts w:cs="Arial"/>
          <w:i/>
          <w:szCs w:val="20"/>
        </w:rPr>
        <w:t>.</w:t>
      </w:r>
      <w:r w:rsidRPr="00F32C16">
        <w:rPr>
          <w:rFonts w:cs="Arial"/>
          <w:szCs w:val="20"/>
        </w:rPr>
        <w:t xml:space="preserve"> compared body composition in overweight, obese and </w:t>
      </w:r>
      <w:r w:rsidR="00197BAF">
        <w:rPr>
          <w:rFonts w:cs="Arial"/>
          <w:szCs w:val="20"/>
        </w:rPr>
        <w:t>‘</w:t>
      </w:r>
      <w:r w:rsidR="009D31A6">
        <w:rPr>
          <w:rFonts w:cs="Arial"/>
          <w:szCs w:val="20"/>
        </w:rPr>
        <w:t>normal</w:t>
      </w:r>
      <w:r w:rsidR="00197BAF">
        <w:rPr>
          <w:rFonts w:cs="Arial"/>
          <w:szCs w:val="20"/>
        </w:rPr>
        <w:t>’</w:t>
      </w:r>
      <w:r w:rsidR="009D31A6">
        <w:rPr>
          <w:rFonts w:cs="Arial"/>
          <w:szCs w:val="20"/>
        </w:rPr>
        <w:t xml:space="preserve"> weight</w:t>
      </w:r>
      <w:r w:rsidR="009D31A6" w:rsidRPr="00F32C16">
        <w:rPr>
          <w:rFonts w:cs="Arial"/>
          <w:szCs w:val="20"/>
        </w:rPr>
        <w:t xml:space="preserve"> </w:t>
      </w:r>
      <w:r w:rsidRPr="00F32C16">
        <w:rPr>
          <w:rFonts w:cs="Arial"/>
          <w:szCs w:val="20"/>
        </w:rPr>
        <w:t>children</w:t>
      </w:r>
      <w:r>
        <w:rPr>
          <w:rFonts w:cs="Arial"/>
          <w:szCs w:val="20"/>
        </w:rPr>
        <w:t xml:space="preserve"> (</w:t>
      </w:r>
      <w:r w:rsidR="0075310A">
        <w:rPr>
          <w:rFonts w:cs="Arial"/>
          <w:szCs w:val="20"/>
        </w:rPr>
        <w:t>1</w:t>
      </w:r>
      <w:r w:rsidR="008A6523">
        <w:rPr>
          <w:rFonts w:cs="Arial"/>
          <w:szCs w:val="20"/>
        </w:rPr>
        <w:t>1</w:t>
      </w:r>
      <w:r>
        <w:rPr>
          <w:rFonts w:cs="Arial"/>
          <w:szCs w:val="20"/>
        </w:rPr>
        <w:t>)</w:t>
      </w:r>
      <w:r w:rsidRPr="00F32C16">
        <w:rPr>
          <w:rFonts w:cs="Arial"/>
          <w:szCs w:val="20"/>
        </w:rPr>
        <w:t xml:space="preserve">. </w:t>
      </w:r>
      <w:r w:rsidR="009B5F4E">
        <w:rPr>
          <w:rFonts w:cs="Arial"/>
          <w:szCs w:val="20"/>
        </w:rPr>
        <w:t>C</w:t>
      </w:r>
      <w:r w:rsidRPr="00F32C16">
        <w:rPr>
          <w:rFonts w:cs="Arial"/>
          <w:szCs w:val="20"/>
        </w:rPr>
        <w:t>hildren</w:t>
      </w:r>
      <w:r w:rsidR="009B5F4E">
        <w:rPr>
          <w:rFonts w:cs="Arial"/>
          <w:szCs w:val="20"/>
        </w:rPr>
        <w:t xml:space="preserve"> living with obesity</w:t>
      </w:r>
      <w:r w:rsidRPr="00F32C16">
        <w:rPr>
          <w:rFonts w:cs="Arial"/>
          <w:szCs w:val="20"/>
        </w:rPr>
        <w:t xml:space="preserve"> were on average 3.9 cm taller and had significantly higher total body water, body volume, lean mass, fat mass and bone mineral content than normal</w:t>
      </w:r>
      <w:r w:rsidR="00761E69">
        <w:rPr>
          <w:rFonts w:cs="Arial"/>
          <w:szCs w:val="20"/>
        </w:rPr>
        <w:t>-</w:t>
      </w:r>
      <w:r>
        <w:rPr>
          <w:rFonts w:cs="Arial"/>
          <w:szCs w:val="20"/>
        </w:rPr>
        <w:t>weight children. They also had</w:t>
      </w:r>
      <w:r w:rsidRPr="00F32C16">
        <w:rPr>
          <w:rFonts w:cs="Arial"/>
          <w:szCs w:val="20"/>
        </w:rPr>
        <w:t xml:space="preserve"> an increased</w:t>
      </w:r>
      <w:r>
        <w:rPr>
          <w:rFonts w:cs="Arial"/>
          <w:szCs w:val="20"/>
        </w:rPr>
        <w:t xml:space="preserve"> hydration of lean mass which they attribute</w:t>
      </w:r>
      <w:r w:rsidR="004D090C">
        <w:rPr>
          <w:rFonts w:cs="Arial"/>
          <w:szCs w:val="20"/>
        </w:rPr>
        <w:t>d</w:t>
      </w:r>
      <w:r w:rsidRPr="00F32C16">
        <w:rPr>
          <w:rFonts w:cs="Arial"/>
          <w:szCs w:val="20"/>
        </w:rPr>
        <w:t xml:space="preserve"> to increased extracellular water. The increases in fat mass </w:t>
      </w:r>
      <w:r w:rsidR="004D090C">
        <w:rPr>
          <w:rFonts w:cs="Arial"/>
          <w:szCs w:val="20"/>
        </w:rPr>
        <w:t>were</w:t>
      </w:r>
      <w:r w:rsidRPr="00F32C16">
        <w:rPr>
          <w:rFonts w:cs="Arial"/>
          <w:szCs w:val="20"/>
        </w:rPr>
        <w:t xml:space="preserve"> substantially more than that of lean mass. While this varies between individuals and ethnic groups, approximately 75% of excess weight may be assumed to be fat mass and the remaini</w:t>
      </w:r>
      <w:r>
        <w:rPr>
          <w:rFonts w:cs="Arial"/>
          <w:szCs w:val="20"/>
        </w:rPr>
        <w:t xml:space="preserve">ng 25% </w:t>
      </w:r>
      <w:r w:rsidR="00883A41">
        <w:rPr>
          <w:rFonts w:cs="Arial"/>
          <w:szCs w:val="20"/>
        </w:rPr>
        <w:t xml:space="preserve">to be </w:t>
      </w:r>
      <w:r>
        <w:rPr>
          <w:rFonts w:cs="Arial"/>
          <w:szCs w:val="20"/>
        </w:rPr>
        <w:t>lean mass</w:t>
      </w:r>
      <w:r w:rsidR="00F769D7">
        <w:rPr>
          <w:rFonts w:cs="Arial"/>
          <w:szCs w:val="20"/>
        </w:rPr>
        <w:t xml:space="preserve"> (</w:t>
      </w:r>
      <w:r w:rsidR="0075310A">
        <w:rPr>
          <w:rFonts w:cs="Arial"/>
          <w:szCs w:val="20"/>
        </w:rPr>
        <w:t>1</w:t>
      </w:r>
      <w:r w:rsidR="008A6523">
        <w:rPr>
          <w:rFonts w:cs="Arial"/>
          <w:szCs w:val="20"/>
        </w:rPr>
        <w:t>1</w:t>
      </w:r>
      <w:r w:rsidR="00F769D7">
        <w:rPr>
          <w:rFonts w:cs="Arial"/>
          <w:szCs w:val="20"/>
        </w:rPr>
        <w:t>)</w:t>
      </w:r>
      <w:r w:rsidRPr="00F32C16">
        <w:rPr>
          <w:rFonts w:cs="Arial"/>
          <w:szCs w:val="20"/>
        </w:rPr>
        <w:t>.</w:t>
      </w:r>
      <w:r w:rsidR="00F35384">
        <w:rPr>
          <w:rFonts w:cs="Arial"/>
          <w:szCs w:val="20"/>
        </w:rPr>
        <w:t xml:space="preserve"> </w:t>
      </w:r>
    </w:p>
    <w:p w14:paraId="05DE8510" w14:textId="77777777" w:rsidR="00F35384" w:rsidRDefault="00F35384" w:rsidP="00F35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rPr>
      </w:pPr>
    </w:p>
    <w:p w14:paraId="44A365CB" w14:textId="6AD0D430" w:rsidR="00F35384" w:rsidRDefault="00065A97" w:rsidP="00F35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rPr>
      </w:pPr>
      <w:r>
        <w:rPr>
          <w:rFonts w:cs="Arial"/>
          <w:szCs w:val="20"/>
        </w:rPr>
        <w:t>P</w:t>
      </w:r>
      <w:r w:rsidRPr="00F32C16">
        <w:rPr>
          <w:rFonts w:cs="Arial"/>
          <w:szCs w:val="20"/>
        </w:rPr>
        <w:t xml:space="preserve">hysiological </w:t>
      </w:r>
      <w:r w:rsidR="009D31A6">
        <w:rPr>
          <w:rFonts w:cs="Arial"/>
          <w:szCs w:val="20"/>
        </w:rPr>
        <w:t xml:space="preserve">and pathological </w:t>
      </w:r>
      <w:r w:rsidRPr="00F32C16">
        <w:rPr>
          <w:rFonts w:cs="Arial"/>
          <w:szCs w:val="20"/>
        </w:rPr>
        <w:t>changes</w:t>
      </w:r>
      <w:r>
        <w:rPr>
          <w:rFonts w:cs="Arial"/>
          <w:szCs w:val="20"/>
        </w:rPr>
        <w:t xml:space="preserve"> associated with obesity</w:t>
      </w:r>
      <w:r w:rsidRPr="00F32C16">
        <w:rPr>
          <w:rFonts w:cs="Arial"/>
          <w:szCs w:val="20"/>
        </w:rPr>
        <w:t xml:space="preserve"> </w:t>
      </w:r>
      <w:r>
        <w:rPr>
          <w:rFonts w:cs="Arial"/>
          <w:szCs w:val="20"/>
        </w:rPr>
        <w:t>include increased cardiac output and circulating blood volume, reduced tissue perfusion, and alte</w:t>
      </w:r>
      <w:r w:rsidR="005E11D6">
        <w:rPr>
          <w:rFonts w:cs="Arial"/>
          <w:szCs w:val="20"/>
        </w:rPr>
        <w:t>red liver and kidney function (</w:t>
      </w:r>
      <w:r w:rsidR="009063C9">
        <w:rPr>
          <w:rFonts w:cs="Arial"/>
          <w:szCs w:val="20"/>
        </w:rPr>
        <w:t>1</w:t>
      </w:r>
      <w:r w:rsidR="008A6523">
        <w:rPr>
          <w:rFonts w:cs="Arial"/>
          <w:szCs w:val="20"/>
        </w:rPr>
        <w:t>2</w:t>
      </w:r>
      <w:r>
        <w:rPr>
          <w:rFonts w:cs="Arial"/>
          <w:szCs w:val="20"/>
        </w:rPr>
        <w:t>).</w:t>
      </w:r>
    </w:p>
    <w:p w14:paraId="4B84F250" w14:textId="77777777" w:rsidR="00F35384" w:rsidRDefault="00F35384" w:rsidP="00F35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0"/>
        </w:rPr>
      </w:pPr>
    </w:p>
    <w:p w14:paraId="258352E2" w14:textId="3728FF0A" w:rsidR="00065A97" w:rsidRPr="00F32C16" w:rsidRDefault="00065A97" w:rsidP="00761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lang w:val="en-US"/>
        </w:rPr>
      </w:pPr>
      <w:r>
        <w:rPr>
          <w:rFonts w:cs="Arial"/>
          <w:szCs w:val="20"/>
        </w:rPr>
        <w:t>While i</w:t>
      </w:r>
      <w:r w:rsidRPr="00F32C16">
        <w:rPr>
          <w:rFonts w:cs="Arial"/>
          <w:szCs w:val="20"/>
        </w:rPr>
        <w:t xml:space="preserve">t </w:t>
      </w:r>
      <w:r w:rsidR="00F912CE">
        <w:rPr>
          <w:rFonts w:cs="Arial"/>
          <w:szCs w:val="20"/>
        </w:rPr>
        <w:t>may be presumed</w:t>
      </w:r>
      <w:r w:rsidRPr="00F32C16">
        <w:rPr>
          <w:rFonts w:cs="Arial"/>
          <w:szCs w:val="20"/>
        </w:rPr>
        <w:t xml:space="preserve"> that </w:t>
      </w:r>
      <w:r w:rsidR="00A27DF5">
        <w:rPr>
          <w:rFonts w:cs="Arial"/>
          <w:szCs w:val="20"/>
        </w:rPr>
        <w:t>excess body weight in children</w:t>
      </w:r>
      <w:r w:rsidR="009B5F4E">
        <w:rPr>
          <w:rFonts w:cs="Arial"/>
          <w:szCs w:val="20"/>
        </w:rPr>
        <w:t xml:space="preserve"> </w:t>
      </w:r>
      <w:r w:rsidR="000C659B">
        <w:rPr>
          <w:rFonts w:cs="Arial"/>
          <w:szCs w:val="20"/>
        </w:rPr>
        <w:t>who are obese</w:t>
      </w:r>
      <w:r w:rsidR="00A27DF5">
        <w:rPr>
          <w:rFonts w:cs="Arial"/>
          <w:szCs w:val="20"/>
        </w:rPr>
        <w:t xml:space="preserve"> leads to alterations in </w:t>
      </w:r>
      <w:r w:rsidR="00C27B73">
        <w:rPr>
          <w:rFonts w:cs="Arial"/>
          <w:szCs w:val="20"/>
        </w:rPr>
        <w:t>PK</w:t>
      </w:r>
      <w:r w:rsidR="00A27DF5">
        <w:rPr>
          <w:rFonts w:cs="Arial"/>
          <w:szCs w:val="20"/>
        </w:rPr>
        <w:t xml:space="preserve"> parameters of many drugs (</w:t>
      </w:r>
      <w:r w:rsidR="009063C9">
        <w:rPr>
          <w:rFonts w:cs="Arial"/>
          <w:szCs w:val="20"/>
        </w:rPr>
        <w:t>1</w:t>
      </w:r>
      <w:r w:rsidR="008A6523">
        <w:rPr>
          <w:rFonts w:cs="Arial"/>
          <w:szCs w:val="20"/>
        </w:rPr>
        <w:t>3</w:t>
      </w:r>
      <w:r>
        <w:rPr>
          <w:rFonts w:cs="Arial"/>
          <w:szCs w:val="20"/>
        </w:rPr>
        <w:t>), relatively little is known about the effect of obesity</w:t>
      </w:r>
      <w:r w:rsidR="006E22D0">
        <w:rPr>
          <w:rFonts w:cs="Arial"/>
          <w:szCs w:val="20"/>
        </w:rPr>
        <w:t xml:space="preserve"> on drug pharmacokinetics </w:t>
      </w:r>
      <w:r w:rsidR="00AF28BE">
        <w:rPr>
          <w:rFonts w:cs="Arial"/>
          <w:szCs w:val="20"/>
        </w:rPr>
        <w:t xml:space="preserve">in children </w:t>
      </w:r>
      <w:r w:rsidR="005E11D6">
        <w:rPr>
          <w:rFonts w:cs="Arial"/>
          <w:szCs w:val="20"/>
        </w:rPr>
        <w:t>(</w:t>
      </w:r>
      <w:r w:rsidR="009063C9">
        <w:rPr>
          <w:rFonts w:cs="Arial"/>
          <w:szCs w:val="20"/>
        </w:rPr>
        <w:t>1</w:t>
      </w:r>
      <w:r w:rsidR="008A6523">
        <w:rPr>
          <w:rFonts w:cs="Arial"/>
          <w:szCs w:val="20"/>
        </w:rPr>
        <w:t>3</w:t>
      </w:r>
      <w:r w:rsidR="0068281E">
        <w:rPr>
          <w:rFonts w:cs="Arial"/>
          <w:szCs w:val="20"/>
        </w:rPr>
        <w:t>,</w:t>
      </w:r>
      <w:r w:rsidR="009063C9">
        <w:rPr>
          <w:rFonts w:cs="Arial"/>
          <w:szCs w:val="20"/>
        </w:rPr>
        <w:t>1</w:t>
      </w:r>
      <w:r w:rsidR="008A6523">
        <w:rPr>
          <w:rFonts w:cs="Arial"/>
          <w:szCs w:val="20"/>
        </w:rPr>
        <w:t>4</w:t>
      </w:r>
      <w:r>
        <w:rPr>
          <w:rFonts w:cs="Arial"/>
          <w:szCs w:val="20"/>
        </w:rPr>
        <w:t xml:space="preserve">). </w:t>
      </w:r>
      <w:r w:rsidR="00F33D1F">
        <w:rPr>
          <w:rFonts w:cs="Arial"/>
          <w:szCs w:val="20"/>
        </w:rPr>
        <w:t xml:space="preserve">Some PK alterations </w:t>
      </w:r>
      <w:r w:rsidR="00522EE2">
        <w:rPr>
          <w:rFonts w:cs="Arial"/>
          <w:szCs w:val="20"/>
        </w:rPr>
        <w:t xml:space="preserve">associated with obesity </w:t>
      </w:r>
      <w:r w:rsidR="00F33D1F">
        <w:rPr>
          <w:rFonts w:cs="Arial"/>
          <w:szCs w:val="20"/>
        </w:rPr>
        <w:t>are discussed below.</w:t>
      </w:r>
      <w:r w:rsidR="00B80FBF">
        <w:rPr>
          <w:rFonts w:cs="Arial"/>
          <w:szCs w:val="20"/>
        </w:rPr>
        <w:t xml:space="preserve"> </w:t>
      </w:r>
      <w:r w:rsidR="00B87895">
        <w:rPr>
          <w:rFonts w:cs="Arial"/>
          <w:szCs w:val="20"/>
        </w:rPr>
        <w:br/>
      </w:r>
    </w:p>
    <w:p w14:paraId="3A0F60F9" w14:textId="77777777" w:rsidR="004F3E00" w:rsidRDefault="004F3E00" w:rsidP="004F3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Absorption</w:t>
      </w:r>
    </w:p>
    <w:p w14:paraId="7B08051F" w14:textId="3ACCFFD8" w:rsidR="00E50E75" w:rsidRDefault="009B6DF6" w:rsidP="008664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rPr>
      </w:pPr>
      <w:r>
        <w:rPr>
          <w:rFonts w:cs="Arial"/>
          <w:szCs w:val="20"/>
        </w:rPr>
        <w:t>D</w:t>
      </w:r>
      <w:r w:rsidR="0010066A" w:rsidRPr="0010066A">
        <w:rPr>
          <w:rFonts w:cs="Arial"/>
          <w:szCs w:val="20"/>
        </w:rPr>
        <w:t>rug absorption</w:t>
      </w:r>
      <w:r>
        <w:rPr>
          <w:rFonts w:cs="Arial"/>
          <w:szCs w:val="20"/>
        </w:rPr>
        <w:t xml:space="preserve"> appears unaltered in obesity based on </w:t>
      </w:r>
      <w:r w:rsidR="00C766DA" w:rsidRPr="00F32C16">
        <w:rPr>
          <w:rFonts w:cs="Arial"/>
          <w:szCs w:val="20"/>
        </w:rPr>
        <w:t xml:space="preserve">limited available </w:t>
      </w:r>
      <w:r>
        <w:rPr>
          <w:rFonts w:cs="Arial"/>
          <w:szCs w:val="20"/>
        </w:rPr>
        <w:t>data in</w:t>
      </w:r>
      <w:r w:rsidR="00F16BE4">
        <w:rPr>
          <w:rFonts w:cs="Arial"/>
          <w:szCs w:val="20"/>
        </w:rPr>
        <w:t xml:space="preserve"> adults</w:t>
      </w:r>
      <w:r w:rsidR="00491E1B">
        <w:rPr>
          <w:rFonts w:cs="Arial"/>
          <w:szCs w:val="20"/>
        </w:rPr>
        <w:t xml:space="preserve"> (</w:t>
      </w:r>
      <w:r w:rsidR="009063C9">
        <w:rPr>
          <w:rFonts w:cs="Arial"/>
          <w:szCs w:val="20"/>
        </w:rPr>
        <w:t>1</w:t>
      </w:r>
      <w:r w:rsidR="008A6523">
        <w:rPr>
          <w:rFonts w:cs="Arial"/>
          <w:szCs w:val="20"/>
        </w:rPr>
        <w:t>5</w:t>
      </w:r>
      <w:r w:rsidR="00C766DA" w:rsidRPr="00F32C16">
        <w:rPr>
          <w:rFonts w:cs="Arial"/>
          <w:szCs w:val="20"/>
        </w:rPr>
        <w:t>)</w:t>
      </w:r>
      <w:r>
        <w:rPr>
          <w:rFonts w:cs="Arial"/>
          <w:szCs w:val="20"/>
        </w:rPr>
        <w:t>.</w:t>
      </w:r>
      <w:r w:rsidR="008664D1">
        <w:rPr>
          <w:rFonts w:cs="Arial"/>
          <w:szCs w:val="20"/>
        </w:rPr>
        <w:t xml:space="preserve"> </w:t>
      </w:r>
      <w:r w:rsidR="00B87895">
        <w:rPr>
          <w:rFonts w:cs="Arial"/>
          <w:szCs w:val="20"/>
        </w:rPr>
        <w:br/>
      </w:r>
    </w:p>
    <w:p w14:paraId="7DB98034" w14:textId="263E5127" w:rsidR="004F3E00" w:rsidRDefault="004F3E00" w:rsidP="005D477E">
      <w:pPr>
        <w:autoSpaceDE w:val="0"/>
        <w:autoSpaceDN w:val="0"/>
        <w:adjustRightInd w:val="0"/>
        <w:spacing w:after="0" w:line="240" w:lineRule="auto"/>
        <w:rPr>
          <w:b/>
          <w:bCs/>
          <w:szCs w:val="20"/>
        </w:rPr>
      </w:pPr>
      <w:r>
        <w:rPr>
          <w:b/>
          <w:bCs/>
          <w:szCs w:val="20"/>
        </w:rPr>
        <w:t xml:space="preserve">Volume of Distribution </w:t>
      </w:r>
    </w:p>
    <w:p w14:paraId="6B57F17A" w14:textId="77777777" w:rsidR="0069588B" w:rsidRDefault="0069588B" w:rsidP="005D477E">
      <w:pPr>
        <w:autoSpaceDE w:val="0"/>
        <w:autoSpaceDN w:val="0"/>
        <w:adjustRightInd w:val="0"/>
        <w:spacing w:after="0" w:line="240" w:lineRule="auto"/>
        <w:rPr>
          <w:b/>
          <w:bCs/>
          <w:szCs w:val="20"/>
        </w:rPr>
      </w:pPr>
    </w:p>
    <w:p w14:paraId="5078342A" w14:textId="7991CB16" w:rsidR="005D477E" w:rsidRPr="00867145" w:rsidRDefault="00907B1E" w:rsidP="00867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rPr>
      </w:pPr>
      <w:r w:rsidRPr="00867145">
        <w:rPr>
          <w:rFonts w:cs="Arial"/>
          <w:szCs w:val="20"/>
        </w:rPr>
        <w:t>Apparent volume of distribution</w:t>
      </w:r>
      <w:r w:rsidR="005F70D2">
        <w:rPr>
          <w:rFonts w:cs="Arial"/>
          <w:szCs w:val="20"/>
        </w:rPr>
        <w:t xml:space="preserve"> (</w:t>
      </w:r>
      <w:proofErr w:type="spellStart"/>
      <w:r w:rsidR="005F70D2">
        <w:rPr>
          <w:rFonts w:cs="Arial"/>
          <w:szCs w:val="20"/>
        </w:rPr>
        <w:t>Vd</w:t>
      </w:r>
      <w:proofErr w:type="spellEnd"/>
      <w:r w:rsidR="005F70D2">
        <w:rPr>
          <w:rFonts w:cs="Arial"/>
          <w:szCs w:val="20"/>
        </w:rPr>
        <w:t>)</w:t>
      </w:r>
      <w:r w:rsidRPr="00867145">
        <w:rPr>
          <w:rFonts w:cs="Arial"/>
          <w:szCs w:val="20"/>
        </w:rPr>
        <w:t xml:space="preserve"> is a theoretic parameter that reflects how a drug is distributed in the body</w:t>
      </w:r>
      <w:r w:rsidR="00F35384" w:rsidRPr="00867145">
        <w:rPr>
          <w:rFonts w:cs="Arial"/>
          <w:szCs w:val="20"/>
        </w:rPr>
        <w:t xml:space="preserve"> (</w:t>
      </w:r>
      <w:r w:rsidR="009063C9" w:rsidRPr="00867145">
        <w:rPr>
          <w:rFonts w:cs="Arial"/>
          <w:szCs w:val="20"/>
        </w:rPr>
        <w:t>1</w:t>
      </w:r>
      <w:r w:rsidR="008A6523">
        <w:rPr>
          <w:rFonts w:cs="Arial"/>
          <w:szCs w:val="20"/>
        </w:rPr>
        <w:t>2</w:t>
      </w:r>
      <w:r w:rsidR="00F35384" w:rsidRPr="00867145">
        <w:rPr>
          <w:rFonts w:cs="Arial"/>
          <w:szCs w:val="20"/>
        </w:rPr>
        <w:t>)</w:t>
      </w:r>
      <w:r w:rsidR="00BE0B48" w:rsidRPr="00867145">
        <w:rPr>
          <w:rFonts w:cs="Arial"/>
          <w:szCs w:val="20"/>
        </w:rPr>
        <w:t xml:space="preserve">. </w:t>
      </w:r>
      <w:r w:rsidR="00F912CE" w:rsidRPr="00867145">
        <w:rPr>
          <w:rFonts w:cs="Arial"/>
          <w:szCs w:val="20"/>
        </w:rPr>
        <w:t xml:space="preserve"> </w:t>
      </w:r>
      <w:r w:rsidR="00F23CB1" w:rsidRPr="00867145">
        <w:rPr>
          <w:rFonts w:cs="Arial"/>
          <w:szCs w:val="20"/>
        </w:rPr>
        <w:t xml:space="preserve">Although it often changes with obesity, the </w:t>
      </w:r>
      <w:r w:rsidR="00BF78C8" w:rsidRPr="00867145">
        <w:rPr>
          <w:rFonts w:cs="Arial"/>
          <w:szCs w:val="20"/>
        </w:rPr>
        <w:t xml:space="preserve">direction and </w:t>
      </w:r>
      <w:r w:rsidR="00F23CB1" w:rsidRPr="00867145">
        <w:rPr>
          <w:rFonts w:cs="Arial"/>
          <w:szCs w:val="20"/>
        </w:rPr>
        <w:t>magnitude</w:t>
      </w:r>
      <w:r w:rsidR="00BF78C8" w:rsidRPr="00867145">
        <w:rPr>
          <w:rFonts w:cs="Arial"/>
          <w:szCs w:val="20"/>
        </w:rPr>
        <w:t xml:space="preserve"> </w:t>
      </w:r>
      <w:proofErr w:type="gramStart"/>
      <w:r w:rsidR="00F23CB1" w:rsidRPr="00867145">
        <w:rPr>
          <w:rFonts w:cs="Arial"/>
          <w:szCs w:val="20"/>
        </w:rPr>
        <w:t>is</w:t>
      </w:r>
      <w:proofErr w:type="gramEnd"/>
      <w:r w:rsidR="00F23CB1" w:rsidRPr="00867145">
        <w:rPr>
          <w:rFonts w:cs="Arial"/>
          <w:szCs w:val="20"/>
        </w:rPr>
        <w:t xml:space="preserve"> not always predictable (</w:t>
      </w:r>
      <w:r w:rsidR="009063C9" w:rsidRPr="00867145">
        <w:rPr>
          <w:rFonts w:cs="Arial"/>
          <w:szCs w:val="20"/>
        </w:rPr>
        <w:t>1</w:t>
      </w:r>
      <w:r w:rsidR="008A6523">
        <w:rPr>
          <w:rFonts w:cs="Arial"/>
          <w:szCs w:val="20"/>
        </w:rPr>
        <w:t>6</w:t>
      </w:r>
      <w:r w:rsidR="00F23CB1" w:rsidRPr="00867145">
        <w:rPr>
          <w:rFonts w:cs="Arial"/>
          <w:szCs w:val="20"/>
        </w:rPr>
        <w:t xml:space="preserve">). </w:t>
      </w:r>
      <w:proofErr w:type="spellStart"/>
      <w:r w:rsidR="00F35384" w:rsidRPr="00867145">
        <w:rPr>
          <w:rFonts w:cs="Arial"/>
          <w:szCs w:val="20"/>
        </w:rPr>
        <w:t>Vd</w:t>
      </w:r>
      <w:proofErr w:type="spellEnd"/>
      <w:r w:rsidR="00F35384" w:rsidRPr="00867145">
        <w:rPr>
          <w:rFonts w:cs="Arial"/>
          <w:szCs w:val="20"/>
        </w:rPr>
        <w:t xml:space="preserve"> is influenced by the physiochemical properties of a drug, such as lipid solubility and plasma protein binding</w:t>
      </w:r>
      <w:r w:rsidR="005074AD" w:rsidRPr="00867145">
        <w:rPr>
          <w:rFonts w:cs="Arial"/>
          <w:szCs w:val="20"/>
        </w:rPr>
        <w:t>, as well as physiological changes of obesity</w:t>
      </w:r>
      <w:r w:rsidR="00F35384" w:rsidRPr="00867145">
        <w:rPr>
          <w:rFonts w:cs="Arial"/>
          <w:szCs w:val="20"/>
        </w:rPr>
        <w:t xml:space="preserve">, </w:t>
      </w:r>
      <w:r w:rsidR="005074AD" w:rsidRPr="00867145">
        <w:rPr>
          <w:rFonts w:cs="Arial"/>
          <w:szCs w:val="20"/>
        </w:rPr>
        <w:t>which alters</w:t>
      </w:r>
      <w:r w:rsidR="00F35384" w:rsidRPr="00867145">
        <w:rPr>
          <w:rFonts w:cs="Arial"/>
          <w:szCs w:val="20"/>
        </w:rPr>
        <w:t xml:space="preserve"> body mass, bl</w:t>
      </w:r>
      <w:r w:rsidR="006F7E9C" w:rsidRPr="00867145">
        <w:rPr>
          <w:rFonts w:cs="Arial"/>
          <w:szCs w:val="20"/>
        </w:rPr>
        <w:t>ood volume, extracellular water</w:t>
      </w:r>
      <w:r w:rsidR="00F35384" w:rsidRPr="00867145">
        <w:rPr>
          <w:rFonts w:cs="Arial"/>
          <w:szCs w:val="20"/>
        </w:rPr>
        <w:t xml:space="preserve"> and tissue perfusion</w:t>
      </w:r>
      <w:r w:rsidR="005074AD" w:rsidRPr="00867145">
        <w:rPr>
          <w:rFonts w:cs="Arial"/>
          <w:szCs w:val="20"/>
        </w:rPr>
        <w:t xml:space="preserve"> (</w:t>
      </w:r>
      <w:r w:rsidR="009063C9" w:rsidRPr="00867145">
        <w:rPr>
          <w:rFonts w:cs="Arial"/>
          <w:szCs w:val="20"/>
        </w:rPr>
        <w:t>1</w:t>
      </w:r>
      <w:r w:rsidR="008A6523">
        <w:rPr>
          <w:rFonts w:cs="Arial"/>
          <w:szCs w:val="20"/>
        </w:rPr>
        <w:t>2</w:t>
      </w:r>
      <w:r w:rsidR="005074AD" w:rsidRPr="00867145">
        <w:rPr>
          <w:rFonts w:cs="Arial"/>
          <w:szCs w:val="20"/>
        </w:rPr>
        <w:t>)</w:t>
      </w:r>
      <w:r w:rsidR="00F35384" w:rsidRPr="00867145">
        <w:rPr>
          <w:rFonts w:cs="Arial"/>
          <w:szCs w:val="20"/>
        </w:rPr>
        <w:t xml:space="preserve">. </w:t>
      </w:r>
      <w:r w:rsidR="00B87895">
        <w:rPr>
          <w:rFonts w:cs="Arial"/>
          <w:szCs w:val="20"/>
        </w:rPr>
        <w:br/>
      </w:r>
    </w:p>
    <w:p w14:paraId="0278880D" w14:textId="77777777" w:rsidR="00E17C36" w:rsidRDefault="004F3E00" w:rsidP="005D477E">
      <w:pPr>
        <w:autoSpaceDE w:val="0"/>
        <w:autoSpaceDN w:val="0"/>
        <w:adjustRightInd w:val="0"/>
        <w:spacing w:after="0" w:line="240" w:lineRule="auto"/>
        <w:rPr>
          <w:b/>
          <w:bCs/>
          <w:szCs w:val="20"/>
        </w:rPr>
      </w:pPr>
      <w:r>
        <w:rPr>
          <w:b/>
          <w:bCs/>
          <w:szCs w:val="20"/>
        </w:rPr>
        <w:t>Clearance</w:t>
      </w:r>
    </w:p>
    <w:p w14:paraId="27D7D0A7" w14:textId="77777777" w:rsidR="0069588B" w:rsidRDefault="0069588B" w:rsidP="005D477E">
      <w:pPr>
        <w:autoSpaceDE w:val="0"/>
        <w:autoSpaceDN w:val="0"/>
        <w:adjustRightInd w:val="0"/>
        <w:spacing w:after="0" w:line="240" w:lineRule="auto"/>
        <w:rPr>
          <w:b/>
          <w:bCs/>
          <w:szCs w:val="20"/>
        </w:rPr>
      </w:pPr>
    </w:p>
    <w:p w14:paraId="7ECB2695" w14:textId="1EC610C7" w:rsidR="00F03591" w:rsidRPr="00867145" w:rsidRDefault="00F03591" w:rsidP="00867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rPr>
      </w:pPr>
      <w:r w:rsidRPr="00867145">
        <w:rPr>
          <w:rFonts w:cs="Arial"/>
          <w:szCs w:val="20"/>
        </w:rPr>
        <w:t>Clearance</w:t>
      </w:r>
      <w:r w:rsidR="00472E3A" w:rsidRPr="00867145">
        <w:rPr>
          <w:rFonts w:cs="Arial"/>
          <w:szCs w:val="20"/>
        </w:rPr>
        <w:t xml:space="preserve"> is based on metabolism and organ perfusion (</w:t>
      </w:r>
      <w:r w:rsidR="008A6523">
        <w:rPr>
          <w:rFonts w:cs="Arial"/>
          <w:szCs w:val="20"/>
        </w:rPr>
        <w:t>6</w:t>
      </w:r>
      <w:r w:rsidR="00472E3A" w:rsidRPr="00867145">
        <w:rPr>
          <w:rFonts w:cs="Arial"/>
          <w:szCs w:val="20"/>
        </w:rPr>
        <w:t>).  In</w:t>
      </w:r>
      <w:r w:rsidRPr="00867145">
        <w:rPr>
          <w:rFonts w:cs="Arial"/>
          <w:szCs w:val="20"/>
        </w:rPr>
        <w:t xml:space="preserve"> individuals</w:t>
      </w:r>
      <w:r w:rsidR="009B5F4E">
        <w:rPr>
          <w:rFonts w:cs="Arial"/>
          <w:szCs w:val="20"/>
        </w:rPr>
        <w:t xml:space="preserve"> living with obesity</w:t>
      </w:r>
      <w:r w:rsidR="00472E3A" w:rsidRPr="00867145">
        <w:rPr>
          <w:rFonts w:cs="Arial"/>
          <w:szCs w:val="20"/>
        </w:rPr>
        <w:t>, it</w:t>
      </w:r>
      <w:r w:rsidRPr="00867145">
        <w:rPr>
          <w:rFonts w:cs="Arial"/>
          <w:szCs w:val="20"/>
        </w:rPr>
        <w:t xml:space="preserve"> can be affected by weight-related changes in renal function or changes in the activity of drug-metabolis</w:t>
      </w:r>
      <w:r w:rsidR="000F74FC">
        <w:rPr>
          <w:rFonts w:cs="Arial"/>
          <w:szCs w:val="20"/>
        </w:rPr>
        <w:t>ing</w:t>
      </w:r>
      <w:r w:rsidRPr="00867145">
        <w:rPr>
          <w:rFonts w:cs="Arial"/>
          <w:szCs w:val="20"/>
        </w:rPr>
        <w:t xml:space="preserve"> enzymes (</w:t>
      </w:r>
      <w:r w:rsidR="009063C9" w:rsidRPr="00867145">
        <w:rPr>
          <w:rFonts w:cs="Arial"/>
          <w:szCs w:val="20"/>
        </w:rPr>
        <w:t>1</w:t>
      </w:r>
      <w:r w:rsidR="008A6523">
        <w:rPr>
          <w:rFonts w:cs="Arial"/>
          <w:szCs w:val="20"/>
        </w:rPr>
        <w:t>5</w:t>
      </w:r>
      <w:r w:rsidR="009063C9" w:rsidRPr="00867145">
        <w:rPr>
          <w:rFonts w:cs="Arial"/>
          <w:szCs w:val="20"/>
        </w:rPr>
        <w:t xml:space="preserve">). </w:t>
      </w:r>
    </w:p>
    <w:p w14:paraId="77C3C87D" w14:textId="1A06E87E" w:rsidR="009874A9" w:rsidRPr="00867145" w:rsidRDefault="00766645" w:rsidP="00867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rPr>
      </w:pPr>
      <w:r w:rsidRPr="00867145">
        <w:rPr>
          <w:rFonts w:cs="Arial"/>
          <w:szCs w:val="20"/>
        </w:rPr>
        <w:t>The impact of obesity on drug metabolism differs greatly, depending on the metabolic pathway involved (</w:t>
      </w:r>
      <w:r w:rsidR="00E549CA" w:rsidRPr="00867145">
        <w:rPr>
          <w:rFonts w:cs="Arial"/>
          <w:szCs w:val="20"/>
        </w:rPr>
        <w:t>1</w:t>
      </w:r>
      <w:r w:rsidR="008A6523">
        <w:rPr>
          <w:rFonts w:cs="Arial"/>
          <w:szCs w:val="20"/>
        </w:rPr>
        <w:t>2</w:t>
      </w:r>
      <w:r w:rsidR="00E549CA" w:rsidRPr="00867145">
        <w:rPr>
          <w:rFonts w:cs="Arial"/>
          <w:szCs w:val="20"/>
        </w:rPr>
        <w:t>,</w:t>
      </w:r>
      <w:r w:rsidR="00932456">
        <w:rPr>
          <w:rFonts w:cs="Arial"/>
          <w:szCs w:val="20"/>
        </w:rPr>
        <w:t>1</w:t>
      </w:r>
      <w:r w:rsidR="008A6523">
        <w:rPr>
          <w:rFonts w:cs="Arial"/>
          <w:szCs w:val="20"/>
        </w:rPr>
        <w:t>7</w:t>
      </w:r>
      <w:r w:rsidR="002C639B" w:rsidRPr="00867145">
        <w:rPr>
          <w:rFonts w:cs="Arial"/>
          <w:szCs w:val="20"/>
        </w:rPr>
        <w:t>)</w:t>
      </w:r>
      <w:r w:rsidRPr="00867145">
        <w:rPr>
          <w:rFonts w:cs="Arial"/>
          <w:szCs w:val="20"/>
        </w:rPr>
        <w:t xml:space="preserve">. </w:t>
      </w:r>
      <w:r w:rsidR="00894A3C" w:rsidRPr="00867145">
        <w:rPr>
          <w:rFonts w:cs="Arial"/>
          <w:szCs w:val="20"/>
        </w:rPr>
        <w:t>O</w:t>
      </w:r>
      <w:r w:rsidR="00060775" w:rsidRPr="00867145">
        <w:rPr>
          <w:rFonts w:cs="Arial"/>
          <w:szCs w:val="20"/>
        </w:rPr>
        <w:t xml:space="preserve">besity may </w:t>
      </w:r>
      <w:r w:rsidR="00E20115" w:rsidRPr="00867145">
        <w:rPr>
          <w:rFonts w:cs="Arial"/>
          <w:szCs w:val="20"/>
        </w:rPr>
        <w:t>alter the activity of</w:t>
      </w:r>
      <w:r w:rsidR="00060775" w:rsidRPr="00867145">
        <w:rPr>
          <w:rFonts w:cs="Arial"/>
          <w:szCs w:val="20"/>
        </w:rPr>
        <w:t xml:space="preserve"> both </w:t>
      </w:r>
      <w:r w:rsidR="00E549CA" w:rsidRPr="00867145">
        <w:rPr>
          <w:rFonts w:cs="Arial"/>
          <w:szCs w:val="20"/>
        </w:rPr>
        <w:t>phase I and phase II reactions</w:t>
      </w:r>
      <w:r w:rsidR="00FD0034" w:rsidRPr="00867145">
        <w:rPr>
          <w:rFonts w:cs="Arial"/>
          <w:szCs w:val="20"/>
        </w:rPr>
        <w:t xml:space="preserve"> however</w:t>
      </w:r>
      <w:r w:rsidR="002155C0" w:rsidRPr="00867145">
        <w:rPr>
          <w:rFonts w:cs="Arial"/>
          <w:szCs w:val="20"/>
        </w:rPr>
        <w:t xml:space="preserve"> </w:t>
      </w:r>
      <w:r w:rsidR="00FD0034" w:rsidRPr="00867145">
        <w:rPr>
          <w:rFonts w:cs="Arial"/>
          <w:szCs w:val="20"/>
        </w:rPr>
        <w:t>i</w:t>
      </w:r>
      <w:r w:rsidR="00894A3C" w:rsidRPr="00867145">
        <w:rPr>
          <w:rFonts w:cs="Arial"/>
          <w:szCs w:val="20"/>
        </w:rPr>
        <w:t xml:space="preserve">ts </w:t>
      </w:r>
      <w:r w:rsidR="009A00C8" w:rsidRPr="00867145">
        <w:rPr>
          <w:rFonts w:cs="Arial"/>
          <w:szCs w:val="20"/>
        </w:rPr>
        <w:t xml:space="preserve">effect </w:t>
      </w:r>
      <w:r w:rsidR="00FD0034" w:rsidRPr="00867145">
        <w:rPr>
          <w:rFonts w:cs="Arial"/>
          <w:szCs w:val="20"/>
        </w:rPr>
        <w:t>on expression and function of CYP enzymes are inconclusive with the exception of CYP3A</w:t>
      </w:r>
      <w:r w:rsidR="00A948BE" w:rsidRPr="00867145">
        <w:rPr>
          <w:rFonts w:cs="Arial"/>
          <w:szCs w:val="20"/>
        </w:rPr>
        <w:t>4</w:t>
      </w:r>
      <w:r w:rsidR="00FD0034" w:rsidRPr="00867145">
        <w:rPr>
          <w:rFonts w:cs="Arial"/>
          <w:szCs w:val="20"/>
        </w:rPr>
        <w:t xml:space="preserve"> and CYP2E1</w:t>
      </w:r>
      <w:r w:rsidR="00E549CA" w:rsidRPr="00867145">
        <w:rPr>
          <w:rFonts w:cs="Arial"/>
          <w:szCs w:val="20"/>
        </w:rPr>
        <w:t xml:space="preserve"> (</w:t>
      </w:r>
      <w:r w:rsidR="00932456">
        <w:rPr>
          <w:rFonts w:cs="Arial"/>
          <w:szCs w:val="20"/>
        </w:rPr>
        <w:t>1</w:t>
      </w:r>
      <w:r w:rsidR="008A6523">
        <w:rPr>
          <w:rFonts w:cs="Arial"/>
          <w:szCs w:val="20"/>
        </w:rPr>
        <w:t>7</w:t>
      </w:r>
      <w:r w:rsidR="00E549CA" w:rsidRPr="00867145">
        <w:rPr>
          <w:rFonts w:cs="Arial"/>
          <w:szCs w:val="20"/>
        </w:rPr>
        <w:t>)</w:t>
      </w:r>
      <w:r w:rsidR="00FD0034" w:rsidRPr="00867145">
        <w:rPr>
          <w:rFonts w:cs="Arial"/>
          <w:szCs w:val="20"/>
        </w:rPr>
        <w:t xml:space="preserve">. </w:t>
      </w:r>
      <w:r w:rsidR="00E20115" w:rsidRPr="00867145">
        <w:rPr>
          <w:rFonts w:cs="Arial"/>
          <w:szCs w:val="20"/>
        </w:rPr>
        <w:t xml:space="preserve">The activity of CYP3A4, which is responsible for over 50% of phase I </w:t>
      </w:r>
      <w:r w:rsidR="00C4240E" w:rsidRPr="00867145">
        <w:rPr>
          <w:rFonts w:cs="Arial"/>
          <w:szCs w:val="20"/>
        </w:rPr>
        <w:t>reactions, is</w:t>
      </w:r>
      <w:r w:rsidR="00E20115" w:rsidRPr="00867145">
        <w:rPr>
          <w:rFonts w:cs="Arial"/>
          <w:szCs w:val="20"/>
        </w:rPr>
        <w:t xml:space="preserve"> reduced in patients</w:t>
      </w:r>
      <w:r w:rsidR="009B5F4E">
        <w:rPr>
          <w:rFonts w:cs="Arial"/>
          <w:szCs w:val="20"/>
        </w:rPr>
        <w:t xml:space="preserve"> </w:t>
      </w:r>
      <w:r w:rsidR="000C659B">
        <w:rPr>
          <w:rFonts w:cs="Arial"/>
          <w:szCs w:val="20"/>
        </w:rPr>
        <w:t>who are obese</w:t>
      </w:r>
      <w:r w:rsidR="00E20115" w:rsidRPr="00867145">
        <w:rPr>
          <w:rFonts w:cs="Arial"/>
          <w:szCs w:val="20"/>
        </w:rPr>
        <w:t xml:space="preserve"> (</w:t>
      </w:r>
      <w:r w:rsidR="00E549CA" w:rsidRPr="00867145">
        <w:rPr>
          <w:rFonts w:cs="Arial"/>
          <w:szCs w:val="20"/>
        </w:rPr>
        <w:t>1</w:t>
      </w:r>
      <w:r w:rsidR="008A6523">
        <w:rPr>
          <w:rFonts w:cs="Arial"/>
          <w:szCs w:val="20"/>
        </w:rPr>
        <w:t>2</w:t>
      </w:r>
      <w:r w:rsidR="00E549CA" w:rsidRPr="00867145">
        <w:rPr>
          <w:rFonts w:cs="Arial"/>
          <w:szCs w:val="20"/>
        </w:rPr>
        <w:t>,</w:t>
      </w:r>
      <w:r w:rsidR="00932456">
        <w:rPr>
          <w:rFonts w:cs="Arial"/>
          <w:szCs w:val="20"/>
        </w:rPr>
        <w:t>1</w:t>
      </w:r>
      <w:r w:rsidR="008A6523">
        <w:rPr>
          <w:rFonts w:cs="Arial"/>
          <w:szCs w:val="20"/>
        </w:rPr>
        <w:t>7</w:t>
      </w:r>
      <w:r w:rsidR="00A00F98" w:rsidRPr="00867145">
        <w:rPr>
          <w:rFonts w:cs="Arial"/>
          <w:szCs w:val="20"/>
        </w:rPr>
        <w:t>) and expression of CYP2E1 has been reported to be increased (</w:t>
      </w:r>
      <w:r w:rsidR="00E549CA" w:rsidRPr="00867145">
        <w:rPr>
          <w:rFonts w:cs="Arial"/>
          <w:szCs w:val="20"/>
        </w:rPr>
        <w:t>1</w:t>
      </w:r>
      <w:r w:rsidR="008A6523">
        <w:rPr>
          <w:rFonts w:cs="Arial"/>
          <w:szCs w:val="20"/>
        </w:rPr>
        <w:t>6</w:t>
      </w:r>
      <w:r w:rsidR="00455F86">
        <w:rPr>
          <w:rFonts w:cs="Arial"/>
          <w:szCs w:val="20"/>
        </w:rPr>
        <w:t>,</w:t>
      </w:r>
      <w:r w:rsidR="00932456">
        <w:rPr>
          <w:rFonts w:cs="Arial"/>
          <w:szCs w:val="20"/>
        </w:rPr>
        <w:t>1</w:t>
      </w:r>
      <w:r w:rsidR="008A6523">
        <w:rPr>
          <w:rFonts w:cs="Arial"/>
          <w:szCs w:val="20"/>
        </w:rPr>
        <w:t>7</w:t>
      </w:r>
      <w:r w:rsidR="00A00F98" w:rsidRPr="00867145">
        <w:rPr>
          <w:rFonts w:cs="Arial"/>
          <w:szCs w:val="20"/>
        </w:rPr>
        <w:t xml:space="preserve">). </w:t>
      </w:r>
      <w:r w:rsidR="00D419E4" w:rsidRPr="00867145">
        <w:rPr>
          <w:rFonts w:cs="Arial"/>
          <w:szCs w:val="20"/>
        </w:rPr>
        <w:t>However, l</w:t>
      </w:r>
      <w:r w:rsidR="0010066A" w:rsidRPr="00867145">
        <w:rPr>
          <w:rFonts w:cs="Arial"/>
          <w:szCs w:val="20"/>
        </w:rPr>
        <w:t>imited data exist about phase I and phase II met</w:t>
      </w:r>
      <w:r w:rsidR="00C4240E" w:rsidRPr="00867145">
        <w:rPr>
          <w:rFonts w:cs="Arial"/>
          <w:szCs w:val="20"/>
        </w:rPr>
        <w:t xml:space="preserve">abolism in </w:t>
      </w:r>
      <w:r w:rsidR="009B5F4E">
        <w:rPr>
          <w:rFonts w:cs="Arial"/>
          <w:szCs w:val="20"/>
        </w:rPr>
        <w:t>these</w:t>
      </w:r>
      <w:r w:rsidR="009B5F4E" w:rsidRPr="00867145">
        <w:rPr>
          <w:rFonts w:cs="Arial"/>
          <w:szCs w:val="20"/>
        </w:rPr>
        <w:t xml:space="preserve"> </w:t>
      </w:r>
      <w:r w:rsidR="00C4240E" w:rsidRPr="00867145">
        <w:rPr>
          <w:rFonts w:cs="Arial"/>
          <w:szCs w:val="20"/>
        </w:rPr>
        <w:t>children (</w:t>
      </w:r>
      <w:r w:rsidR="00932456">
        <w:rPr>
          <w:rFonts w:cs="Arial"/>
          <w:szCs w:val="20"/>
        </w:rPr>
        <w:t>1</w:t>
      </w:r>
      <w:r w:rsidR="008A6523">
        <w:rPr>
          <w:rFonts w:cs="Arial"/>
          <w:szCs w:val="20"/>
        </w:rPr>
        <w:t>7</w:t>
      </w:r>
      <w:r w:rsidR="0010066A" w:rsidRPr="00867145">
        <w:rPr>
          <w:rFonts w:cs="Arial"/>
          <w:szCs w:val="20"/>
        </w:rPr>
        <w:t xml:space="preserve">). </w:t>
      </w:r>
    </w:p>
    <w:p w14:paraId="77FE0212" w14:textId="57ED5348" w:rsidR="0023670E" w:rsidRPr="00867145" w:rsidRDefault="00395DEF" w:rsidP="00867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0"/>
        </w:rPr>
      </w:pPr>
      <w:r w:rsidRPr="00395DEF">
        <w:rPr>
          <w:rFonts w:cs="Arial"/>
          <w:szCs w:val="20"/>
        </w:rPr>
        <w:t>Obesity during childhood has been associated with an increased risk for non-alcoholic fatty liver disease (</w:t>
      </w:r>
      <w:r w:rsidR="008A6523">
        <w:rPr>
          <w:rFonts w:cs="Arial"/>
          <w:szCs w:val="20"/>
        </w:rPr>
        <w:t>7</w:t>
      </w:r>
      <w:r w:rsidRPr="00395DEF">
        <w:rPr>
          <w:rFonts w:cs="Arial"/>
          <w:szCs w:val="20"/>
        </w:rPr>
        <w:t>) potentially impairing hepatic blood flow, which might in turn have an impact on hepatic drug clearance (</w:t>
      </w:r>
      <w:r w:rsidR="00932456">
        <w:rPr>
          <w:rFonts w:cs="Arial"/>
          <w:szCs w:val="20"/>
        </w:rPr>
        <w:t>1</w:t>
      </w:r>
      <w:r w:rsidR="008A6523">
        <w:rPr>
          <w:rFonts w:cs="Arial"/>
          <w:szCs w:val="20"/>
        </w:rPr>
        <w:t>8</w:t>
      </w:r>
      <w:r w:rsidRPr="00395DEF">
        <w:rPr>
          <w:rFonts w:cs="Arial"/>
          <w:szCs w:val="20"/>
        </w:rPr>
        <w:t>). However, increased liver blood flow owing to increased cardiac output and blood volu</w:t>
      </w:r>
      <w:bookmarkStart w:id="0" w:name="_GoBack"/>
      <w:bookmarkEnd w:id="0"/>
      <w:r w:rsidRPr="00395DEF">
        <w:rPr>
          <w:rFonts w:cs="Arial"/>
          <w:szCs w:val="20"/>
        </w:rPr>
        <w:t>me may counteract this (1</w:t>
      </w:r>
      <w:r w:rsidR="008A6523">
        <w:rPr>
          <w:rFonts w:cs="Arial"/>
          <w:szCs w:val="20"/>
        </w:rPr>
        <w:t>2</w:t>
      </w:r>
      <w:r w:rsidRPr="00395DEF">
        <w:rPr>
          <w:rFonts w:cs="Arial"/>
          <w:szCs w:val="20"/>
        </w:rPr>
        <w:t>,1</w:t>
      </w:r>
      <w:r w:rsidR="008A6523">
        <w:rPr>
          <w:rFonts w:cs="Arial"/>
          <w:szCs w:val="20"/>
        </w:rPr>
        <w:t>6</w:t>
      </w:r>
      <w:r w:rsidR="009B5F4E" w:rsidRPr="00395DEF">
        <w:rPr>
          <w:rFonts w:cs="Arial"/>
          <w:szCs w:val="20"/>
        </w:rPr>
        <w:t>).</w:t>
      </w:r>
      <w:r w:rsidR="009B5F4E" w:rsidRPr="00867145">
        <w:rPr>
          <w:rFonts w:cs="Arial"/>
          <w:szCs w:val="20"/>
        </w:rPr>
        <w:t xml:space="preserve"> The</w:t>
      </w:r>
      <w:r w:rsidR="002155C0" w:rsidRPr="00867145">
        <w:rPr>
          <w:rFonts w:cs="Arial"/>
          <w:szCs w:val="20"/>
        </w:rPr>
        <w:t xml:space="preserve"> effect of obesity on renal clearance is </w:t>
      </w:r>
      <w:r w:rsidR="00047840" w:rsidRPr="00867145">
        <w:rPr>
          <w:rFonts w:cs="Arial"/>
          <w:szCs w:val="20"/>
        </w:rPr>
        <w:t>un</w:t>
      </w:r>
      <w:r w:rsidR="002155C0" w:rsidRPr="00867145">
        <w:rPr>
          <w:rFonts w:cs="Arial"/>
          <w:szCs w:val="20"/>
        </w:rPr>
        <w:t>clear (</w:t>
      </w:r>
      <w:r w:rsidR="00932456">
        <w:rPr>
          <w:rFonts w:cs="Arial"/>
          <w:szCs w:val="20"/>
        </w:rPr>
        <w:t>1</w:t>
      </w:r>
      <w:r w:rsidR="008A6523">
        <w:rPr>
          <w:rFonts w:cs="Arial"/>
          <w:szCs w:val="20"/>
        </w:rPr>
        <w:t>7</w:t>
      </w:r>
      <w:r w:rsidR="002155C0" w:rsidRPr="00867145">
        <w:rPr>
          <w:rFonts w:cs="Arial"/>
          <w:szCs w:val="20"/>
        </w:rPr>
        <w:t>)</w:t>
      </w:r>
      <w:r w:rsidR="00047840" w:rsidRPr="00867145">
        <w:rPr>
          <w:rFonts w:cs="Arial"/>
          <w:szCs w:val="20"/>
        </w:rPr>
        <w:t xml:space="preserve">. </w:t>
      </w:r>
      <w:r w:rsidR="00F23CB1" w:rsidRPr="00867145">
        <w:rPr>
          <w:rFonts w:cs="Arial"/>
          <w:szCs w:val="20"/>
        </w:rPr>
        <w:t>Increases in glomerular filtration and renal</w:t>
      </w:r>
      <w:r w:rsidR="00472E3A" w:rsidRPr="00867145">
        <w:rPr>
          <w:rFonts w:cs="Arial"/>
          <w:szCs w:val="20"/>
        </w:rPr>
        <w:t xml:space="preserve"> blood</w:t>
      </w:r>
      <w:r w:rsidR="00F23CB1" w:rsidRPr="00867145">
        <w:rPr>
          <w:rFonts w:cs="Arial"/>
          <w:szCs w:val="20"/>
        </w:rPr>
        <w:t xml:space="preserve"> flow have been reported as well as evidence of unaltered renal function (</w:t>
      </w:r>
      <w:r w:rsidR="007A2C5A" w:rsidRPr="00867145">
        <w:rPr>
          <w:rFonts w:cs="Arial"/>
          <w:szCs w:val="20"/>
        </w:rPr>
        <w:t>1</w:t>
      </w:r>
      <w:r w:rsidR="008A6523">
        <w:rPr>
          <w:rFonts w:cs="Arial"/>
          <w:szCs w:val="20"/>
        </w:rPr>
        <w:t>5</w:t>
      </w:r>
      <w:r w:rsidR="0068281E">
        <w:rPr>
          <w:rFonts w:cs="Arial"/>
          <w:szCs w:val="20"/>
        </w:rPr>
        <w:t>,</w:t>
      </w:r>
      <w:r w:rsidR="007A2C5A" w:rsidRPr="00867145">
        <w:rPr>
          <w:rFonts w:cs="Arial"/>
          <w:szCs w:val="20"/>
        </w:rPr>
        <w:t>1</w:t>
      </w:r>
      <w:r w:rsidR="008A6523">
        <w:rPr>
          <w:rFonts w:cs="Arial"/>
          <w:szCs w:val="20"/>
        </w:rPr>
        <w:t>6</w:t>
      </w:r>
      <w:r w:rsidR="00F23CB1" w:rsidRPr="00867145">
        <w:rPr>
          <w:rFonts w:cs="Arial"/>
          <w:szCs w:val="20"/>
        </w:rPr>
        <w:t xml:space="preserve">). </w:t>
      </w:r>
      <w:r w:rsidR="00E27690" w:rsidRPr="00867145">
        <w:rPr>
          <w:rFonts w:cs="Arial"/>
          <w:szCs w:val="20"/>
        </w:rPr>
        <w:t xml:space="preserve"> </w:t>
      </w:r>
      <w:r w:rsidR="00B87895">
        <w:rPr>
          <w:rFonts w:cs="Arial"/>
          <w:szCs w:val="20"/>
        </w:rPr>
        <w:br/>
      </w:r>
    </w:p>
    <w:p w14:paraId="3476EE3C" w14:textId="7F854415" w:rsidR="00331DCF" w:rsidRPr="00065DA6" w:rsidRDefault="00331DCF" w:rsidP="00331DCF">
      <w:pPr>
        <w:pStyle w:val="Heading2"/>
        <w:spacing w:line="276" w:lineRule="auto"/>
        <w:rPr>
          <w:sz w:val="20"/>
        </w:rPr>
      </w:pPr>
      <w:r>
        <w:rPr>
          <w:sz w:val="20"/>
        </w:rPr>
        <w:lastRenderedPageBreak/>
        <w:t>Which measure of weight should be used?</w:t>
      </w:r>
    </w:p>
    <w:p w14:paraId="1E9C9164" w14:textId="46A0CB85" w:rsidR="007F658C" w:rsidRDefault="002A550A" w:rsidP="00522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w:t>
      </w:r>
      <w:r w:rsidRPr="004C14B8">
        <w:t>ethods for dosing medication in children include: age-based dosing, allometric scaling, body surface area (BSA)-based dosing, and weight-based dosing</w:t>
      </w:r>
      <w:r>
        <w:t xml:space="preserve"> (</w:t>
      </w:r>
      <w:r w:rsidR="008A6523">
        <w:t>7</w:t>
      </w:r>
      <w:r>
        <w:t>)</w:t>
      </w:r>
      <w:r w:rsidRPr="004C14B8">
        <w:t xml:space="preserve">. </w:t>
      </w:r>
    </w:p>
    <w:p w14:paraId="56D104F4" w14:textId="24665B98" w:rsidR="008F4C3F" w:rsidRDefault="00EE0DB9" w:rsidP="00062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majority of</w:t>
      </w:r>
      <w:r w:rsidR="00213489" w:rsidRPr="00213489">
        <w:t xml:space="preserve"> children's doses in </w:t>
      </w:r>
      <w:r w:rsidR="00C336A4">
        <w:t xml:space="preserve">the </w:t>
      </w:r>
      <w:r w:rsidR="00213489" w:rsidRPr="00DD241A">
        <w:rPr>
          <w:i/>
        </w:rPr>
        <w:t xml:space="preserve">BNF for </w:t>
      </w:r>
      <w:r w:rsidR="00B77F11">
        <w:rPr>
          <w:i/>
        </w:rPr>
        <w:t>C</w:t>
      </w:r>
      <w:r w:rsidR="00213489" w:rsidRPr="00DD241A">
        <w:rPr>
          <w:i/>
        </w:rPr>
        <w:t>hildren</w:t>
      </w:r>
      <w:r w:rsidR="00213489">
        <w:t xml:space="preserve"> (BNF</w:t>
      </w:r>
      <w:r w:rsidR="00DD241A">
        <w:t>C</w:t>
      </w:r>
      <w:r w:rsidR="00213489">
        <w:t>)</w:t>
      </w:r>
      <w:r w:rsidR="00213489" w:rsidRPr="00213489">
        <w:t xml:space="preserve"> are standardised by body-weight</w:t>
      </w:r>
      <w:r w:rsidR="00213489">
        <w:t xml:space="preserve"> (</w:t>
      </w:r>
      <w:r w:rsidR="008A6523">
        <w:t>4</w:t>
      </w:r>
      <w:r w:rsidR="00213489">
        <w:t>)</w:t>
      </w:r>
      <w:r w:rsidR="00213489" w:rsidRPr="00213489">
        <w:t>.</w:t>
      </w:r>
      <w:r w:rsidR="00213489">
        <w:t xml:space="preserve"> </w:t>
      </w:r>
      <w:r w:rsidR="002B1538" w:rsidRPr="002B1538">
        <w:t>Ca</w:t>
      </w:r>
      <w:r w:rsidR="002B1538">
        <w:t xml:space="preserve">lculation by body-weight in </w:t>
      </w:r>
      <w:r w:rsidR="002B1538" w:rsidRPr="002B1538">
        <w:t>child</w:t>
      </w:r>
      <w:r w:rsidR="00091F14">
        <w:t>ren</w:t>
      </w:r>
      <w:r w:rsidR="009B5F4E">
        <w:t xml:space="preserve"> </w:t>
      </w:r>
      <w:r w:rsidR="000C659B">
        <w:t>who are obese</w:t>
      </w:r>
      <w:r w:rsidR="002B1538" w:rsidRPr="002B1538">
        <w:t xml:space="preserve"> may result in much higher doses being administered than necessary</w:t>
      </w:r>
      <w:r w:rsidR="00736B05">
        <w:t xml:space="preserve"> (</w:t>
      </w:r>
      <w:r w:rsidR="008A6523">
        <w:t>4</w:t>
      </w:r>
      <w:r w:rsidR="00736B05">
        <w:t>)</w:t>
      </w:r>
      <w:r w:rsidR="002B1538">
        <w:t xml:space="preserve">. </w:t>
      </w:r>
      <w:r w:rsidR="007F658C">
        <w:t>To accommodate for c</w:t>
      </w:r>
      <w:r w:rsidR="007F658C">
        <w:rPr>
          <w:rFonts w:cs="Arial"/>
          <w:szCs w:val="20"/>
        </w:rPr>
        <w:t xml:space="preserve">hanges in body composition, </w:t>
      </w:r>
      <w:r w:rsidR="00522EE2" w:rsidRPr="00522EE2">
        <w:rPr>
          <w:rFonts w:cs="Arial"/>
          <w:szCs w:val="20"/>
        </w:rPr>
        <w:t xml:space="preserve">dose adjustments using </w:t>
      </w:r>
      <w:r w:rsidR="007F658C">
        <w:rPr>
          <w:rFonts w:cs="Arial"/>
          <w:szCs w:val="20"/>
        </w:rPr>
        <w:t>an appropriate size descriptor</w:t>
      </w:r>
      <w:r w:rsidR="00522EE2">
        <w:rPr>
          <w:rFonts w:cs="Arial"/>
          <w:szCs w:val="20"/>
        </w:rPr>
        <w:t xml:space="preserve"> such as </w:t>
      </w:r>
      <w:r w:rsidR="002A550A">
        <w:t>ideal body weight (IBW)</w:t>
      </w:r>
      <w:r w:rsidR="002A098B">
        <w:t xml:space="preserve"> or</w:t>
      </w:r>
      <w:r w:rsidR="002A550A">
        <w:t xml:space="preserve"> adjusted bod</w:t>
      </w:r>
      <w:r w:rsidR="007F658C">
        <w:t>y weight (</w:t>
      </w:r>
      <w:proofErr w:type="spellStart"/>
      <w:r w:rsidR="007F658C">
        <w:t>A</w:t>
      </w:r>
      <w:r w:rsidR="00C67C20">
        <w:t>dj</w:t>
      </w:r>
      <w:r w:rsidR="007F658C">
        <w:t>BW</w:t>
      </w:r>
      <w:proofErr w:type="spellEnd"/>
      <w:r w:rsidR="007F658C">
        <w:t>) may be necessary for certain drugs</w:t>
      </w:r>
      <w:r w:rsidR="002A098B">
        <w:t xml:space="preserve"> </w:t>
      </w:r>
      <w:r w:rsidR="002A550A">
        <w:t>(</w:t>
      </w:r>
      <w:r w:rsidR="008A6523">
        <w:t>5</w:t>
      </w:r>
      <w:r w:rsidR="007F658C">
        <w:t>,</w:t>
      </w:r>
      <w:r w:rsidR="008A6523">
        <w:t>6</w:t>
      </w:r>
      <w:r w:rsidR="002A550A">
        <w:t xml:space="preserve">). </w:t>
      </w:r>
      <w:r w:rsidR="008F4C3F">
        <w:t>For children &gt;120% of IBW, the choice of size de</w:t>
      </w:r>
      <w:r w:rsidR="00D419E4">
        <w:t>scriptor becomes more important</w:t>
      </w:r>
      <w:r w:rsidR="008F4C3F">
        <w:t xml:space="preserve"> since the calculated dose of medicine could vary considerably (</w:t>
      </w:r>
      <w:r w:rsidR="00A0156E">
        <w:t>1</w:t>
      </w:r>
      <w:r w:rsidR="008A6523">
        <w:t>9</w:t>
      </w:r>
      <w:r w:rsidR="008F4C3F">
        <w:t xml:space="preserve">). </w:t>
      </w:r>
      <w:r w:rsidR="00944861">
        <w:t>In an emergency setting, actual body weight (or estimated body weight) may be used to prevent delay of treatment.</w:t>
      </w:r>
      <w:r w:rsidR="001C649A">
        <w:t xml:space="preserve"> However, dosing should be reviewed as soon as possible to ensure excess dosing does not accumulate.</w:t>
      </w:r>
    </w:p>
    <w:p w14:paraId="42054CC6" w14:textId="33BE51C5" w:rsidR="0069588B" w:rsidRDefault="0069588B" w:rsidP="0069588B">
      <w:pPr>
        <w:pStyle w:val="Heading2"/>
        <w:spacing w:line="276" w:lineRule="auto"/>
        <w:rPr>
          <w:sz w:val="20"/>
        </w:rPr>
      </w:pPr>
      <w:r>
        <w:rPr>
          <w:sz w:val="20"/>
        </w:rPr>
        <w:t xml:space="preserve">Size descriptors and how to calculate </w:t>
      </w:r>
    </w:p>
    <w:p w14:paraId="362B12F1" w14:textId="77777777" w:rsidR="00E634A5" w:rsidRDefault="00E634A5" w:rsidP="00E634A5">
      <w:pPr>
        <w:autoSpaceDE w:val="0"/>
        <w:autoSpaceDN w:val="0"/>
        <w:adjustRightInd w:val="0"/>
        <w:spacing w:after="0" w:line="240" w:lineRule="auto"/>
        <w:rPr>
          <w:rFonts w:eastAsiaTheme="minorHAnsi" w:cs="Arial"/>
          <w:b/>
          <w:bCs/>
          <w:color w:val="006FC0"/>
          <w:szCs w:val="20"/>
        </w:rPr>
      </w:pPr>
    </w:p>
    <w:p w14:paraId="233141C6" w14:textId="01A5F1FB" w:rsidR="00CA6216" w:rsidRPr="00E634A5" w:rsidRDefault="00CA6216" w:rsidP="00CA6216">
      <w:pPr>
        <w:autoSpaceDE w:val="0"/>
        <w:autoSpaceDN w:val="0"/>
        <w:adjustRightInd w:val="0"/>
        <w:spacing w:after="0" w:line="240" w:lineRule="auto"/>
        <w:rPr>
          <w:rFonts w:eastAsiaTheme="minorHAnsi" w:cs="Arial"/>
          <w:color w:val="006FC0"/>
          <w:szCs w:val="20"/>
        </w:rPr>
      </w:pPr>
      <w:r w:rsidRPr="00E634A5">
        <w:rPr>
          <w:rFonts w:eastAsiaTheme="minorHAnsi" w:cs="Arial"/>
          <w:b/>
          <w:bCs/>
          <w:color w:val="006FC0"/>
          <w:szCs w:val="20"/>
        </w:rPr>
        <w:t xml:space="preserve">Table 1: Common measures of weight used when dosing </w:t>
      </w:r>
      <w:r w:rsidR="00A0435D">
        <w:rPr>
          <w:rFonts w:eastAsiaTheme="minorHAnsi" w:cs="Arial"/>
          <w:b/>
          <w:bCs/>
          <w:color w:val="006FC0"/>
          <w:szCs w:val="20"/>
        </w:rPr>
        <w:t>medicines</w:t>
      </w:r>
      <w:r w:rsidRPr="00E634A5">
        <w:rPr>
          <w:rFonts w:eastAsiaTheme="minorHAnsi" w:cs="Arial"/>
          <w:b/>
          <w:bCs/>
          <w:color w:val="006FC0"/>
          <w:szCs w:val="20"/>
        </w:rPr>
        <w:t xml:space="preserve"> in </w:t>
      </w:r>
      <w:r w:rsidR="00A0435D">
        <w:rPr>
          <w:rFonts w:eastAsiaTheme="minorHAnsi" w:cs="Arial"/>
          <w:b/>
          <w:bCs/>
          <w:color w:val="006FC0"/>
          <w:szCs w:val="20"/>
        </w:rPr>
        <w:t xml:space="preserve">childhood </w:t>
      </w:r>
      <w:r w:rsidRPr="00E634A5">
        <w:rPr>
          <w:rFonts w:eastAsiaTheme="minorHAnsi" w:cs="Arial"/>
          <w:b/>
          <w:bCs/>
          <w:color w:val="006FC0"/>
          <w:szCs w:val="20"/>
        </w:rPr>
        <w:t xml:space="preserve">obesity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4775"/>
      </w:tblGrid>
      <w:tr w:rsidR="00CA6216" w:rsidRPr="00E634A5" w14:paraId="1B519638" w14:textId="77777777" w:rsidTr="00551D7B">
        <w:trPr>
          <w:trHeight w:val="186"/>
        </w:trPr>
        <w:tc>
          <w:tcPr>
            <w:tcW w:w="4151" w:type="dxa"/>
          </w:tcPr>
          <w:p w14:paraId="33B51967" w14:textId="77777777" w:rsidR="00CA6216" w:rsidRPr="00E634A5" w:rsidRDefault="00CA6216" w:rsidP="003658A4">
            <w:pPr>
              <w:autoSpaceDE w:val="0"/>
              <w:autoSpaceDN w:val="0"/>
              <w:adjustRightInd w:val="0"/>
              <w:spacing w:after="0" w:line="240" w:lineRule="auto"/>
              <w:rPr>
                <w:rFonts w:eastAsiaTheme="minorHAnsi" w:cs="Arial"/>
                <w:color w:val="000000"/>
                <w:szCs w:val="20"/>
              </w:rPr>
            </w:pPr>
            <w:r w:rsidRPr="00E634A5">
              <w:rPr>
                <w:rFonts w:eastAsiaTheme="minorHAnsi" w:cs="Arial"/>
                <w:b/>
                <w:bCs/>
                <w:color w:val="000000"/>
                <w:szCs w:val="20"/>
              </w:rPr>
              <w:t xml:space="preserve">Weight (kg) </w:t>
            </w:r>
          </w:p>
        </w:tc>
        <w:tc>
          <w:tcPr>
            <w:tcW w:w="4775" w:type="dxa"/>
          </w:tcPr>
          <w:p w14:paraId="459C6167" w14:textId="0CE61FBC" w:rsidR="00CA6216" w:rsidRPr="00E634A5" w:rsidRDefault="00CA6216" w:rsidP="003658A4">
            <w:pPr>
              <w:autoSpaceDE w:val="0"/>
              <w:autoSpaceDN w:val="0"/>
              <w:adjustRightInd w:val="0"/>
              <w:spacing w:after="0" w:line="240" w:lineRule="auto"/>
              <w:rPr>
                <w:rFonts w:eastAsiaTheme="minorHAnsi" w:cs="Arial"/>
                <w:color w:val="000000"/>
                <w:szCs w:val="20"/>
              </w:rPr>
            </w:pPr>
            <w:r w:rsidRPr="00E634A5">
              <w:rPr>
                <w:rFonts w:eastAsiaTheme="minorHAnsi" w:cs="Arial"/>
                <w:b/>
                <w:bCs/>
                <w:color w:val="000000"/>
                <w:szCs w:val="20"/>
              </w:rPr>
              <w:t>How/What to measure</w:t>
            </w:r>
            <w:r w:rsidR="001C649A">
              <w:rPr>
                <w:rFonts w:eastAsiaTheme="minorHAnsi" w:cs="Arial"/>
                <w:b/>
                <w:bCs/>
                <w:color w:val="000000"/>
                <w:szCs w:val="20"/>
              </w:rPr>
              <w:t>/calculate</w:t>
            </w:r>
            <w:r w:rsidRPr="00E634A5">
              <w:rPr>
                <w:rFonts w:eastAsiaTheme="minorHAnsi" w:cs="Arial"/>
                <w:b/>
                <w:bCs/>
                <w:color w:val="000000"/>
                <w:szCs w:val="20"/>
              </w:rPr>
              <w:t xml:space="preserve"> </w:t>
            </w:r>
          </w:p>
        </w:tc>
      </w:tr>
      <w:tr w:rsidR="00CA6216" w:rsidRPr="00E634A5" w14:paraId="0E8D2615" w14:textId="77777777" w:rsidTr="00551D7B">
        <w:trPr>
          <w:trHeight w:val="189"/>
        </w:trPr>
        <w:tc>
          <w:tcPr>
            <w:tcW w:w="4151" w:type="dxa"/>
          </w:tcPr>
          <w:p w14:paraId="23FCA81B" w14:textId="77777777" w:rsidR="00CA6216" w:rsidRPr="00E634A5" w:rsidRDefault="00CA6216" w:rsidP="003658A4">
            <w:pPr>
              <w:autoSpaceDE w:val="0"/>
              <w:autoSpaceDN w:val="0"/>
              <w:adjustRightInd w:val="0"/>
              <w:spacing w:after="0" w:line="240" w:lineRule="auto"/>
              <w:rPr>
                <w:rFonts w:eastAsiaTheme="minorHAnsi" w:cs="Arial"/>
                <w:color w:val="000000"/>
                <w:szCs w:val="20"/>
              </w:rPr>
            </w:pPr>
            <w:r w:rsidRPr="00E634A5">
              <w:rPr>
                <w:rFonts w:eastAsiaTheme="minorHAnsi" w:cs="Arial"/>
                <w:b/>
                <w:bCs/>
                <w:color w:val="000000"/>
                <w:szCs w:val="20"/>
              </w:rPr>
              <w:t xml:space="preserve">Total Body Weight (TBW) </w:t>
            </w:r>
          </w:p>
        </w:tc>
        <w:tc>
          <w:tcPr>
            <w:tcW w:w="4775" w:type="dxa"/>
          </w:tcPr>
          <w:p w14:paraId="2EC9CB68" w14:textId="3B5C5134" w:rsidR="00CA6216" w:rsidRPr="00E634A5" w:rsidRDefault="00CA6216" w:rsidP="003658A4">
            <w:pPr>
              <w:autoSpaceDE w:val="0"/>
              <w:autoSpaceDN w:val="0"/>
              <w:adjustRightInd w:val="0"/>
              <w:spacing w:after="0" w:line="240" w:lineRule="auto"/>
              <w:rPr>
                <w:rFonts w:eastAsiaTheme="minorHAnsi" w:cs="Arial"/>
                <w:color w:val="000000"/>
                <w:szCs w:val="20"/>
              </w:rPr>
            </w:pPr>
            <w:r w:rsidRPr="00E634A5">
              <w:rPr>
                <w:rFonts w:eastAsiaTheme="minorHAnsi" w:cs="Arial"/>
                <w:color w:val="000000"/>
                <w:szCs w:val="20"/>
              </w:rPr>
              <w:t xml:space="preserve">Weight in kg </w:t>
            </w:r>
            <w:r w:rsidR="002A098B">
              <w:rPr>
                <w:rFonts w:eastAsiaTheme="minorHAnsi" w:cs="Arial"/>
                <w:color w:val="000000"/>
                <w:szCs w:val="20"/>
              </w:rPr>
              <w:t>(no adjustment necessary)</w:t>
            </w:r>
          </w:p>
        </w:tc>
      </w:tr>
      <w:tr w:rsidR="00CA6216" w:rsidRPr="00E634A5" w14:paraId="546CA597" w14:textId="77777777" w:rsidTr="00551D7B">
        <w:trPr>
          <w:trHeight w:val="210"/>
        </w:trPr>
        <w:tc>
          <w:tcPr>
            <w:tcW w:w="4151" w:type="dxa"/>
          </w:tcPr>
          <w:p w14:paraId="57FAAA2D" w14:textId="77777777" w:rsidR="00CA6216" w:rsidRPr="00E634A5" w:rsidRDefault="00CA6216" w:rsidP="003658A4">
            <w:pPr>
              <w:autoSpaceDE w:val="0"/>
              <w:autoSpaceDN w:val="0"/>
              <w:adjustRightInd w:val="0"/>
              <w:spacing w:after="0" w:line="240" w:lineRule="auto"/>
              <w:rPr>
                <w:rFonts w:eastAsiaTheme="minorHAnsi" w:cs="Arial"/>
                <w:color w:val="000000"/>
                <w:sz w:val="22"/>
              </w:rPr>
            </w:pPr>
            <w:r w:rsidRPr="00E634A5">
              <w:rPr>
                <w:rFonts w:eastAsiaTheme="minorHAnsi" w:cs="Arial"/>
                <w:b/>
                <w:bCs/>
                <w:color w:val="000000"/>
                <w:szCs w:val="20"/>
              </w:rPr>
              <w:t>Body Mass Index (BMI)</w:t>
            </w:r>
            <w:r w:rsidRPr="00E634A5">
              <w:rPr>
                <w:rFonts w:eastAsiaTheme="minorHAnsi" w:cs="Arial"/>
                <w:color w:val="000000"/>
                <w:sz w:val="22"/>
              </w:rPr>
              <w:t xml:space="preserve"> </w:t>
            </w:r>
          </w:p>
        </w:tc>
        <w:tc>
          <w:tcPr>
            <w:tcW w:w="4775" w:type="dxa"/>
          </w:tcPr>
          <w:p w14:paraId="465F632E" w14:textId="1BC17A20" w:rsidR="00CA6216" w:rsidRPr="00E634A5" w:rsidRDefault="00CF3525" w:rsidP="0059297E">
            <w:pPr>
              <w:autoSpaceDE w:val="0"/>
              <w:autoSpaceDN w:val="0"/>
              <w:adjustRightInd w:val="0"/>
              <w:spacing w:after="0" w:line="240" w:lineRule="auto"/>
              <w:rPr>
                <w:rFonts w:eastAsiaTheme="minorHAnsi" w:cs="Arial"/>
                <w:color w:val="000000"/>
                <w:szCs w:val="20"/>
              </w:rPr>
            </w:pPr>
            <w:proofErr w:type="gramStart"/>
            <w:r>
              <w:rPr>
                <w:rFonts w:eastAsiaTheme="minorHAnsi" w:cs="Arial"/>
                <w:color w:val="000000"/>
                <w:szCs w:val="20"/>
              </w:rPr>
              <w:t>TBW(</w:t>
            </w:r>
            <w:proofErr w:type="gramEnd"/>
            <w:r>
              <w:rPr>
                <w:rFonts w:eastAsiaTheme="minorHAnsi" w:cs="Arial"/>
                <w:color w:val="000000"/>
                <w:szCs w:val="20"/>
              </w:rPr>
              <w:t xml:space="preserve">kg)/ </w:t>
            </w:r>
            <w:r w:rsidR="0059297E">
              <w:rPr>
                <w:rFonts w:eastAsiaTheme="minorHAnsi" w:cs="Arial"/>
                <w:color w:val="000000"/>
                <w:szCs w:val="20"/>
              </w:rPr>
              <w:t>(</w:t>
            </w:r>
            <w:r w:rsidR="00CA6216" w:rsidRPr="00E634A5">
              <w:rPr>
                <w:rFonts w:eastAsiaTheme="minorHAnsi" w:cs="Arial"/>
                <w:color w:val="000000"/>
                <w:szCs w:val="20"/>
              </w:rPr>
              <w:t xml:space="preserve">height </w:t>
            </w:r>
            <w:r w:rsidR="0059297E">
              <w:rPr>
                <w:rFonts w:eastAsiaTheme="minorHAnsi" w:cs="Arial"/>
                <w:color w:val="000000"/>
                <w:szCs w:val="20"/>
              </w:rPr>
              <w:t xml:space="preserve">in </w:t>
            </w:r>
            <w:r w:rsidR="00CA6216" w:rsidRPr="00E634A5">
              <w:rPr>
                <w:rFonts w:eastAsiaTheme="minorHAnsi" w:cs="Arial"/>
                <w:color w:val="000000"/>
                <w:szCs w:val="20"/>
              </w:rPr>
              <w:t>m</w:t>
            </w:r>
            <w:r w:rsidR="0059297E">
              <w:rPr>
                <w:rFonts w:eastAsiaTheme="minorHAnsi" w:cs="Arial"/>
                <w:color w:val="000000"/>
                <w:szCs w:val="20"/>
              </w:rPr>
              <w:t>)</w:t>
            </w:r>
            <w:r>
              <w:rPr>
                <w:rFonts w:eastAsiaTheme="minorHAnsi" w:cs="Arial"/>
                <w:color w:val="000000"/>
                <w:szCs w:val="20"/>
                <w:vertAlign w:val="superscript"/>
              </w:rPr>
              <w:t>2</w:t>
            </w:r>
            <w:r w:rsidR="00CA6216" w:rsidRPr="00E634A5">
              <w:rPr>
                <w:rFonts w:eastAsiaTheme="minorHAnsi" w:cs="Arial"/>
                <w:color w:val="000000"/>
                <w:szCs w:val="20"/>
              </w:rPr>
              <w:t xml:space="preserve">  </w:t>
            </w:r>
          </w:p>
        </w:tc>
      </w:tr>
      <w:tr w:rsidR="00CA6216" w:rsidRPr="00E634A5" w14:paraId="6ADB342A" w14:textId="77777777" w:rsidTr="00551D7B">
        <w:trPr>
          <w:trHeight w:val="426"/>
        </w:trPr>
        <w:tc>
          <w:tcPr>
            <w:tcW w:w="4151" w:type="dxa"/>
          </w:tcPr>
          <w:p w14:paraId="67196F70" w14:textId="6CABB30F" w:rsidR="00CA6216" w:rsidRPr="00E634A5" w:rsidRDefault="00CA6216" w:rsidP="003658A4">
            <w:pPr>
              <w:autoSpaceDE w:val="0"/>
              <w:autoSpaceDN w:val="0"/>
              <w:adjustRightInd w:val="0"/>
              <w:spacing w:after="0" w:line="240" w:lineRule="auto"/>
              <w:rPr>
                <w:rFonts w:eastAsiaTheme="minorHAnsi" w:cs="Arial"/>
                <w:color w:val="000000"/>
                <w:szCs w:val="20"/>
                <w:vertAlign w:val="superscript"/>
              </w:rPr>
            </w:pPr>
            <w:r>
              <w:rPr>
                <w:rFonts w:eastAsiaTheme="minorHAnsi" w:cs="Arial"/>
                <w:b/>
                <w:bCs/>
                <w:color w:val="000000"/>
                <w:szCs w:val="20"/>
              </w:rPr>
              <w:t xml:space="preserve">Ideal Body Weight (IBW) </w:t>
            </w:r>
            <w:r w:rsidR="008A6523">
              <w:rPr>
                <w:rFonts w:eastAsiaTheme="minorHAnsi" w:cs="Arial"/>
                <w:b/>
                <w:bCs/>
                <w:color w:val="000000"/>
                <w:szCs w:val="20"/>
                <w:vertAlign w:val="superscript"/>
              </w:rPr>
              <w:t>20</w:t>
            </w:r>
            <w:r w:rsidR="00636D4D">
              <w:rPr>
                <w:rFonts w:eastAsiaTheme="minorHAnsi" w:cs="Arial"/>
                <w:b/>
                <w:bCs/>
                <w:color w:val="000000"/>
                <w:szCs w:val="20"/>
                <w:vertAlign w:val="superscript"/>
              </w:rPr>
              <w:t>,2</w:t>
            </w:r>
            <w:r w:rsidR="008A6523">
              <w:rPr>
                <w:rFonts w:eastAsiaTheme="minorHAnsi" w:cs="Arial"/>
                <w:b/>
                <w:bCs/>
                <w:color w:val="000000"/>
                <w:szCs w:val="20"/>
                <w:vertAlign w:val="superscript"/>
              </w:rPr>
              <w:t>1</w:t>
            </w:r>
          </w:p>
        </w:tc>
        <w:tc>
          <w:tcPr>
            <w:tcW w:w="4775" w:type="dxa"/>
          </w:tcPr>
          <w:p w14:paraId="55D516DE" w14:textId="42365398" w:rsidR="00CA6216" w:rsidRPr="00E634A5" w:rsidRDefault="00650F6D" w:rsidP="0059297E">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 xml:space="preserve">Moore’s Method - </w:t>
            </w:r>
            <w:r w:rsidR="00636D4D">
              <w:rPr>
                <w:rFonts w:eastAsiaTheme="minorHAnsi" w:cs="Arial"/>
                <w:color w:val="000000"/>
                <w:szCs w:val="20"/>
              </w:rPr>
              <w:t xml:space="preserve">Using </w:t>
            </w:r>
            <w:hyperlink r:id="rId12" w:history="1">
              <w:r w:rsidR="00636D4D" w:rsidRPr="00636D4D">
                <w:rPr>
                  <w:rStyle w:val="Hyperlink"/>
                  <w:rFonts w:eastAsiaTheme="minorHAnsi" w:cs="Arial"/>
                  <w:szCs w:val="20"/>
                </w:rPr>
                <w:t>STAMP</w:t>
              </w:r>
            </w:hyperlink>
            <w:r w:rsidR="00636D4D">
              <w:rPr>
                <w:rFonts w:eastAsiaTheme="minorHAnsi" w:cs="Arial"/>
                <w:color w:val="000000"/>
                <w:szCs w:val="20"/>
              </w:rPr>
              <w:t xml:space="preserve"> tool</w:t>
            </w:r>
            <w:r w:rsidR="00F172AB">
              <w:rPr>
                <w:rFonts w:eastAsiaTheme="minorHAnsi" w:cs="Arial"/>
                <w:color w:val="000000"/>
                <w:szCs w:val="20"/>
              </w:rPr>
              <w:t xml:space="preserve"> or </w:t>
            </w:r>
            <w:hyperlink r:id="rId13" w:history="1">
              <w:r w:rsidR="000309E3">
                <w:rPr>
                  <w:rStyle w:val="Hyperlink"/>
                  <w:rFonts w:eastAsiaTheme="minorHAnsi" w:cs="Arial"/>
                  <w:szCs w:val="20"/>
                </w:rPr>
                <w:t>UK WHO</w:t>
              </w:r>
              <w:r w:rsidR="00F172AB" w:rsidRPr="00F172AB">
                <w:rPr>
                  <w:rStyle w:val="Hyperlink"/>
                  <w:rFonts w:eastAsiaTheme="minorHAnsi" w:cs="Arial"/>
                  <w:szCs w:val="20"/>
                </w:rPr>
                <w:t xml:space="preserve"> </w:t>
              </w:r>
              <w:r w:rsidR="00FE37A0">
                <w:rPr>
                  <w:rStyle w:val="Hyperlink"/>
                  <w:rFonts w:eastAsiaTheme="minorHAnsi" w:cs="Arial"/>
                  <w:szCs w:val="20"/>
                </w:rPr>
                <w:t>growth</w:t>
              </w:r>
              <w:r w:rsidR="00F172AB" w:rsidRPr="00F172AB">
                <w:rPr>
                  <w:rStyle w:val="Hyperlink"/>
                  <w:rFonts w:eastAsiaTheme="minorHAnsi" w:cs="Arial"/>
                  <w:szCs w:val="20"/>
                </w:rPr>
                <w:t xml:space="preserve"> charts</w:t>
              </w:r>
            </w:hyperlink>
            <w:r w:rsidR="00636D4D">
              <w:rPr>
                <w:rFonts w:eastAsiaTheme="minorHAnsi" w:cs="Arial"/>
                <w:color w:val="000000"/>
                <w:szCs w:val="20"/>
              </w:rPr>
              <w:t>, cross reference height centile to weight for that centile</w:t>
            </w:r>
          </w:p>
        </w:tc>
      </w:tr>
      <w:tr w:rsidR="00CA6216" w:rsidRPr="00E634A5" w14:paraId="097A9035" w14:textId="77777777" w:rsidTr="00551D7B">
        <w:trPr>
          <w:trHeight w:val="419"/>
        </w:trPr>
        <w:tc>
          <w:tcPr>
            <w:tcW w:w="4151" w:type="dxa"/>
          </w:tcPr>
          <w:p w14:paraId="16E66802" w14:textId="12013160" w:rsidR="00CA6216" w:rsidRPr="00CF3525" w:rsidRDefault="00CA6216" w:rsidP="00AB754D">
            <w:pPr>
              <w:autoSpaceDE w:val="0"/>
              <w:autoSpaceDN w:val="0"/>
              <w:adjustRightInd w:val="0"/>
              <w:spacing w:after="0" w:line="240" w:lineRule="auto"/>
              <w:rPr>
                <w:rFonts w:eastAsiaTheme="minorHAnsi" w:cs="Arial"/>
                <w:color w:val="000000"/>
                <w:sz w:val="13"/>
                <w:szCs w:val="13"/>
              </w:rPr>
            </w:pPr>
            <w:r>
              <w:rPr>
                <w:rFonts w:eastAsiaTheme="minorHAnsi" w:cs="Arial"/>
                <w:b/>
                <w:bCs/>
                <w:color w:val="000000"/>
                <w:szCs w:val="20"/>
              </w:rPr>
              <w:t>Adjusted Body Weight (</w:t>
            </w:r>
            <w:proofErr w:type="spellStart"/>
            <w:r>
              <w:rPr>
                <w:rFonts w:eastAsiaTheme="minorHAnsi" w:cs="Arial"/>
                <w:b/>
                <w:bCs/>
                <w:color w:val="000000"/>
                <w:szCs w:val="20"/>
              </w:rPr>
              <w:t>AdjBW</w:t>
            </w:r>
            <w:proofErr w:type="spellEnd"/>
            <w:r>
              <w:rPr>
                <w:rFonts w:eastAsiaTheme="minorHAnsi" w:cs="Arial"/>
                <w:b/>
                <w:bCs/>
                <w:color w:val="000000"/>
                <w:szCs w:val="20"/>
              </w:rPr>
              <w:t xml:space="preserve">) </w:t>
            </w:r>
            <w:r w:rsidR="00AB754D">
              <w:rPr>
                <w:rFonts w:eastAsiaTheme="minorHAnsi" w:cs="Arial"/>
                <w:b/>
                <w:bCs/>
                <w:color w:val="000000"/>
                <w:szCs w:val="20"/>
                <w:vertAlign w:val="superscript"/>
              </w:rPr>
              <w:t>1</w:t>
            </w:r>
            <w:r w:rsidR="008A6523">
              <w:rPr>
                <w:rFonts w:eastAsiaTheme="minorHAnsi" w:cs="Arial"/>
                <w:b/>
                <w:bCs/>
                <w:color w:val="000000"/>
                <w:szCs w:val="20"/>
                <w:vertAlign w:val="superscript"/>
              </w:rPr>
              <w:t>8</w:t>
            </w:r>
          </w:p>
        </w:tc>
        <w:tc>
          <w:tcPr>
            <w:tcW w:w="4775" w:type="dxa"/>
          </w:tcPr>
          <w:p w14:paraId="2030C176" w14:textId="0D7CB7EC" w:rsidR="00CA6216" w:rsidRPr="00E634A5" w:rsidRDefault="00CA6216" w:rsidP="002A098B">
            <w:pPr>
              <w:autoSpaceDE w:val="0"/>
              <w:autoSpaceDN w:val="0"/>
              <w:adjustRightInd w:val="0"/>
              <w:spacing w:after="0" w:line="240" w:lineRule="auto"/>
              <w:rPr>
                <w:rFonts w:eastAsiaTheme="minorHAnsi" w:cs="Arial"/>
                <w:color w:val="000000"/>
                <w:szCs w:val="20"/>
              </w:rPr>
            </w:pPr>
            <w:r w:rsidRPr="00E634A5">
              <w:rPr>
                <w:rFonts w:eastAsiaTheme="minorHAnsi" w:cs="Arial"/>
                <w:color w:val="000000"/>
                <w:szCs w:val="20"/>
              </w:rPr>
              <w:t>IBW + Adjustment Factor (</w:t>
            </w:r>
            <w:r w:rsidR="002A098B">
              <w:rPr>
                <w:rFonts w:eastAsiaTheme="minorHAnsi" w:cs="Arial"/>
                <w:color w:val="000000"/>
                <w:szCs w:val="20"/>
              </w:rPr>
              <w:t>0.3</w:t>
            </w:r>
            <w:r w:rsidRPr="00E634A5">
              <w:rPr>
                <w:rFonts w:eastAsiaTheme="minorHAnsi" w:cs="Arial"/>
                <w:color w:val="000000"/>
                <w:szCs w:val="20"/>
              </w:rPr>
              <w:t xml:space="preserve">) x (TBW-IBW) </w:t>
            </w:r>
          </w:p>
        </w:tc>
      </w:tr>
    </w:tbl>
    <w:p w14:paraId="48EFFA12" w14:textId="46263701" w:rsidR="00ED5F7A" w:rsidRPr="00ED5F7A" w:rsidRDefault="004C4569" w:rsidP="00ED5F7A">
      <w:pPr>
        <w:rPr>
          <w:rFonts w:cs="Arial"/>
          <w:b/>
          <w:szCs w:val="20"/>
          <w:lang w:val="en-US"/>
        </w:rPr>
      </w:pPr>
      <w:r>
        <w:rPr>
          <w:b/>
        </w:rPr>
        <w:br/>
      </w:r>
      <w:r w:rsidR="00ED5F7A" w:rsidRPr="00ED5F7A">
        <w:rPr>
          <w:b/>
        </w:rPr>
        <w:t>Ideal Body Weight</w:t>
      </w:r>
    </w:p>
    <w:p w14:paraId="39595610" w14:textId="1A1D9F8D" w:rsidR="00ED5F7A" w:rsidRDefault="00ED5F7A" w:rsidP="00ED5F7A">
      <w:r>
        <w:t>For certain medications, IBW is the recommended weight to be used for dose calculations, especially for those</w:t>
      </w:r>
      <w:r w:rsidR="000627E3">
        <w:t xml:space="preserve"> with a </w:t>
      </w:r>
      <w:r w:rsidR="00EB2A52">
        <w:t xml:space="preserve">low volume of distribution and </w:t>
      </w:r>
      <w:r w:rsidR="000627E3">
        <w:t>narrow therapeutic window</w:t>
      </w:r>
      <w:r>
        <w:t xml:space="preserve"> (</w:t>
      </w:r>
      <w:r w:rsidR="00B60C55">
        <w:t>1</w:t>
      </w:r>
      <w:r w:rsidR="00EB2A52">
        <w:t>,1</w:t>
      </w:r>
      <w:r w:rsidR="008A6523">
        <w:t>9</w:t>
      </w:r>
      <w:r>
        <w:t>). The BNF</w:t>
      </w:r>
      <w:r w:rsidR="00CD0C0A">
        <w:t>C</w:t>
      </w:r>
      <w:r w:rsidR="001F55C6">
        <w:t xml:space="preserve"> </w:t>
      </w:r>
      <w:r w:rsidR="00C61A30">
        <w:t>i</w:t>
      </w:r>
      <w:r>
        <w:t>ndicates which drugs require dose calculation</w:t>
      </w:r>
      <w:r w:rsidR="00B421A1">
        <w:t>s</w:t>
      </w:r>
      <w:r>
        <w:t xml:space="preserve"> based on IBW; </w:t>
      </w:r>
      <w:r w:rsidR="00DD19D1">
        <w:t>however,</w:t>
      </w:r>
      <w:r>
        <w:t xml:space="preserve"> it does not provide gu</w:t>
      </w:r>
      <w:r w:rsidR="00FA0913">
        <w:t>idance on how to calculate it (</w:t>
      </w:r>
      <w:r w:rsidR="00B60C55">
        <w:t>1,</w:t>
      </w:r>
      <w:r w:rsidR="008A6523">
        <w:t>4</w:t>
      </w:r>
      <w:r>
        <w:t xml:space="preserve">). </w:t>
      </w:r>
    </w:p>
    <w:p w14:paraId="7D68A9A4" w14:textId="05D4ACEA" w:rsidR="009E7261" w:rsidRDefault="00ED5F7A" w:rsidP="00636D4D">
      <w:pPr>
        <w:autoSpaceDE w:val="0"/>
        <w:autoSpaceDN w:val="0"/>
        <w:adjustRightInd w:val="0"/>
        <w:spacing w:after="0" w:line="240" w:lineRule="auto"/>
        <w:rPr>
          <w:rFonts w:cs="Arial"/>
        </w:rPr>
      </w:pPr>
      <w:r>
        <w:t>There are numerous methods of obtaining IBW in children including</w:t>
      </w:r>
      <w:r w:rsidR="00604BD4">
        <w:t xml:space="preserve"> </w:t>
      </w:r>
      <w:r w:rsidR="0073490B">
        <w:t>Moore</w:t>
      </w:r>
      <w:r w:rsidR="00FB7662">
        <w:t>’s</w:t>
      </w:r>
      <w:r w:rsidR="0073490B">
        <w:t xml:space="preserve"> method, </w:t>
      </w:r>
      <w:r>
        <w:t>McLaren method</w:t>
      </w:r>
      <w:r w:rsidR="00FB7662">
        <w:t xml:space="preserve"> </w:t>
      </w:r>
      <w:r>
        <w:t xml:space="preserve">and the </w:t>
      </w:r>
      <w:r w:rsidR="0073490B">
        <w:t xml:space="preserve">reverse </w:t>
      </w:r>
      <w:r>
        <w:t>BMI method (</w:t>
      </w:r>
      <w:r w:rsidR="008A6523">
        <w:t>20</w:t>
      </w:r>
      <w:r>
        <w:t>). In children &lt;8 years, all of these methods provide relatively similar results across all percentiles. In older children, especially at the lowest and highest percentiles, the different methods provide dissimilar results.</w:t>
      </w:r>
      <w:r w:rsidR="0036708C" w:rsidRPr="0036708C">
        <w:rPr>
          <w:rFonts w:cs="Arial"/>
        </w:rPr>
        <w:t xml:space="preserve"> </w:t>
      </w:r>
      <w:r w:rsidR="0073490B">
        <w:rPr>
          <w:rFonts w:cs="Arial"/>
        </w:rPr>
        <w:t xml:space="preserve">Whilst the BMI method may be the most accurate measure it requires </w:t>
      </w:r>
      <w:r w:rsidR="001C649A">
        <w:rPr>
          <w:rFonts w:cs="Arial"/>
        </w:rPr>
        <w:t>experience to calculate</w:t>
      </w:r>
      <w:r w:rsidR="0073490B">
        <w:rPr>
          <w:rFonts w:cs="Arial"/>
        </w:rPr>
        <w:t xml:space="preserve"> and many Trusts/Health boards use the Moore’s method as it uses a validated tool for measuring centile</w:t>
      </w:r>
      <w:r w:rsidR="007664E8">
        <w:rPr>
          <w:rFonts w:cs="Arial"/>
        </w:rPr>
        <w:t>s</w:t>
      </w:r>
      <w:r w:rsidR="0073490B">
        <w:rPr>
          <w:rFonts w:cs="Arial"/>
        </w:rPr>
        <w:t xml:space="preserve"> and </w:t>
      </w:r>
      <w:r w:rsidR="00B421A1">
        <w:rPr>
          <w:rFonts w:cs="Arial"/>
        </w:rPr>
        <w:t xml:space="preserve">it is </w:t>
      </w:r>
      <w:r w:rsidR="0073490B">
        <w:rPr>
          <w:rFonts w:cs="Arial"/>
        </w:rPr>
        <w:t>easy to calculate.</w:t>
      </w:r>
      <w:r w:rsidR="00ED1943">
        <w:rPr>
          <w:rFonts w:cs="Arial"/>
        </w:rPr>
        <w:t xml:space="preserve"> </w:t>
      </w:r>
      <w:r w:rsidR="00C2256B">
        <w:rPr>
          <w:rFonts w:cs="Arial"/>
          <w:color w:val="333333"/>
          <w:shd w:val="clear" w:color="auto" w:fill="FFFFFF"/>
        </w:rPr>
        <w:t>There are practical difficulties with the Moore’s method in approximating where the IBW falls between percentiles</w:t>
      </w:r>
      <w:r w:rsidR="00C2256B">
        <w:rPr>
          <w:rFonts w:cs="Arial"/>
        </w:rPr>
        <w:t xml:space="preserve"> and its does not allow</w:t>
      </w:r>
      <w:r w:rsidR="00ED1943">
        <w:rPr>
          <w:rFonts w:cs="Arial"/>
          <w:color w:val="333333"/>
          <w:shd w:val="clear" w:color="auto" w:fill="FFFFFF"/>
        </w:rPr>
        <w:t xml:space="preserve"> calculation of IBW in patients at the extreme ends of the height scale, </w:t>
      </w:r>
      <w:proofErr w:type="spellStart"/>
      <w:r w:rsidR="00ED1943">
        <w:rPr>
          <w:rFonts w:cs="Arial"/>
          <w:color w:val="333333"/>
          <w:shd w:val="clear" w:color="auto" w:fill="FFFFFF"/>
        </w:rPr>
        <w:t>ie</w:t>
      </w:r>
      <w:proofErr w:type="spellEnd"/>
      <w:r w:rsidR="00ED1943">
        <w:rPr>
          <w:rFonts w:cs="Arial"/>
          <w:color w:val="333333"/>
          <w:shd w:val="clear" w:color="auto" w:fill="FFFFFF"/>
        </w:rPr>
        <w:t>,</w:t>
      </w:r>
      <w:r w:rsidR="00C2256B">
        <w:rPr>
          <w:rFonts w:cs="Arial"/>
          <w:color w:val="333333"/>
          <w:shd w:val="clear" w:color="auto" w:fill="FFFFFF"/>
        </w:rPr>
        <w:t xml:space="preserve"> above the 97</w:t>
      </w:r>
      <w:r w:rsidR="00C2256B" w:rsidRPr="00551D7B">
        <w:rPr>
          <w:rFonts w:cs="Arial"/>
          <w:color w:val="333333"/>
          <w:shd w:val="clear" w:color="auto" w:fill="FFFFFF"/>
          <w:vertAlign w:val="superscript"/>
        </w:rPr>
        <w:t>th</w:t>
      </w:r>
      <w:r w:rsidR="00C2256B">
        <w:rPr>
          <w:rFonts w:cs="Arial"/>
          <w:color w:val="333333"/>
          <w:shd w:val="clear" w:color="auto" w:fill="FFFFFF"/>
        </w:rPr>
        <w:t xml:space="preserve"> or below the 3</w:t>
      </w:r>
      <w:r w:rsidR="00C2256B" w:rsidRPr="00551D7B">
        <w:rPr>
          <w:rFonts w:cs="Arial"/>
          <w:color w:val="333333"/>
          <w:shd w:val="clear" w:color="auto" w:fill="FFFFFF"/>
          <w:vertAlign w:val="superscript"/>
        </w:rPr>
        <w:t>rd</w:t>
      </w:r>
      <w:r w:rsidR="00C2256B">
        <w:rPr>
          <w:rFonts w:cs="Arial"/>
          <w:color w:val="333333"/>
          <w:shd w:val="clear" w:color="auto" w:fill="FFFFFF"/>
        </w:rPr>
        <w:t xml:space="preserve"> percentile (20).</w:t>
      </w:r>
      <w:r w:rsidR="0029792C">
        <w:rPr>
          <w:rFonts w:cs="Arial"/>
          <w:color w:val="333333"/>
          <w:shd w:val="clear" w:color="auto" w:fill="FFFFFF"/>
        </w:rPr>
        <w:t xml:space="preserve"> </w:t>
      </w:r>
      <w:r w:rsidR="00FD4010">
        <w:rPr>
          <w:rFonts w:cs="Arial"/>
          <w:color w:val="333333"/>
          <w:shd w:val="clear" w:color="auto" w:fill="FFFFFF"/>
        </w:rPr>
        <w:t>On those occasions where the height falls between two centiles, the difference in distance between the centiles should be gaged and the same distance used for the weight centiles. For example, if the height fell a third of the way between the 50</w:t>
      </w:r>
      <w:r w:rsidR="00FD4010" w:rsidRPr="00551D7B">
        <w:rPr>
          <w:rFonts w:cs="Arial"/>
          <w:color w:val="333333"/>
          <w:shd w:val="clear" w:color="auto" w:fill="FFFFFF"/>
          <w:vertAlign w:val="superscript"/>
        </w:rPr>
        <w:t>th</w:t>
      </w:r>
      <w:r w:rsidR="00FD4010">
        <w:rPr>
          <w:rFonts w:cs="Arial"/>
          <w:color w:val="333333"/>
          <w:shd w:val="clear" w:color="auto" w:fill="FFFFFF"/>
        </w:rPr>
        <w:t xml:space="preserve"> and 75</w:t>
      </w:r>
      <w:r w:rsidR="00FD4010" w:rsidRPr="00551D7B">
        <w:rPr>
          <w:rFonts w:cs="Arial"/>
          <w:color w:val="333333"/>
          <w:shd w:val="clear" w:color="auto" w:fill="FFFFFF"/>
          <w:vertAlign w:val="superscript"/>
        </w:rPr>
        <w:t>th</w:t>
      </w:r>
      <w:r w:rsidR="00FD4010">
        <w:rPr>
          <w:rFonts w:cs="Arial"/>
          <w:color w:val="333333"/>
          <w:shd w:val="clear" w:color="auto" w:fill="FFFFFF"/>
        </w:rPr>
        <w:t xml:space="preserve"> centile, then </w:t>
      </w:r>
      <w:r w:rsidR="00E921B2">
        <w:rPr>
          <w:rFonts w:cs="Arial"/>
          <w:color w:val="333333"/>
          <w:shd w:val="clear" w:color="auto" w:fill="FFFFFF"/>
        </w:rPr>
        <w:t>the weight a third of the way between the 50</w:t>
      </w:r>
      <w:r w:rsidR="00E921B2" w:rsidRPr="00551D7B">
        <w:rPr>
          <w:rFonts w:cs="Arial"/>
          <w:color w:val="333333"/>
          <w:shd w:val="clear" w:color="auto" w:fill="FFFFFF"/>
          <w:vertAlign w:val="superscript"/>
        </w:rPr>
        <w:t>th</w:t>
      </w:r>
      <w:r w:rsidR="00E921B2">
        <w:rPr>
          <w:rFonts w:cs="Arial"/>
          <w:color w:val="333333"/>
          <w:shd w:val="clear" w:color="auto" w:fill="FFFFFF"/>
        </w:rPr>
        <w:t xml:space="preserve"> and 75</w:t>
      </w:r>
      <w:r w:rsidR="00E921B2" w:rsidRPr="00551D7B">
        <w:rPr>
          <w:rFonts w:cs="Arial"/>
          <w:color w:val="333333"/>
          <w:shd w:val="clear" w:color="auto" w:fill="FFFFFF"/>
          <w:vertAlign w:val="superscript"/>
        </w:rPr>
        <w:t>th</w:t>
      </w:r>
      <w:r w:rsidR="00E921B2">
        <w:rPr>
          <w:rFonts w:cs="Arial"/>
          <w:color w:val="333333"/>
          <w:shd w:val="clear" w:color="auto" w:fill="FFFFFF"/>
        </w:rPr>
        <w:t xml:space="preserve"> centile should be chosen for the age of the child.</w:t>
      </w:r>
      <w:r w:rsidR="00FD4010">
        <w:rPr>
          <w:rFonts w:cs="Arial"/>
          <w:color w:val="333333"/>
          <w:shd w:val="clear" w:color="auto" w:fill="FFFFFF"/>
        </w:rPr>
        <w:t xml:space="preserve"> </w:t>
      </w:r>
      <w:r w:rsidR="0029792C">
        <w:rPr>
          <w:rFonts w:cs="Arial"/>
          <w:color w:val="333333"/>
          <w:shd w:val="clear" w:color="auto" w:fill="FFFFFF"/>
        </w:rPr>
        <w:t>Advice and judgement from an experienced clinician/pharmacist may be required in situations of extreme obesity and for high risk medication.</w:t>
      </w:r>
    </w:p>
    <w:p w14:paraId="16A4C0F1" w14:textId="01096C1A" w:rsidR="000B1E5F" w:rsidRPr="0099312D" w:rsidRDefault="00B87895" w:rsidP="00ED5F7A">
      <w:pPr>
        <w:rPr>
          <w:u w:val="single"/>
        </w:rPr>
      </w:pPr>
      <w:r>
        <w:br/>
      </w:r>
      <w:r w:rsidR="000B1E5F" w:rsidRPr="0099312D">
        <w:rPr>
          <w:u w:val="single"/>
        </w:rPr>
        <w:t>Moore’s Method</w:t>
      </w:r>
      <w:r w:rsidR="00636D4D" w:rsidRPr="00636D4D">
        <w:rPr>
          <w:u w:val="single"/>
          <w:vertAlign w:val="superscript"/>
        </w:rPr>
        <w:t>2</w:t>
      </w:r>
      <w:r w:rsidR="008A6523">
        <w:rPr>
          <w:u w:val="single"/>
          <w:vertAlign w:val="superscript"/>
        </w:rPr>
        <w:t>1</w:t>
      </w:r>
    </w:p>
    <w:p w14:paraId="4A37ADA7" w14:textId="4AFA468D" w:rsidR="008023BE" w:rsidRDefault="0036708C" w:rsidP="00ED5F7A">
      <w:r>
        <w:t xml:space="preserve">IBW is determined by </w:t>
      </w:r>
      <w:r w:rsidR="005B75D3">
        <w:t>first</w:t>
      </w:r>
      <w:r w:rsidR="0073490B">
        <w:t xml:space="preserve"> measuring the height of the child in centimetres and</w:t>
      </w:r>
      <w:r w:rsidR="00D2715F">
        <w:t xml:space="preserve"> using that to</w:t>
      </w:r>
      <w:r w:rsidR="0073490B">
        <w:t xml:space="preserve"> identif</w:t>
      </w:r>
      <w:r w:rsidR="00D2715F">
        <w:t>y</w:t>
      </w:r>
      <w:r w:rsidR="0073490B">
        <w:t xml:space="preserve"> </w:t>
      </w:r>
      <w:r w:rsidR="002016E2">
        <w:t xml:space="preserve">the </w:t>
      </w:r>
      <w:r w:rsidR="0073490B">
        <w:t xml:space="preserve">height centile for their age. </w:t>
      </w:r>
      <w:r w:rsidR="003D28A6">
        <w:t>Length may need to be used if the child is too sick to stand up or</w:t>
      </w:r>
      <w:r w:rsidR="00DD19D1">
        <w:t xml:space="preserve"> if the child has some form of disability, or</w:t>
      </w:r>
      <w:r w:rsidR="003D28A6">
        <w:t xml:space="preserve"> ask the parent/carer to provide a recent height estimate. </w:t>
      </w:r>
      <w:r w:rsidR="0073490B">
        <w:t>The</w:t>
      </w:r>
      <w:r w:rsidR="00D2715F">
        <w:t>ir IBW</w:t>
      </w:r>
      <w:r w:rsidR="0073490B">
        <w:t xml:space="preserve"> weight is then selected according to the </w:t>
      </w:r>
      <w:r w:rsidR="0029792C">
        <w:t xml:space="preserve">weight at the same centile as their height </w:t>
      </w:r>
      <w:r w:rsidR="0073490B">
        <w:t>for their age.</w:t>
      </w:r>
      <w:r w:rsidR="005B75D3">
        <w:t xml:space="preserve"> The</w:t>
      </w:r>
      <w:r w:rsidR="000309E3">
        <w:t xml:space="preserve"> </w:t>
      </w:r>
      <w:hyperlink r:id="rId14" w:history="1">
        <w:r w:rsidR="000309E3" w:rsidRPr="008223BB">
          <w:rPr>
            <w:rStyle w:val="Hyperlink"/>
          </w:rPr>
          <w:t>UK WHO growth charts</w:t>
        </w:r>
      </w:hyperlink>
      <w:r w:rsidR="000309E3">
        <w:t xml:space="preserve"> or the</w:t>
      </w:r>
      <w:r w:rsidR="005B75D3">
        <w:t xml:space="preserve"> Screening Tool for the Assessment of Malnutrition in Paediatrics (STAMP) </w:t>
      </w:r>
      <w:r w:rsidR="0073490B">
        <w:t xml:space="preserve">centile reference tables </w:t>
      </w:r>
      <w:r w:rsidR="005B75D3">
        <w:t>can be used for the determination of height and weight centile</w:t>
      </w:r>
      <w:r w:rsidR="00C31AC2">
        <w:t>s</w:t>
      </w:r>
      <w:r w:rsidR="002C5D1F">
        <w:t xml:space="preserve"> </w:t>
      </w:r>
      <w:r w:rsidR="002C5D1F">
        <w:lastRenderedPageBreak/>
        <w:t>(</w:t>
      </w:r>
      <w:r w:rsidR="00D416C0">
        <w:t>2</w:t>
      </w:r>
      <w:r w:rsidR="008A6523">
        <w:t>2</w:t>
      </w:r>
      <w:r w:rsidR="002C5D1F">
        <w:t>)</w:t>
      </w:r>
      <w:r w:rsidR="005B75D3">
        <w:t>.</w:t>
      </w:r>
      <w:r w:rsidR="002C5D1F">
        <w:t xml:space="preserve"> </w:t>
      </w:r>
      <w:r w:rsidR="0073490B">
        <w:t>More in</w:t>
      </w:r>
      <w:r w:rsidR="00FB7662">
        <w:t>formation on using the STAMP too</w:t>
      </w:r>
      <w:r w:rsidR="0073490B">
        <w:t>l can be found here:</w:t>
      </w:r>
      <w:r w:rsidR="00FB7662">
        <w:t xml:space="preserve"> </w:t>
      </w:r>
      <w:hyperlink r:id="rId15" w:history="1">
        <w:r w:rsidR="00FB7662">
          <w:rPr>
            <w:rStyle w:val="Hyperlink"/>
          </w:rPr>
          <w:t>http://www.stampscreeningtool.org/data/pdfs/stamp_tool.pdf</w:t>
        </w:r>
      </w:hyperlink>
    </w:p>
    <w:p w14:paraId="2763C9DB" w14:textId="4F35296F" w:rsidR="00FE37A0" w:rsidRDefault="008023BE" w:rsidP="00ED5F7A">
      <w:pPr>
        <w:rPr>
          <w:b/>
        </w:rPr>
      </w:pPr>
      <w:r>
        <w:rPr>
          <w:noProof/>
          <w:lang w:eastAsia="en-GB"/>
        </w:rPr>
        <mc:AlternateContent>
          <mc:Choice Requires="wps">
            <w:drawing>
              <wp:anchor distT="0" distB="0" distL="114300" distR="114300" simplePos="0" relativeHeight="251673600" behindDoc="0" locked="0" layoutInCell="1" allowOverlap="1" wp14:anchorId="7A0DEDB5" wp14:editId="6FED6B63">
                <wp:simplePos x="0" y="0"/>
                <wp:positionH relativeFrom="margin">
                  <wp:align>left</wp:align>
                </wp:positionH>
                <wp:positionV relativeFrom="paragraph">
                  <wp:posOffset>635</wp:posOffset>
                </wp:positionV>
                <wp:extent cx="5667375" cy="1543050"/>
                <wp:effectExtent l="0" t="0" r="28575" b="19050"/>
                <wp:wrapSquare wrapText="bothSides"/>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5430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2C2076" w14:textId="4C66CAAE" w:rsidR="00FD4010" w:rsidRPr="00910AD0" w:rsidRDefault="00FD4010" w:rsidP="008023BE">
                            <w:pPr>
                              <w:rPr>
                                <w:rFonts w:cs="Arial"/>
                                <w:color w:val="000000" w:themeColor="text1"/>
                                <w:sz w:val="16"/>
                                <w:szCs w:val="16"/>
                                <w:u w:val="single"/>
                              </w:rPr>
                            </w:pPr>
                            <w:r w:rsidRPr="00910AD0">
                              <w:rPr>
                                <w:rFonts w:cs="Arial"/>
                                <w:color w:val="000000" w:themeColor="text1"/>
                                <w:sz w:val="16"/>
                                <w:szCs w:val="16"/>
                                <w:u w:val="single"/>
                              </w:rPr>
                              <w:t xml:space="preserve">Box </w:t>
                            </w:r>
                            <w:r>
                              <w:rPr>
                                <w:rFonts w:cs="Arial"/>
                                <w:color w:val="000000" w:themeColor="text1"/>
                                <w:sz w:val="16"/>
                                <w:szCs w:val="16"/>
                                <w:u w:val="single"/>
                              </w:rPr>
                              <w:t>1</w:t>
                            </w:r>
                            <w:r w:rsidRPr="00910AD0">
                              <w:rPr>
                                <w:rFonts w:cs="Arial"/>
                                <w:color w:val="000000" w:themeColor="text1"/>
                                <w:sz w:val="16"/>
                                <w:szCs w:val="16"/>
                                <w:u w:val="single"/>
                              </w:rPr>
                              <w:t xml:space="preserve">: </w:t>
                            </w:r>
                            <w:r>
                              <w:rPr>
                                <w:rFonts w:cs="Arial"/>
                                <w:color w:val="000000" w:themeColor="text1"/>
                                <w:sz w:val="16"/>
                                <w:szCs w:val="16"/>
                                <w:u w:val="single"/>
                              </w:rPr>
                              <w:t xml:space="preserve">Example of </w:t>
                            </w:r>
                            <w:r w:rsidRPr="00910AD0">
                              <w:rPr>
                                <w:rFonts w:cs="Arial"/>
                                <w:color w:val="000000" w:themeColor="text1"/>
                                <w:sz w:val="16"/>
                                <w:szCs w:val="16"/>
                                <w:u w:val="single"/>
                              </w:rPr>
                              <w:t xml:space="preserve">IBW </w:t>
                            </w:r>
                            <w:r>
                              <w:rPr>
                                <w:rFonts w:cs="Arial"/>
                                <w:color w:val="000000" w:themeColor="text1"/>
                                <w:sz w:val="16"/>
                                <w:szCs w:val="16"/>
                                <w:u w:val="single"/>
                              </w:rPr>
                              <w:t xml:space="preserve">calculation </w:t>
                            </w:r>
                            <w:r w:rsidRPr="00910AD0">
                              <w:rPr>
                                <w:rFonts w:cs="Arial"/>
                                <w:color w:val="000000" w:themeColor="text1"/>
                                <w:sz w:val="16"/>
                                <w:szCs w:val="16"/>
                                <w:u w:val="single"/>
                              </w:rPr>
                              <w:t xml:space="preserve">using </w:t>
                            </w:r>
                            <w:r>
                              <w:rPr>
                                <w:rFonts w:cs="Arial"/>
                                <w:color w:val="000000" w:themeColor="text1"/>
                                <w:sz w:val="16"/>
                                <w:szCs w:val="16"/>
                                <w:u w:val="single"/>
                              </w:rPr>
                              <w:t>Moore’s</w:t>
                            </w:r>
                            <w:r w:rsidRPr="00910AD0">
                              <w:rPr>
                                <w:rFonts w:cs="Arial"/>
                                <w:color w:val="000000" w:themeColor="text1"/>
                                <w:sz w:val="16"/>
                                <w:szCs w:val="16"/>
                                <w:u w:val="single"/>
                              </w:rPr>
                              <w:t xml:space="preserve"> method</w:t>
                            </w:r>
                          </w:p>
                          <w:p w14:paraId="2CE637D8" w14:textId="0C728AD2" w:rsidR="00FD4010" w:rsidRPr="00910AD0" w:rsidRDefault="00FD4010" w:rsidP="008023BE">
                            <w:pPr>
                              <w:rPr>
                                <w:rFonts w:cs="Arial"/>
                                <w:color w:val="000000" w:themeColor="text1"/>
                                <w:sz w:val="16"/>
                                <w:szCs w:val="16"/>
                              </w:rPr>
                            </w:pPr>
                            <w:r w:rsidRPr="00910AD0">
                              <w:rPr>
                                <w:rFonts w:cs="Arial"/>
                                <w:color w:val="000000" w:themeColor="text1"/>
                                <w:sz w:val="16"/>
                                <w:szCs w:val="16"/>
                              </w:rPr>
                              <w:t>A 7 year old girl who is 1.2m tall</w:t>
                            </w:r>
                            <w:r>
                              <w:rPr>
                                <w:rFonts w:cs="Arial"/>
                                <w:color w:val="000000" w:themeColor="text1"/>
                                <w:sz w:val="16"/>
                                <w:szCs w:val="16"/>
                              </w:rPr>
                              <w:t xml:space="preserve"> and weighs 32kg</w:t>
                            </w:r>
                          </w:p>
                          <w:p w14:paraId="007EE628" w14:textId="30BE0F3A" w:rsidR="00FD4010" w:rsidRDefault="00FD4010" w:rsidP="008023BE">
                            <w:pPr>
                              <w:rPr>
                                <w:rFonts w:cs="Arial"/>
                                <w:color w:val="000000" w:themeColor="text1"/>
                                <w:sz w:val="16"/>
                                <w:szCs w:val="16"/>
                              </w:rPr>
                            </w:pPr>
                            <w:r>
                              <w:rPr>
                                <w:rFonts w:cs="Arial"/>
                                <w:color w:val="000000" w:themeColor="text1"/>
                                <w:sz w:val="16"/>
                                <w:szCs w:val="16"/>
                              </w:rPr>
                              <w:t>Step 1: Identify the height centile using STAMP centile reference table/UK WHO growth charts</w:t>
                            </w:r>
                          </w:p>
                          <w:p w14:paraId="182621FD" w14:textId="3E0ACFA5" w:rsidR="00FD4010" w:rsidRDefault="00FD4010" w:rsidP="008023BE">
                            <w:pPr>
                              <w:rPr>
                                <w:rFonts w:cs="Arial"/>
                                <w:color w:val="000000" w:themeColor="text1"/>
                                <w:sz w:val="16"/>
                                <w:szCs w:val="16"/>
                              </w:rPr>
                            </w:pPr>
                            <w:r>
                              <w:rPr>
                                <w:rFonts w:cs="Arial"/>
                                <w:color w:val="000000" w:themeColor="text1"/>
                                <w:sz w:val="16"/>
                                <w:szCs w:val="16"/>
                              </w:rPr>
                              <w:t>The height is around the 50</w:t>
                            </w:r>
                            <w:r w:rsidRPr="008023BE">
                              <w:rPr>
                                <w:rFonts w:cs="Arial"/>
                                <w:color w:val="000000" w:themeColor="text1"/>
                                <w:sz w:val="16"/>
                                <w:szCs w:val="16"/>
                                <w:vertAlign w:val="superscript"/>
                              </w:rPr>
                              <w:t>th</w:t>
                            </w:r>
                            <w:r>
                              <w:rPr>
                                <w:rFonts w:cs="Arial"/>
                                <w:color w:val="000000" w:themeColor="text1"/>
                                <w:sz w:val="16"/>
                                <w:szCs w:val="16"/>
                              </w:rPr>
                              <w:t xml:space="preserve"> centile.</w:t>
                            </w:r>
                          </w:p>
                          <w:p w14:paraId="4F97A314" w14:textId="3FCCB014" w:rsidR="00FD4010" w:rsidRDefault="00FD4010" w:rsidP="008023BE">
                            <w:pPr>
                              <w:rPr>
                                <w:rFonts w:cs="Arial"/>
                                <w:color w:val="000000" w:themeColor="text1"/>
                                <w:sz w:val="16"/>
                                <w:szCs w:val="16"/>
                              </w:rPr>
                            </w:pPr>
                            <w:r>
                              <w:rPr>
                                <w:rFonts w:cs="Arial"/>
                                <w:color w:val="000000" w:themeColor="text1"/>
                                <w:sz w:val="16"/>
                                <w:szCs w:val="16"/>
                              </w:rPr>
                              <w:t>Step 2: Identify the weight at the 50</w:t>
                            </w:r>
                            <w:r w:rsidRPr="00C31AC2">
                              <w:rPr>
                                <w:rFonts w:cs="Arial"/>
                                <w:color w:val="000000" w:themeColor="text1"/>
                                <w:sz w:val="16"/>
                                <w:szCs w:val="16"/>
                                <w:vertAlign w:val="superscript"/>
                              </w:rPr>
                              <w:t>th</w:t>
                            </w:r>
                            <w:r>
                              <w:rPr>
                                <w:rFonts w:cs="Arial"/>
                                <w:color w:val="000000" w:themeColor="text1"/>
                                <w:sz w:val="16"/>
                                <w:szCs w:val="16"/>
                              </w:rPr>
                              <w:t xml:space="preserve"> centile using STAMP centile reference table/UK WHO growth charts</w:t>
                            </w:r>
                          </w:p>
                          <w:p w14:paraId="0063EFF2" w14:textId="799359FC" w:rsidR="00FD4010" w:rsidRDefault="00FD4010" w:rsidP="008023BE">
                            <w:pPr>
                              <w:rPr>
                                <w:rFonts w:cs="Arial"/>
                                <w:color w:val="000000" w:themeColor="text1"/>
                                <w:sz w:val="16"/>
                                <w:szCs w:val="16"/>
                              </w:rPr>
                            </w:pPr>
                            <w:r>
                              <w:rPr>
                                <w:rFonts w:cs="Arial"/>
                                <w:color w:val="000000" w:themeColor="text1"/>
                                <w:sz w:val="16"/>
                                <w:szCs w:val="16"/>
                              </w:rPr>
                              <w:t>50</w:t>
                            </w:r>
                            <w:r w:rsidRPr="00C31AC2">
                              <w:rPr>
                                <w:rFonts w:cs="Arial"/>
                                <w:color w:val="000000" w:themeColor="text1"/>
                                <w:sz w:val="16"/>
                                <w:szCs w:val="16"/>
                                <w:vertAlign w:val="superscript"/>
                              </w:rPr>
                              <w:t>th</w:t>
                            </w:r>
                            <w:r>
                              <w:rPr>
                                <w:rFonts w:cs="Arial"/>
                                <w:color w:val="000000" w:themeColor="text1"/>
                                <w:sz w:val="16"/>
                                <w:szCs w:val="16"/>
                              </w:rPr>
                              <w:t xml:space="preserve"> centile weight for a 7 year old girl is 23kg.</w:t>
                            </w:r>
                          </w:p>
                          <w:p w14:paraId="5CF51C75" w14:textId="77777777" w:rsidR="00FD4010" w:rsidRDefault="00FD4010" w:rsidP="008023BE">
                            <w:pPr>
                              <w:rPr>
                                <w:rFonts w:cs="Arial"/>
                                <w:color w:val="000000" w:themeColor="text1"/>
                                <w:sz w:val="16"/>
                                <w:szCs w:val="16"/>
                              </w:rPr>
                            </w:pPr>
                          </w:p>
                          <w:p w14:paraId="42519A42" w14:textId="77777777" w:rsidR="00FD4010" w:rsidRPr="008023BE" w:rsidRDefault="00FD4010" w:rsidP="008023BE">
                            <w:pPr>
                              <w:rPr>
                                <w:rFonts w:cs="Arial"/>
                                <w:color w:val="000000" w:themeColor="text1"/>
                                <w:sz w:val="16"/>
                                <w:szCs w:val="16"/>
                              </w:rPr>
                            </w:pPr>
                          </w:p>
                          <w:p w14:paraId="3BAF12EA" w14:textId="77777777" w:rsidR="00FD4010" w:rsidRPr="00A069EC" w:rsidRDefault="00FD4010" w:rsidP="008023BE">
                            <w:pPr>
                              <w:jc w:val="center"/>
                              <w:rPr>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0DEDB5" id="Rectangle 13" o:spid="_x0000_s1026" style="position:absolute;margin-left:0;margin-top:.05pt;width:446.25pt;height:12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" filled="f" strokecolor="black [3213]" strokeweight="1pt">
                <v:textbox>
                  <w:txbxContent>
                    <w:p w14:paraId="792C2076" w14:textId="4C66CAAE" w:rsidR="00FD4010" w:rsidRPr="00910AD0" w:rsidRDefault="00FD4010" w:rsidP="008023BE">
                      <w:pPr>
                        <w:rPr>
                          <w:rFonts w:cs="Arial"/>
                          <w:color w:val="000000" w:themeColor="text1"/>
                          <w:sz w:val="16"/>
                          <w:szCs w:val="16"/>
                          <w:u w:val="single"/>
                        </w:rPr>
                      </w:pPr>
                      <w:r w:rsidRPr="00910AD0">
                        <w:rPr>
                          <w:rFonts w:cs="Arial"/>
                          <w:color w:val="000000" w:themeColor="text1"/>
                          <w:sz w:val="16"/>
                          <w:szCs w:val="16"/>
                          <w:u w:val="single"/>
                        </w:rPr>
                        <w:t xml:space="preserve">Box </w:t>
                      </w:r>
                      <w:r>
                        <w:rPr>
                          <w:rFonts w:cs="Arial"/>
                          <w:color w:val="000000" w:themeColor="text1"/>
                          <w:sz w:val="16"/>
                          <w:szCs w:val="16"/>
                          <w:u w:val="single"/>
                        </w:rPr>
                        <w:t>1</w:t>
                      </w:r>
                      <w:r w:rsidRPr="00910AD0">
                        <w:rPr>
                          <w:rFonts w:cs="Arial"/>
                          <w:color w:val="000000" w:themeColor="text1"/>
                          <w:sz w:val="16"/>
                          <w:szCs w:val="16"/>
                          <w:u w:val="single"/>
                        </w:rPr>
                        <w:t xml:space="preserve">: </w:t>
                      </w:r>
                      <w:r>
                        <w:rPr>
                          <w:rFonts w:cs="Arial"/>
                          <w:color w:val="000000" w:themeColor="text1"/>
                          <w:sz w:val="16"/>
                          <w:szCs w:val="16"/>
                          <w:u w:val="single"/>
                        </w:rPr>
                        <w:t xml:space="preserve">Example of </w:t>
                      </w:r>
                      <w:r w:rsidRPr="00910AD0">
                        <w:rPr>
                          <w:rFonts w:cs="Arial"/>
                          <w:color w:val="000000" w:themeColor="text1"/>
                          <w:sz w:val="16"/>
                          <w:szCs w:val="16"/>
                          <w:u w:val="single"/>
                        </w:rPr>
                        <w:t xml:space="preserve">IBW </w:t>
                      </w:r>
                      <w:r>
                        <w:rPr>
                          <w:rFonts w:cs="Arial"/>
                          <w:color w:val="000000" w:themeColor="text1"/>
                          <w:sz w:val="16"/>
                          <w:szCs w:val="16"/>
                          <w:u w:val="single"/>
                        </w:rPr>
                        <w:t xml:space="preserve">calculation </w:t>
                      </w:r>
                      <w:r w:rsidRPr="00910AD0">
                        <w:rPr>
                          <w:rFonts w:cs="Arial"/>
                          <w:color w:val="000000" w:themeColor="text1"/>
                          <w:sz w:val="16"/>
                          <w:szCs w:val="16"/>
                          <w:u w:val="single"/>
                        </w:rPr>
                        <w:t xml:space="preserve">using </w:t>
                      </w:r>
                      <w:r>
                        <w:rPr>
                          <w:rFonts w:cs="Arial"/>
                          <w:color w:val="000000" w:themeColor="text1"/>
                          <w:sz w:val="16"/>
                          <w:szCs w:val="16"/>
                          <w:u w:val="single"/>
                        </w:rPr>
                        <w:t>Moore’s</w:t>
                      </w:r>
                      <w:r w:rsidRPr="00910AD0">
                        <w:rPr>
                          <w:rFonts w:cs="Arial"/>
                          <w:color w:val="000000" w:themeColor="text1"/>
                          <w:sz w:val="16"/>
                          <w:szCs w:val="16"/>
                          <w:u w:val="single"/>
                        </w:rPr>
                        <w:t xml:space="preserve"> method</w:t>
                      </w:r>
                    </w:p>
                    <w:p w14:paraId="2CE637D8" w14:textId="0C728AD2" w:rsidR="00FD4010" w:rsidRPr="00910AD0" w:rsidRDefault="00FD4010" w:rsidP="008023BE">
                      <w:pPr>
                        <w:rPr>
                          <w:rFonts w:cs="Arial"/>
                          <w:color w:val="000000" w:themeColor="text1"/>
                          <w:sz w:val="16"/>
                          <w:szCs w:val="16"/>
                        </w:rPr>
                      </w:pPr>
                      <w:r w:rsidRPr="00910AD0">
                        <w:rPr>
                          <w:rFonts w:cs="Arial"/>
                          <w:color w:val="000000" w:themeColor="text1"/>
                          <w:sz w:val="16"/>
                          <w:szCs w:val="16"/>
                        </w:rPr>
                        <w:t>A 7 year old girl who is 1.2m tall</w:t>
                      </w:r>
                      <w:r>
                        <w:rPr>
                          <w:rFonts w:cs="Arial"/>
                          <w:color w:val="000000" w:themeColor="text1"/>
                          <w:sz w:val="16"/>
                          <w:szCs w:val="16"/>
                        </w:rPr>
                        <w:t xml:space="preserve"> and weighs 32kg</w:t>
                      </w:r>
                    </w:p>
                    <w:p w14:paraId="007EE628" w14:textId="30BE0F3A" w:rsidR="00FD4010" w:rsidRDefault="00FD4010" w:rsidP="008023BE">
                      <w:pPr>
                        <w:rPr>
                          <w:rFonts w:cs="Arial"/>
                          <w:color w:val="000000" w:themeColor="text1"/>
                          <w:sz w:val="16"/>
                          <w:szCs w:val="16"/>
                        </w:rPr>
                      </w:pPr>
                      <w:r>
                        <w:rPr>
                          <w:rFonts w:cs="Arial"/>
                          <w:color w:val="000000" w:themeColor="text1"/>
                          <w:sz w:val="16"/>
                          <w:szCs w:val="16"/>
                        </w:rPr>
                        <w:t>Step 1: Identify the height centile using STAMP centile reference table/UK WHO growth charts</w:t>
                      </w:r>
                    </w:p>
                    <w:p w14:paraId="182621FD" w14:textId="3E0ACFA5" w:rsidR="00FD4010" w:rsidRDefault="00FD4010" w:rsidP="008023BE">
                      <w:pPr>
                        <w:rPr>
                          <w:rFonts w:cs="Arial"/>
                          <w:color w:val="000000" w:themeColor="text1"/>
                          <w:sz w:val="16"/>
                          <w:szCs w:val="16"/>
                        </w:rPr>
                      </w:pPr>
                      <w:r>
                        <w:rPr>
                          <w:rFonts w:cs="Arial"/>
                          <w:color w:val="000000" w:themeColor="text1"/>
                          <w:sz w:val="16"/>
                          <w:szCs w:val="16"/>
                        </w:rPr>
                        <w:t>The height is around the 50</w:t>
                      </w:r>
                      <w:r w:rsidRPr="008023BE">
                        <w:rPr>
                          <w:rFonts w:cs="Arial"/>
                          <w:color w:val="000000" w:themeColor="text1"/>
                          <w:sz w:val="16"/>
                          <w:szCs w:val="16"/>
                          <w:vertAlign w:val="superscript"/>
                        </w:rPr>
                        <w:t>th</w:t>
                      </w:r>
                      <w:r>
                        <w:rPr>
                          <w:rFonts w:cs="Arial"/>
                          <w:color w:val="000000" w:themeColor="text1"/>
                          <w:sz w:val="16"/>
                          <w:szCs w:val="16"/>
                        </w:rPr>
                        <w:t xml:space="preserve"> centile.</w:t>
                      </w:r>
                    </w:p>
                    <w:p w14:paraId="4F97A314" w14:textId="3FCCB014" w:rsidR="00FD4010" w:rsidRDefault="00FD4010" w:rsidP="008023BE">
                      <w:pPr>
                        <w:rPr>
                          <w:rFonts w:cs="Arial"/>
                          <w:color w:val="000000" w:themeColor="text1"/>
                          <w:sz w:val="16"/>
                          <w:szCs w:val="16"/>
                        </w:rPr>
                      </w:pPr>
                      <w:r>
                        <w:rPr>
                          <w:rFonts w:cs="Arial"/>
                          <w:color w:val="000000" w:themeColor="text1"/>
                          <w:sz w:val="16"/>
                          <w:szCs w:val="16"/>
                        </w:rPr>
                        <w:t>Step 2: Identify the weight at the 50</w:t>
                      </w:r>
                      <w:r w:rsidRPr="00C31AC2">
                        <w:rPr>
                          <w:rFonts w:cs="Arial"/>
                          <w:color w:val="000000" w:themeColor="text1"/>
                          <w:sz w:val="16"/>
                          <w:szCs w:val="16"/>
                          <w:vertAlign w:val="superscript"/>
                        </w:rPr>
                        <w:t>th</w:t>
                      </w:r>
                      <w:r>
                        <w:rPr>
                          <w:rFonts w:cs="Arial"/>
                          <w:color w:val="000000" w:themeColor="text1"/>
                          <w:sz w:val="16"/>
                          <w:szCs w:val="16"/>
                        </w:rPr>
                        <w:t xml:space="preserve"> centile using STAMP centile reference table/UK WHO growth charts</w:t>
                      </w:r>
                    </w:p>
                    <w:p w14:paraId="0063EFF2" w14:textId="799359FC" w:rsidR="00FD4010" w:rsidRDefault="00FD4010" w:rsidP="008023BE">
                      <w:pPr>
                        <w:rPr>
                          <w:rFonts w:cs="Arial"/>
                          <w:color w:val="000000" w:themeColor="text1"/>
                          <w:sz w:val="16"/>
                          <w:szCs w:val="16"/>
                        </w:rPr>
                      </w:pPr>
                      <w:r>
                        <w:rPr>
                          <w:rFonts w:cs="Arial"/>
                          <w:color w:val="000000" w:themeColor="text1"/>
                          <w:sz w:val="16"/>
                          <w:szCs w:val="16"/>
                        </w:rPr>
                        <w:t>50</w:t>
                      </w:r>
                      <w:r w:rsidRPr="00C31AC2">
                        <w:rPr>
                          <w:rFonts w:cs="Arial"/>
                          <w:color w:val="000000" w:themeColor="text1"/>
                          <w:sz w:val="16"/>
                          <w:szCs w:val="16"/>
                          <w:vertAlign w:val="superscript"/>
                        </w:rPr>
                        <w:t>th</w:t>
                      </w:r>
                      <w:r>
                        <w:rPr>
                          <w:rFonts w:cs="Arial"/>
                          <w:color w:val="000000" w:themeColor="text1"/>
                          <w:sz w:val="16"/>
                          <w:szCs w:val="16"/>
                        </w:rPr>
                        <w:t xml:space="preserve"> centile weight for a 7 year old girl is 23kg.</w:t>
                      </w:r>
                    </w:p>
                    <w:p w14:paraId="5CF51C75" w14:textId="77777777" w:rsidR="00FD4010" w:rsidRDefault="00FD4010" w:rsidP="008023BE">
                      <w:pPr>
                        <w:rPr>
                          <w:rFonts w:cs="Arial"/>
                          <w:color w:val="000000" w:themeColor="text1"/>
                          <w:sz w:val="16"/>
                          <w:szCs w:val="16"/>
                        </w:rPr>
                      </w:pPr>
                    </w:p>
                    <w:p w14:paraId="42519A42" w14:textId="77777777" w:rsidR="00FD4010" w:rsidRPr="008023BE" w:rsidRDefault="00FD4010" w:rsidP="008023BE">
                      <w:pPr>
                        <w:rPr>
                          <w:rFonts w:cs="Arial"/>
                          <w:color w:val="000000" w:themeColor="text1"/>
                          <w:sz w:val="16"/>
                          <w:szCs w:val="16"/>
                        </w:rPr>
                      </w:pPr>
                    </w:p>
                    <w:p w14:paraId="3BAF12EA" w14:textId="77777777" w:rsidR="00FD4010" w:rsidRPr="00A069EC" w:rsidRDefault="00FD4010" w:rsidP="008023BE">
                      <w:pPr>
                        <w:jc w:val="center"/>
                        <w:rPr>
                          <w:sz w:val="10"/>
                          <w:szCs w:val="10"/>
                        </w:rPr>
                      </w:pPr>
                    </w:p>
                  </w:txbxContent>
                </v:textbox>
                <w10:wrap type="square" anchorx="margin"/>
              </v:rect>
            </w:pict>
          </mc:Fallback>
        </mc:AlternateContent>
      </w:r>
    </w:p>
    <w:p w14:paraId="148855D4" w14:textId="191DCD90" w:rsidR="00ED5F7A" w:rsidRDefault="00ED5F7A" w:rsidP="00ED5F7A">
      <w:pPr>
        <w:rPr>
          <w:b/>
        </w:rPr>
      </w:pPr>
      <w:r>
        <w:rPr>
          <w:b/>
        </w:rPr>
        <w:t>Adjusted Body Weight</w:t>
      </w:r>
      <w:r w:rsidR="00DA6F8C">
        <w:rPr>
          <w:b/>
        </w:rPr>
        <w:t xml:space="preserve"> </w:t>
      </w:r>
    </w:p>
    <w:p w14:paraId="4D516050" w14:textId="597DBBEE" w:rsidR="00ED5F7A" w:rsidRPr="00426D90" w:rsidRDefault="00DA6F8C" w:rsidP="00BE6749">
      <w:pPr>
        <w:autoSpaceDE w:val="0"/>
        <w:autoSpaceDN w:val="0"/>
        <w:adjustRightInd w:val="0"/>
        <w:rPr>
          <w:rFonts w:cs="Arial"/>
          <w:b/>
          <w:szCs w:val="20"/>
        </w:rPr>
      </w:pPr>
      <w:r w:rsidRPr="00097AE9">
        <w:rPr>
          <w:rFonts w:cs="Arial"/>
          <w:szCs w:val="20"/>
        </w:rPr>
        <w:t xml:space="preserve">To calculate </w:t>
      </w:r>
      <w:proofErr w:type="spellStart"/>
      <w:r w:rsidRPr="00097AE9">
        <w:rPr>
          <w:rFonts w:cs="Arial"/>
          <w:szCs w:val="20"/>
        </w:rPr>
        <w:t>A</w:t>
      </w:r>
      <w:r w:rsidR="009C1F64">
        <w:rPr>
          <w:rFonts w:cs="Arial"/>
          <w:szCs w:val="20"/>
        </w:rPr>
        <w:t>dj</w:t>
      </w:r>
      <w:r w:rsidRPr="00097AE9">
        <w:rPr>
          <w:rFonts w:cs="Arial"/>
          <w:szCs w:val="20"/>
        </w:rPr>
        <w:t>BW</w:t>
      </w:r>
      <w:proofErr w:type="spellEnd"/>
      <w:r w:rsidRPr="00097AE9">
        <w:rPr>
          <w:rFonts w:cs="Arial"/>
          <w:szCs w:val="20"/>
        </w:rPr>
        <w:t>, the IBW of the child is used in addition to a specified cofactor, which is a fraction of the excess weight gain between IBW and TBW (</w:t>
      </w:r>
      <w:r w:rsidR="008A6523">
        <w:rPr>
          <w:rFonts w:cs="Arial"/>
          <w:szCs w:val="20"/>
        </w:rPr>
        <w:t>5</w:t>
      </w:r>
      <w:r w:rsidRPr="00097AE9">
        <w:rPr>
          <w:rFonts w:cs="Arial"/>
          <w:szCs w:val="20"/>
        </w:rPr>
        <w:t xml:space="preserve">). The following example uses an </w:t>
      </w:r>
      <w:proofErr w:type="spellStart"/>
      <w:r w:rsidRPr="00097AE9">
        <w:rPr>
          <w:rFonts w:cs="Arial"/>
          <w:szCs w:val="20"/>
        </w:rPr>
        <w:t>A</w:t>
      </w:r>
      <w:r w:rsidR="00F83AC4">
        <w:rPr>
          <w:rFonts w:cs="Arial"/>
          <w:szCs w:val="20"/>
        </w:rPr>
        <w:t>dj</w:t>
      </w:r>
      <w:r w:rsidRPr="00097AE9">
        <w:rPr>
          <w:rFonts w:cs="Arial"/>
          <w:szCs w:val="20"/>
        </w:rPr>
        <w:t>BW</w:t>
      </w:r>
      <w:proofErr w:type="spellEnd"/>
      <w:r w:rsidRPr="00097AE9">
        <w:rPr>
          <w:rFonts w:cs="Arial"/>
          <w:szCs w:val="20"/>
        </w:rPr>
        <w:t xml:space="preserve"> cofactor of 0.</w:t>
      </w:r>
      <w:r w:rsidR="00D454E1">
        <w:rPr>
          <w:rFonts w:cs="Arial"/>
          <w:szCs w:val="20"/>
        </w:rPr>
        <w:t>3</w:t>
      </w:r>
      <w:r w:rsidR="00FB6C22">
        <w:rPr>
          <w:rFonts w:cs="Arial"/>
          <w:szCs w:val="20"/>
        </w:rPr>
        <w:t>5</w:t>
      </w:r>
      <w:r w:rsidR="009B5F4E">
        <w:rPr>
          <w:rFonts w:cs="Arial"/>
          <w:szCs w:val="20"/>
        </w:rPr>
        <w:t xml:space="preserve">. </w:t>
      </w:r>
      <w:r w:rsidR="0029792C">
        <w:rPr>
          <w:rFonts w:cs="Arial"/>
          <w:szCs w:val="20"/>
        </w:rPr>
        <w:t xml:space="preserve">While a variety of correction factors are suggested in the literature, </w:t>
      </w:r>
      <w:r w:rsidR="009B5F4E" w:rsidRPr="00426D90">
        <w:rPr>
          <w:rFonts w:cs="Arial"/>
          <w:b/>
          <w:szCs w:val="20"/>
        </w:rPr>
        <w:t>NPPG recommend using an adjustment factor of 0.35 in most cases as a pragmatic solution to calculating adjusted body weight in children living with obesity.</w:t>
      </w:r>
    </w:p>
    <w:p w14:paraId="45E8B3AE" w14:textId="007DE700" w:rsidR="00DA6F8C" w:rsidRDefault="00DA6F8C" w:rsidP="00ED5F7A">
      <w:proofErr w:type="spellStart"/>
      <w:r>
        <w:t>A</w:t>
      </w:r>
      <w:r w:rsidR="006E152B">
        <w:t>dj</w:t>
      </w:r>
      <w:r>
        <w:t>BW</w:t>
      </w:r>
      <w:proofErr w:type="spellEnd"/>
      <w:r>
        <w:t xml:space="preserve"> = IBW + 0.</w:t>
      </w:r>
      <w:r w:rsidR="00FB6C22">
        <w:t>35</w:t>
      </w:r>
      <w:r w:rsidR="003658A4">
        <w:t xml:space="preserve"> x</w:t>
      </w:r>
      <w:r>
        <w:t xml:space="preserve"> (TBW – IBW)</w:t>
      </w:r>
    </w:p>
    <w:p w14:paraId="0FCF1E80" w14:textId="2DDE1D48" w:rsidR="00987941" w:rsidRDefault="00B75CD4" w:rsidP="00ED5F7A">
      <w:r>
        <w:rPr>
          <w:noProof/>
          <w:lang w:eastAsia="en-GB"/>
        </w:rPr>
        <mc:AlternateContent>
          <mc:Choice Requires="wps">
            <w:drawing>
              <wp:anchor distT="0" distB="0" distL="114300" distR="114300" simplePos="0" relativeHeight="251668480" behindDoc="0" locked="0" layoutInCell="1" allowOverlap="1" wp14:anchorId="36AFFD2B" wp14:editId="40E75746">
                <wp:simplePos x="0" y="0"/>
                <wp:positionH relativeFrom="margin">
                  <wp:align>left</wp:align>
                </wp:positionH>
                <wp:positionV relativeFrom="paragraph">
                  <wp:posOffset>22369</wp:posOffset>
                </wp:positionV>
                <wp:extent cx="5718918" cy="1354347"/>
                <wp:effectExtent l="0" t="0" r="15240" b="1778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918" cy="135434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320BA71" w14:textId="0D882E32" w:rsidR="00FD4010" w:rsidRPr="00910AD0" w:rsidRDefault="00FD4010" w:rsidP="00987941">
                            <w:pPr>
                              <w:rPr>
                                <w:rFonts w:cs="Arial"/>
                                <w:color w:val="000000" w:themeColor="text1"/>
                                <w:sz w:val="16"/>
                                <w:szCs w:val="16"/>
                                <w:u w:val="single"/>
                              </w:rPr>
                            </w:pPr>
                            <w:r>
                              <w:rPr>
                                <w:rFonts w:cs="Arial"/>
                                <w:color w:val="000000" w:themeColor="text1"/>
                                <w:sz w:val="16"/>
                                <w:szCs w:val="16"/>
                                <w:u w:val="single"/>
                              </w:rPr>
                              <w:t xml:space="preserve">Box 2: </w:t>
                            </w:r>
                            <w:r w:rsidRPr="00910AD0">
                              <w:rPr>
                                <w:rFonts w:cs="Arial"/>
                                <w:color w:val="000000" w:themeColor="text1"/>
                                <w:sz w:val="16"/>
                                <w:szCs w:val="16"/>
                                <w:u w:val="single"/>
                              </w:rPr>
                              <w:t>Example</w:t>
                            </w:r>
                            <w:r>
                              <w:rPr>
                                <w:rFonts w:cs="Arial"/>
                                <w:color w:val="000000" w:themeColor="text1"/>
                                <w:sz w:val="16"/>
                                <w:szCs w:val="16"/>
                                <w:u w:val="single"/>
                              </w:rPr>
                              <w:t xml:space="preserve"> of A</w:t>
                            </w:r>
                            <w:r w:rsidRPr="00910AD0">
                              <w:rPr>
                                <w:rFonts w:cs="Arial"/>
                                <w:color w:val="000000" w:themeColor="text1"/>
                                <w:sz w:val="16"/>
                                <w:szCs w:val="16"/>
                                <w:u w:val="single"/>
                              </w:rPr>
                              <w:t xml:space="preserve">djBW </w:t>
                            </w:r>
                            <w:r>
                              <w:rPr>
                                <w:rFonts w:cs="Arial"/>
                                <w:color w:val="000000" w:themeColor="text1"/>
                                <w:sz w:val="16"/>
                                <w:szCs w:val="16"/>
                                <w:u w:val="single"/>
                              </w:rPr>
                              <w:t xml:space="preserve">calculation </w:t>
                            </w:r>
                            <w:r w:rsidRPr="00910AD0">
                              <w:rPr>
                                <w:rFonts w:cs="Arial"/>
                                <w:color w:val="000000" w:themeColor="text1"/>
                                <w:sz w:val="16"/>
                                <w:szCs w:val="16"/>
                                <w:u w:val="single"/>
                              </w:rPr>
                              <w:t xml:space="preserve">using IBW </w:t>
                            </w:r>
                          </w:p>
                          <w:p w14:paraId="599D64A1" w14:textId="52A83E81" w:rsidR="00FD4010" w:rsidRPr="00910AD0" w:rsidRDefault="00FD4010" w:rsidP="00987941">
                            <w:pPr>
                              <w:rPr>
                                <w:rFonts w:cs="Arial"/>
                                <w:color w:val="000000" w:themeColor="text1"/>
                                <w:sz w:val="16"/>
                                <w:szCs w:val="16"/>
                              </w:rPr>
                            </w:pPr>
                            <w:r w:rsidRPr="00910AD0">
                              <w:rPr>
                                <w:rFonts w:cs="Arial"/>
                                <w:color w:val="000000" w:themeColor="text1"/>
                                <w:sz w:val="16"/>
                                <w:szCs w:val="16"/>
                              </w:rPr>
                              <w:t>A 7 year old girl who weighs 3</w:t>
                            </w:r>
                            <w:r>
                              <w:rPr>
                                <w:rFonts w:cs="Arial"/>
                                <w:color w:val="000000" w:themeColor="text1"/>
                                <w:sz w:val="16"/>
                                <w:szCs w:val="16"/>
                              </w:rPr>
                              <w:t>2</w:t>
                            </w:r>
                            <w:r w:rsidRPr="00910AD0">
                              <w:rPr>
                                <w:rFonts w:cs="Arial"/>
                                <w:color w:val="000000" w:themeColor="text1"/>
                                <w:sz w:val="16"/>
                                <w:szCs w:val="16"/>
                              </w:rPr>
                              <w:t>kg and is 1.2m tall</w:t>
                            </w:r>
                            <w:r>
                              <w:rPr>
                                <w:rFonts w:cs="Arial"/>
                                <w:color w:val="000000" w:themeColor="text1"/>
                                <w:sz w:val="16"/>
                                <w:szCs w:val="16"/>
                              </w:rPr>
                              <w:t xml:space="preserve"> has an IBW of 23kg (calculated using Moore’s Method)</w:t>
                            </w:r>
                          </w:p>
                          <w:p w14:paraId="225903AE" w14:textId="1E0926D8" w:rsidR="00FD4010" w:rsidRPr="00910AD0" w:rsidRDefault="00FD4010" w:rsidP="00987941">
                            <w:pPr>
                              <w:rPr>
                                <w:rFonts w:cs="Arial"/>
                                <w:color w:val="000000" w:themeColor="text1"/>
                                <w:sz w:val="16"/>
                                <w:szCs w:val="16"/>
                              </w:rPr>
                            </w:pPr>
                            <w:r w:rsidRPr="00910AD0">
                              <w:rPr>
                                <w:rFonts w:cs="Arial"/>
                                <w:color w:val="000000" w:themeColor="text1"/>
                                <w:sz w:val="16"/>
                                <w:szCs w:val="16"/>
                              </w:rPr>
                              <w:t xml:space="preserve">IBW using </w:t>
                            </w:r>
                            <w:r>
                              <w:rPr>
                                <w:rFonts w:cs="Arial"/>
                                <w:color w:val="000000" w:themeColor="text1"/>
                                <w:sz w:val="16"/>
                                <w:szCs w:val="16"/>
                              </w:rPr>
                              <w:t>Moore’s</w:t>
                            </w:r>
                            <w:r w:rsidRPr="00910AD0">
                              <w:rPr>
                                <w:rFonts w:cs="Arial"/>
                                <w:color w:val="000000" w:themeColor="text1"/>
                                <w:sz w:val="16"/>
                                <w:szCs w:val="16"/>
                              </w:rPr>
                              <w:t xml:space="preserve"> method = 2</w:t>
                            </w:r>
                            <w:r>
                              <w:rPr>
                                <w:rFonts w:cs="Arial"/>
                                <w:color w:val="000000" w:themeColor="text1"/>
                                <w:sz w:val="16"/>
                                <w:szCs w:val="16"/>
                              </w:rPr>
                              <w:t>3</w:t>
                            </w:r>
                            <w:r w:rsidRPr="00910AD0">
                              <w:rPr>
                                <w:rFonts w:cs="Arial"/>
                                <w:color w:val="000000" w:themeColor="text1"/>
                                <w:sz w:val="16"/>
                                <w:szCs w:val="16"/>
                              </w:rPr>
                              <w:t>kg</w:t>
                            </w:r>
                          </w:p>
                          <w:p w14:paraId="09154EDB" w14:textId="565FB1FD" w:rsidR="00FD4010" w:rsidRDefault="00FD4010" w:rsidP="00987941">
                            <w:pPr>
                              <w:rPr>
                                <w:rFonts w:cs="Arial"/>
                                <w:color w:val="000000" w:themeColor="text1"/>
                                <w:sz w:val="16"/>
                                <w:szCs w:val="16"/>
                              </w:rPr>
                            </w:pPr>
                            <w:r w:rsidRPr="00891014">
                              <w:rPr>
                                <w:rFonts w:cs="Arial"/>
                                <w:color w:val="000000" w:themeColor="text1"/>
                                <w:sz w:val="16"/>
                                <w:szCs w:val="16"/>
                              </w:rPr>
                              <w:t>AdjBW = IBW + 0.</w:t>
                            </w:r>
                            <w:r>
                              <w:rPr>
                                <w:rFonts w:cs="Arial"/>
                                <w:color w:val="000000" w:themeColor="text1"/>
                                <w:sz w:val="16"/>
                                <w:szCs w:val="16"/>
                              </w:rPr>
                              <w:t>35</w:t>
                            </w:r>
                            <w:r w:rsidRPr="00891014">
                              <w:rPr>
                                <w:rFonts w:cs="Arial"/>
                                <w:color w:val="000000" w:themeColor="text1"/>
                                <w:sz w:val="16"/>
                                <w:szCs w:val="16"/>
                              </w:rPr>
                              <w:t xml:space="preserve"> x (TBW – IBW)</w:t>
                            </w:r>
                          </w:p>
                          <w:p w14:paraId="73B235C7" w14:textId="0AB78ECC" w:rsidR="00FD4010" w:rsidRPr="00910AD0" w:rsidRDefault="00FD4010" w:rsidP="00987941">
                            <w:pPr>
                              <w:rPr>
                                <w:rFonts w:cs="Arial"/>
                                <w:color w:val="000000" w:themeColor="text1"/>
                                <w:sz w:val="16"/>
                                <w:szCs w:val="16"/>
                              </w:rPr>
                            </w:pPr>
                            <w:r w:rsidRPr="00910AD0">
                              <w:rPr>
                                <w:rFonts w:cs="Arial"/>
                                <w:color w:val="000000" w:themeColor="text1"/>
                                <w:sz w:val="16"/>
                                <w:szCs w:val="16"/>
                              </w:rPr>
                              <w:t>AdjBW = 2</w:t>
                            </w:r>
                            <w:r>
                              <w:rPr>
                                <w:rFonts w:cs="Arial"/>
                                <w:color w:val="000000" w:themeColor="text1"/>
                                <w:sz w:val="16"/>
                                <w:szCs w:val="16"/>
                              </w:rPr>
                              <w:t>3</w:t>
                            </w:r>
                            <w:r w:rsidRPr="00910AD0">
                              <w:rPr>
                                <w:rFonts w:cs="Arial"/>
                                <w:color w:val="000000" w:themeColor="text1"/>
                                <w:sz w:val="16"/>
                                <w:szCs w:val="16"/>
                              </w:rPr>
                              <w:t>kg + 0.</w:t>
                            </w:r>
                            <w:r>
                              <w:rPr>
                                <w:rFonts w:cs="Arial"/>
                                <w:color w:val="000000" w:themeColor="text1"/>
                                <w:sz w:val="16"/>
                                <w:szCs w:val="16"/>
                              </w:rPr>
                              <w:t>35</w:t>
                            </w:r>
                            <w:r w:rsidRPr="00910AD0">
                              <w:rPr>
                                <w:rFonts w:cs="Arial"/>
                                <w:color w:val="000000" w:themeColor="text1"/>
                                <w:sz w:val="16"/>
                                <w:szCs w:val="16"/>
                              </w:rPr>
                              <w:t xml:space="preserve"> x (3</w:t>
                            </w:r>
                            <w:r>
                              <w:rPr>
                                <w:rFonts w:cs="Arial"/>
                                <w:color w:val="000000" w:themeColor="text1"/>
                                <w:sz w:val="16"/>
                                <w:szCs w:val="16"/>
                              </w:rPr>
                              <w:t>2</w:t>
                            </w:r>
                            <w:r w:rsidRPr="00910AD0">
                              <w:rPr>
                                <w:rFonts w:cs="Arial"/>
                                <w:color w:val="000000" w:themeColor="text1"/>
                                <w:sz w:val="16"/>
                                <w:szCs w:val="16"/>
                              </w:rPr>
                              <w:t>kg - 2</w:t>
                            </w:r>
                            <w:r>
                              <w:rPr>
                                <w:rFonts w:cs="Arial"/>
                                <w:color w:val="000000" w:themeColor="text1"/>
                                <w:sz w:val="16"/>
                                <w:szCs w:val="16"/>
                              </w:rPr>
                              <w:t>3</w:t>
                            </w:r>
                            <w:r w:rsidRPr="00910AD0">
                              <w:rPr>
                                <w:rFonts w:cs="Arial"/>
                                <w:color w:val="000000" w:themeColor="text1"/>
                                <w:sz w:val="16"/>
                                <w:szCs w:val="16"/>
                              </w:rPr>
                              <w:t>kg) = 2</w:t>
                            </w:r>
                            <w:r>
                              <w:rPr>
                                <w:rFonts w:cs="Arial"/>
                                <w:color w:val="000000" w:themeColor="text1"/>
                                <w:sz w:val="16"/>
                                <w:szCs w:val="16"/>
                              </w:rPr>
                              <w:t>6.2</w:t>
                            </w:r>
                            <w:r w:rsidRPr="00910AD0">
                              <w:rPr>
                                <w:rFonts w:cs="Arial"/>
                                <w:color w:val="000000" w:themeColor="text1"/>
                                <w:sz w:val="16"/>
                                <w:szCs w:val="16"/>
                              </w:rPr>
                              <w:t>kg</w:t>
                            </w:r>
                          </w:p>
                          <w:p w14:paraId="4BEEDC6A" w14:textId="77777777" w:rsidR="00FD4010" w:rsidRPr="008B7E76" w:rsidRDefault="00FD4010" w:rsidP="00987941">
                            <w:pPr>
                              <w:rPr>
                                <w:rFonts w:cs="Arial"/>
                                <w:i/>
                                <w:color w:val="000000" w:themeColor="text1"/>
                                <w:sz w:val="16"/>
                                <w:szCs w:val="16"/>
                              </w:rPr>
                            </w:pPr>
                          </w:p>
                          <w:p w14:paraId="51AE83EB" w14:textId="77777777" w:rsidR="00FD4010" w:rsidRPr="00A069EC" w:rsidRDefault="00FD4010" w:rsidP="00987941">
                            <w:pPr>
                              <w:jc w:val="center"/>
                              <w:rPr>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AFFD2B" id="Rectangle 15" o:spid="_x0000_s1027" style="position:absolute;margin-left:0;margin-top:1.75pt;width:450.3pt;height:106.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" filled="f" strokecolor="black [3213]" strokeweight="1pt">
                <v:textbox>
                  <w:txbxContent>
                    <w:p w14:paraId="4320BA71" w14:textId="0D882E32" w:rsidR="00FD4010" w:rsidRPr="00910AD0" w:rsidRDefault="00FD4010" w:rsidP="00987941">
                      <w:pPr>
                        <w:rPr>
                          <w:rFonts w:cs="Arial"/>
                          <w:color w:val="000000" w:themeColor="text1"/>
                          <w:sz w:val="16"/>
                          <w:szCs w:val="16"/>
                          <w:u w:val="single"/>
                        </w:rPr>
                      </w:pPr>
                      <w:r>
                        <w:rPr>
                          <w:rFonts w:cs="Arial"/>
                          <w:color w:val="000000" w:themeColor="text1"/>
                          <w:sz w:val="16"/>
                          <w:szCs w:val="16"/>
                          <w:u w:val="single"/>
                        </w:rPr>
                        <w:t xml:space="preserve">Box 2: </w:t>
                      </w:r>
                      <w:r w:rsidRPr="00910AD0">
                        <w:rPr>
                          <w:rFonts w:cs="Arial"/>
                          <w:color w:val="000000" w:themeColor="text1"/>
                          <w:sz w:val="16"/>
                          <w:szCs w:val="16"/>
                          <w:u w:val="single"/>
                        </w:rPr>
                        <w:t>Example</w:t>
                      </w:r>
                      <w:r>
                        <w:rPr>
                          <w:rFonts w:cs="Arial"/>
                          <w:color w:val="000000" w:themeColor="text1"/>
                          <w:sz w:val="16"/>
                          <w:szCs w:val="16"/>
                          <w:u w:val="single"/>
                        </w:rPr>
                        <w:t xml:space="preserve"> of A</w:t>
                      </w:r>
                      <w:r w:rsidRPr="00910AD0">
                        <w:rPr>
                          <w:rFonts w:cs="Arial"/>
                          <w:color w:val="000000" w:themeColor="text1"/>
                          <w:sz w:val="16"/>
                          <w:szCs w:val="16"/>
                          <w:u w:val="single"/>
                        </w:rPr>
                        <w:t xml:space="preserve">djBW </w:t>
                      </w:r>
                      <w:r>
                        <w:rPr>
                          <w:rFonts w:cs="Arial"/>
                          <w:color w:val="000000" w:themeColor="text1"/>
                          <w:sz w:val="16"/>
                          <w:szCs w:val="16"/>
                          <w:u w:val="single"/>
                        </w:rPr>
                        <w:t xml:space="preserve">calculation </w:t>
                      </w:r>
                      <w:r w:rsidRPr="00910AD0">
                        <w:rPr>
                          <w:rFonts w:cs="Arial"/>
                          <w:color w:val="000000" w:themeColor="text1"/>
                          <w:sz w:val="16"/>
                          <w:szCs w:val="16"/>
                          <w:u w:val="single"/>
                        </w:rPr>
                        <w:t xml:space="preserve">using IBW </w:t>
                      </w:r>
                    </w:p>
                    <w:p w14:paraId="599D64A1" w14:textId="52A83E81" w:rsidR="00FD4010" w:rsidRPr="00910AD0" w:rsidRDefault="00FD4010" w:rsidP="00987941">
                      <w:pPr>
                        <w:rPr>
                          <w:rFonts w:cs="Arial"/>
                          <w:color w:val="000000" w:themeColor="text1"/>
                          <w:sz w:val="16"/>
                          <w:szCs w:val="16"/>
                        </w:rPr>
                      </w:pPr>
                      <w:r w:rsidRPr="00910AD0">
                        <w:rPr>
                          <w:rFonts w:cs="Arial"/>
                          <w:color w:val="000000" w:themeColor="text1"/>
                          <w:sz w:val="16"/>
                          <w:szCs w:val="16"/>
                        </w:rPr>
                        <w:t>A 7 year old girl who weighs 3</w:t>
                      </w:r>
                      <w:r>
                        <w:rPr>
                          <w:rFonts w:cs="Arial"/>
                          <w:color w:val="000000" w:themeColor="text1"/>
                          <w:sz w:val="16"/>
                          <w:szCs w:val="16"/>
                        </w:rPr>
                        <w:t>2</w:t>
                      </w:r>
                      <w:r w:rsidRPr="00910AD0">
                        <w:rPr>
                          <w:rFonts w:cs="Arial"/>
                          <w:color w:val="000000" w:themeColor="text1"/>
                          <w:sz w:val="16"/>
                          <w:szCs w:val="16"/>
                        </w:rPr>
                        <w:t>kg and is 1.2m tall</w:t>
                      </w:r>
                      <w:r>
                        <w:rPr>
                          <w:rFonts w:cs="Arial"/>
                          <w:color w:val="000000" w:themeColor="text1"/>
                          <w:sz w:val="16"/>
                          <w:szCs w:val="16"/>
                        </w:rPr>
                        <w:t xml:space="preserve"> has an IBW of 23kg (calculated using Moore’s Method)</w:t>
                      </w:r>
                    </w:p>
                    <w:p w14:paraId="225903AE" w14:textId="1E0926D8" w:rsidR="00FD4010" w:rsidRPr="00910AD0" w:rsidRDefault="00FD4010" w:rsidP="00987941">
                      <w:pPr>
                        <w:rPr>
                          <w:rFonts w:cs="Arial"/>
                          <w:color w:val="000000" w:themeColor="text1"/>
                          <w:sz w:val="16"/>
                          <w:szCs w:val="16"/>
                        </w:rPr>
                      </w:pPr>
                      <w:r w:rsidRPr="00910AD0">
                        <w:rPr>
                          <w:rFonts w:cs="Arial"/>
                          <w:color w:val="000000" w:themeColor="text1"/>
                          <w:sz w:val="16"/>
                          <w:szCs w:val="16"/>
                        </w:rPr>
                        <w:t xml:space="preserve">IBW using </w:t>
                      </w:r>
                      <w:r>
                        <w:rPr>
                          <w:rFonts w:cs="Arial"/>
                          <w:color w:val="000000" w:themeColor="text1"/>
                          <w:sz w:val="16"/>
                          <w:szCs w:val="16"/>
                        </w:rPr>
                        <w:t>Moore’s</w:t>
                      </w:r>
                      <w:r w:rsidRPr="00910AD0">
                        <w:rPr>
                          <w:rFonts w:cs="Arial"/>
                          <w:color w:val="000000" w:themeColor="text1"/>
                          <w:sz w:val="16"/>
                          <w:szCs w:val="16"/>
                        </w:rPr>
                        <w:t xml:space="preserve"> method = 2</w:t>
                      </w:r>
                      <w:r>
                        <w:rPr>
                          <w:rFonts w:cs="Arial"/>
                          <w:color w:val="000000" w:themeColor="text1"/>
                          <w:sz w:val="16"/>
                          <w:szCs w:val="16"/>
                        </w:rPr>
                        <w:t>3</w:t>
                      </w:r>
                      <w:r w:rsidRPr="00910AD0">
                        <w:rPr>
                          <w:rFonts w:cs="Arial"/>
                          <w:color w:val="000000" w:themeColor="text1"/>
                          <w:sz w:val="16"/>
                          <w:szCs w:val="16"/>
                        </w:rPr>
                        <w:t>kg</w:t>
                      </w:r>
                    </w:p>
                    <w:p w14:paraId="09154EDB" w14:textId="565FB1FD" w:rsidR="00FD4010" w:rsidRDefault="00FD4010" w:rsidP="00987941">
                      <w:pPr>
                        <w:rPr>
                          <w:rFonts w:cs="Arial"/>
                          <w:color w:val="000000" w:themeColor="text1"/>
                          <w:sz w:val="16"/>
                          <w:szCs w:val="16"/>
                        </w:rPr>
                      </w:pPr>
                      <w:r w:rsidRPr="00891014">
                        <w:rPr>
                          <w:rFonts w:cs="Arial"/>
                          <w:color w:val="000000" w:themeColor="text1"/>
                          <w:sz w:val="16"/>
                          <w:szCs w:val="16"/>
                        </w:rPr>
                        <w:t>AdjBW = IBW + 0.</w:t>
                      </w:r>
                      <w:r>
                        <w:rPr>
                          <w:rFonts w:cs="Arial"/>
                          <w:color w:val="000000" w:themeColor="text1"/>
                          <w:sz w:val="16"/>
                          <w:szCs w:val="16"/>
                        </w:rPr>
                        <w:t>35</w:t>
                      </w:r>
                      <w:r w:rsidRPr="00891014">
                        <w:rPr>
                          <w:rFonts w:cs="Arial"/>
                          <w:color w:val="000000" w:themeColor="text1"/>
                          <w:sz w:val="16"/>
                          <w:szCs w:val="16"/>
                        </w:rPr>
                        <w:t xml:space="preserve"> x (TBW – IBW)</w:t>
                      </w:r>
                    </w:p>
                    <w:p w14:paraId="73B235C7" w14:textId="0AB78ECC" w:rsidR="00FD4010" w:rsidRPr="00910AD0" w:rsidRDefault="00FD4010" w:rsidP="00987941">
                      <w:pPr>
                        <w:rPr>
                          <w:rFonts w:cs="Arial"/>
                          <w:color w:val="000000" w:themeColor="text1"/>
                          <w:sz w:val="16"/>
                          <w:szCs w:val="16"/>
                        </w:rPr>
                      </w:pPr>
                      <w:r w:rsidRPr="00910AD0">
                        <w:rPr>
                          <w:rFonts w:cs="Arial"/>
                          <w:color w:val="000000" w:themeColor="text1"/>
                          <w:sz w:val="16"/>
                          <w:szCs w:val="16"/>
                        </w:rPr>
                        <w:t>AdjBW = 2</w:t>
                      </w:r>
                      <w:r>
                        <w:rPr>
                          <w:rFonts w:cs="Arial"/>
                          <w:color w:val="000000" w:themeColor="text1"/>
                          <w:sz w:val="16"/>
                          <w:szCs w:val="16"/>
                        </w:rPr>
                        <w:t>3</w:t>
                      </w:r>
                      <w:r w:rsidRPr="00910AD0">
                        <w:rPr>
                          <w:rFonts w:cs="Arial"/>
                          <w:color w:val="000000" w:themeColor="text1"/>
                          <w:sz w:val="16"/>
                          <w:szCs w:val="16"/>
                        </w:rPr>
                        <w:t>kg + 0.</w:t>
                      </w:r>
                      <w:r>
                        <w:rPr>
                          <w:rFonts w:cs="Arial"/>
                          <w:color w:val="000000" w:themeColor="text1"/>
                          <w:sz w:val="16"/>
                          <w:szCs w:val="16"/>
                        </w:rPr>
                        <w:t>35</w:t>
                      </w:r>
                      <w:r w:rsidRPr="00910AD0">
                        <w:rPr>
                          <w:rFonts w:cs="Arial"/>
                          <w:color w:val="000000" w:themeColor="text1"/>
                          <w:sz w:val="16"/>
                          <w:szCs w:val="16"/>
                        </w:rPr>
                        <w:t xml:space="preserve"> x (3</w:t>
                      </w:r>
                      <w:r>
                        <w:rPr>
                          <w:rFonts w:cs="Arial"/>
                          <w:color w:val="000000" w:themeColor="text1"/>
                          <w:sz w:val="16"/>
                          <w:szCs w:val="16"/>
                        </w:rPr>
                        <w:t>2</w:t>
                      </w:r>
                      <w:r w:rsidRPr="00910AD0">
                        <w:rPr>
                          <w:rFonts w:cs="Arial"/>
                          <w:color w:val="000000" w:themeColor="text1"/>
                          <w:sz w:val="16"/>
                          <w:szCs w:val="16"/>
                        </w:rPr>
                        <w:t>kg - 2</w:t>
                      </w:r>
                      <w:r>
                        <w:rPr>
                          <w:rFonts w:cs="Arial"/>
                          <w:color w:val="000000" w:themeColor="text1"/>
                          <w:sz w:val="16"/>
                          <w:szCs w:val="16"/>
                        </w:rPr>
                        <w:t>3</w:t>
                      </w:r>
                      <w:r w:rsidRPr="00910AD0">
                        <w:rPr>
                          <w:rFonts w:cs="Arial"/>
                          <w:color w:val="000000" w:themeColor="text1"/>
                          <w:sz w:val="16"/>
                          <w:szCs w:val="16"/>
                        </w:rPr>
                        <w:t>kg) = 2</w:t>
                      </w:r>
                      <w:r>
                        <w:rPr>
                          <w:rFonts w:cs="Arial"/>
                          <w:color w:val="000000" w:themeColor="text1"/>
                          <w:sz w:val="16"/>
                          <w:szCs w:val="16"/>
                        </w:rPr>
                        <w:t>6.2</w:t>
                      </w:r>
                      <w:r w:rsidRPr="00910AD0">
                        <w:rPr>
                          <w:rFonts w:cs="Arial"/>
                          <w:color w:val="000000" w:themeColor="text1"/>
                          <w:sz w:val="16"/>
                          <w:szCs w:val="16"/>
                        </w:rPr>
                        <w:t>kg</w:t>
                      </w:r>
                    </w:p>
                    <w:p w14:paraId="4BEEDC6A" w14:textId="77777777" w:rsidR="00FD4010" w:rsidRPr="008B7E76" w:rsidRDefault="00FD4010" w:rsidP="00987941">
                      <w:pPr>
                        <w:rPr>
                          <w:rFonts w:cs="Arial"/>
                          <w:i/>
                          <w:color w:val="000000" w:themeColor="text1"/>
                          <w:sz w:val="16"/>
                          <w:szCs w:val="16"/>
                        </w:rPr>
                      </w:pPr>
                    </w:p>
                    <w:p w14:paraId="51AE83EB" w14:textId="77777777" w:rsidR="00FD4010" w:rsidRPr="00A069EC" w:rsidRDefault="00FD4010" w:rsidP="00987941">
                      <w:pPr>
                        <w:jc w:val="center"/>
                        <w:rPr>
                          <w:sz w:val="10"/>
                          <w:szCs w:val="10"/>
                        </w:rPr>
                      </w:pPr>
                    </w:p>
                  </w:txbxContent>
                </v:textbox>
                <w10:wrap anchorx="margin"/>
              </v:rect>
            </w:pict>
          </mc:Fallback>
        </mc:AlternateContent>
      </w:r>
    </w:p>
    <w:p w14:paraId="20E0D35C" w14:textId="77777777" w:rsidR="00987941" w:rsidRDefault="00987941" w:rsidP="00ED5F7A"/>
    <w:p w14:paraId="6C1926AB" w14:textId="77777777" w:rsidR="00987941" w:rsidRPr="00ED5F7A" w:rsidRDefault="00987941" w:rsidP="00ED5F7A"/>
    <w:p w14:paraId="5F462744" w14:textId="77777777" w:rsidR="00987941" w:rsidRDefault="00987941" w:rsidP="00ED5F7A">
      <w:pPr>
        <w:rPr>
          <w:b/>
        </w:rPr>
      </w:pPr>
    </w:p>
    <w:p w14:paraId="68D0E8B8" w14:textId="77777777" w:rsidR="00910AD0" w:rsidRDefault="00910AD0" w:rsidP="00ED5F7A">
      <w:pPr>
        <w:rPr>
          <w:b/>
        </w:rPr>
      </w:pPr>
    </w:p>
    <w:p w14:paraId="60C700C0" w14:textId="46D18B29" w:rsidR="00636D4D" w:rsidRPr="001762F4" w:rsidRDefault="0068479A" w:rsidP="00636D4D">
      <w:pPr>
        <w:rPr>
          <w:b/>
        </w:rPr>
      </w:pPr>
      <w:r>
        <w:rPr>
          <w:b/>
        </w:rPr>
        <w:br/>
      </w:r>
      <w:r w:rsidR="00636D4D" w:rsidRPr="001762F4">
        <w:rPr>
          <w:b/>
        </w:rPr>
        <w:t>Estimated weight</w:t>
      </w:r>
    </w:p>
    <w:p w14:paraId="4D74B11F" w14:textId="6C26A34D" w:rsidR="00636D4D" w:rsidRDefault="00636D4D" w:rsidP="00636D4D">
      <w:r>
        <w:t>Other methods exist for estimation of weight including linear equations such as the three Advanced Paediatric and Life Support (APLS) age</w:t>
      </w:r>
      <w:r w:rsidR="008A6523">
        <w:t>-</w:t>
      </w:r>
      <w:r>
        <w:t>based formulae or the UK Resuscitation Council aged based formula (23)</w:t>
      </w:r>
      <w:r w:rsidR="00653607">
        <w:t>.</w:t>
      </w:r>
    </w:p>
    <w:p w14:paraId="10BBD745" w14:textId="77777777" w:rsidR="00636D4D" w:rsidRDefault="00636D4D" w:rsidP="00636D4D">
      <w:pPr>
        <w:rPr>
          <w:u w:val="single"/>
        </w:rPr>
      </w:pPr>
      <w:r>
        <w:rPr>
          <w:u w:val="single"/>
        </w:rPr>
        <w:t>UK Resuscitation Council for ages 1-10 years</w:t>
      </w:r>
    </w:p>
    <w:p w14:paraId="113E1FDA" w14:textId="77777777" w:rsidR="00636D4D" w:rsidRDefault="00636D4D" w:rsidP="00636D4D">
      <w:r>
        <w:t xml:space="preserve">Weight (kg) = 2 x (age in years + 4) </w:t>
      </w:r>
    </w:p>
    <w:p w14:paraId="1758A100" w14:textId="77777777" w:rsidR="00636D4D" w:rsidRPr="00F66E31" w:rsidRDefault="00636D4D" w:rsidP="00636D4D">
      <w:pPr>
        <w:rPr>
          <w:u w:val="single"/>
        </w:rPr>
      </w:pPr>
      <w:r>
        <w:rPr>
          <w:u w:val="single"/>
        </w:rPr>
        <w:t>APLS Formulae for ages 1 month-12 years</w:t>
      </w:r>
    </w:p>
    <w:p w14:paraId="3E253652" w14:textId="77777777" w:rsidR="00636D4D" w:rsidRDefault="00636D4D" w:rsidP="00636D4D">
      <w:r>
        <w:t>1-12 months: Weight (kg) = (0.5 x age in months) + 4</w:t>
      </w:r>
    </w:p>
    <w:p w14:paraId="34A1BFE8" w14:textId="77777777" w:rsidR="00636D4D" w:rsidRDefault="00636D4D" w:rsidP="00636D4D">
      <w:r>
        <w:t>1-5 years: Weight (kg) = (2 x age in years) + 8</w:t>
      </w:r>
    </w:p>
    <w:p w14:paraId="3C4BF223" w14:textId="77777777" w:rsidR="00636D4D" w:rsidRDefault="00636D4D" w:rsidP="00636D4D">
      <w:r>
        <w:t>6-12 years: Weight (kg) = (3 x age in years) + 7</w:t>
      </w:r>
    </w:p>
    <w:p w14:paraId="43FAE69F" w14:textId="39CC4848" w:rsidR="009E102C" w:rsidRDefault="00636D4D">
      <w:r>
        <w:t xml:space="preserve">The APLS formulae give higher estimates of expected weight for a wider age range which may be a more accurate reflection of actual body weight due to the increasing prevalence of childhood obesity (23). The UK Resuscitation Council formula appears to result in a lower estimate of weight, which </w:t>
      </w:r>
      <w:r>
        <w:lastRenderedPageBreak/>
        <w:t>may relate more closely to IBW than actual body weight (23)</w:t>
      </w:r>
      <w:r w:rsidR="009E102C">
        <w:t>.</w:t>
      </w:r>
      <w:r w:rsidR="009E102C">
        <w:br/>
      </w:r>
    </w:p>
    <w:p w14:paraId="07DDDFC5" w14:textId="2153BEC8" w:rsidR="0069588B" w:rsidRPr="009E102C" w:rsidRDefault="0020172D" w:rsidP="009E102C">
      <w:pPr>
        <w:autoSpaceDE w:val="0"/>
        <w:autoSpaceDN w:val="0"/>
        <w:adjustRightInd w:val="0"/>
        <w:spacing w:after="0" w:line="240" w:lineRule="auto"/>
        <w:rPr>
          <w:b/>
          <w:color w:val="0070C0"/>
        </w:rPr>
      </w:pPr>
      <w:r w:rsidRPr="009E102C">
        <w:rPr>
          <w:b/>
          <w:color w:val="0070C0"/>
        </w:rPr>
        <w:t>Drug dosing in children</w:t>
      </w:r>
      <w:r w:rsidR="009B5F4E">
        <w:rPr>
          <w:b/>
          <w:color w:val="0070C0"/>
        </w:rPr>
        <w:t xml:space="preserve"> living with obesity</w:t>
      </w:r>
      <w:r w:rsidR="0069588B" w:rsidRPr="009E102C">
        <w:rPr>
          <w:b/>
          <w:color w:val="0070C0"/>
        </w:rPr>
        <w:t xml:space="preserve"> </w:t>
      </w:r>
      <w:r w:rsidR="007620A2" w:rsidRPr="009E102C">
        <w:rPr>
          <w:b/>
          <w:color w:val="0070C0"/>
        </w:rPr>
        <w:t xml:space="preserve">– </w:t>
      </w:r>
      <w:r w:rsidR="003010C8" w:rsidRPr="009E102C">
        <w:rPr>
          <w:b/>
          <w:color w:val="0070C0"/>
        </w:rPr>
        <w:t>things to consider</w:t>
      </w:r>
    </w:p>
    <w:p w14:paraId="313E13ED" w14:textId="2A1613C8" w:rsidR="00D03F60" w:rsidRPr="00F32C16" w:rsidRDefault="00D03F60" w:rsidP="00D03F60">
      <w:pPr>
        <w:rPr>
          <w:rFonts w:cs="Arial"/>
          <w:szCs w:val="20"/>
          <w:lang w:val="en-US"/>
        </w:rPr>
      </w:pPr>
      <w:r>
        <w:rPr>
          <w:rFonts w:cs="Arial"/>
          <w:lang w:val="en-US"/>
        </w:rPr>
        <w:t>While</w:t>
      </w:r>
      <w:r w:rsidR="004F2127">
        <w:rPr>
          <w:rFonts w:cs="Arial"/>
          <w:lang w:val="en-US"/>
        </w:rPr>
        <w:t xml:space="preserve"> we may reasonably </w:t>
      </w:r>
      <w:r>
        <w:rPr>
          <w:rFonts w:cs="Arial"/>
          <w:lang w:val="en-US"/>
        </w:rPr>
        <w:t>assume that the increase in fat mass</w:t>
      </w:r>
      <w:r w:rsidR="004F2127">
        <w:rPr>
          <w:rFonts w:cs="Arial"/>
          <w:lang w:val="en-US"/>
        </w:rPr>
        <w:t xml:space="preserve"> in obesity</w:t>
      </w:r>
      <w:r>
        <w:rPr>
          <w:rFonts w:cs="Arial"/>
          <w:lang w:val="en-US"/>
        </w:rPr>
        <w:t xml:space="preserve"> has the potential to alter the distribution of lipophilic drugs and the increase in lean mass to alter drug clearance, we cannot reliably predict the magnitude of dose change, if any, for a specific drug based simply on its </w:t>
      </w:r>
      <w:proofErr w:type="spellStart"/>
      <w:r>
        <w:rPr>
          <w:rFonts w:cs="Arial"/>
          <w:lang w:val="en-US"/>
        </w:rPr>
        <w:t>physic</w:t>
      </w:r>
      <w:r w:rsidR="00B27212">
        <w:rPr>
          <w:rFonts w:cs="Arial"/>
          <w:lang w:val="en-US"/>
        </w:rPr>
        <w:t>o</w:t>
      </w:r>
      <w:proofErr w:type="spellEnd"/>
      <w:r>
        <w:rPr>
          <w:rFonts w:cs="Arial"/>
          <w:lang w:val="en-US"/>
        </w:rPr>
        <w:t>-chemical properties or known pharm</w:t>
      </w:r>
      <w:r w:rsidR="00501CC5">
        <w:rPr>
          <w:rFonts w:cs="Arial"/>
          <w:lang w:val="en-US"/>
        </w:rPr>
        <w:t xml:space="preserve">acokinetics in normal </w:t>
      </w:r>
      <w:r>
        <w:rPr>
          <w:rFonts w:cs="Arial"/>
          <w:lang w:val="en-US"/>
        </w:rPr>
        <w:t>weight patients (</w:t>
      </w:r>
      <w:r w:rsidR="009F17E4">
        <w:rPr>
          <w:rFonts w:cs="Arial"/>
          <w:szCs w:val="20"/>
          <w:lang w:val="en-US"/>
        </w:rPr>
        <w:t>6</w:t>
      </w:r>
      <w:r>
        <w:rPr>
          <w:rFonts w:cs="Arial"/>
          <w:lang w:val="en-US"/>
        </w:rPr>
        <w:t xml:space="preserve">). </w:t>
      </w:r>
      <w:r w:rsidRPr="00F32C16">
        <w:rPr>
          <w:rFonts w:cs="Arial"/>
          <w:szCs w:val="20"/>
          <w:lang w:val="en-US"/>
        </w:rPr>
        <w:t>In the absence of clinical data</w:t>
      </w:r>
      <w:r>
        <w:rPr>
          <w:rFonts w:cs="Arial"/>
          <w:szCs w:val="20"/>
          <w:lang w:val="en-US"/>
        </w:rPr>
        <w:t xml:space="preserve"> in children</w:t>
      </w:r>
      <w:r w:rsidR="009B5F4E">
        <w:rPr>
          <w:rFonts w:cs="Arial"/>
          <w:szCs w:val="20"/>
          <w:lang w:val="en-US"/>
        </w:rPr>
        <w:t xml:space="preserve"> living with obesity</w:t>
      </w:r>
      <w:r w:rsidRPr="00F32C16">
        <w:rPr>
          <w:rFonts w:cs="Arial"/>
          <w:szCs w:val="20"/>
          <w:lang w:val="en-US"/>
        </w:rPr>
        <w:t xml:space="preserve">, it will be </w:t>
      </w:r>
      <w:r>
        <w:rPr>
          <w:rFonts w:cs="Arial"/>
          <w:szCs w:val="20"/>
          <w:lang w:val="en-US"/>
        </w:rPr>
        <w:t>necessary to determine the most appropriate size descriptor to guide dosing</w:t>
      </w:r>
      <w:r w:rsidRPr="00F32C16">
        <w:rPr>
          <w:rFonts w:cs="Arial"/>
          <w:szCs w:val="20"/>
          <w:lang w:val="en-US"/>
        </w:rPr>
        <w:t xml:space="preserve">. In these </w:t>
      </w:r>
      <w:r w:rsidR="001B6525" w:rsidRPr="00F32C16">
        <w:rPr>
          <w:rFonts w:cs="Arial"/>
          <w:szCs w:val="20"/>
          <w:lang w:val="en-US"/>
        </w:rPr>
        <w:t>cases,</w:t>
      </w:r>
      <w:r w:rsidRPr="00F32C16">
        <w:rPr>
          <w:rFonts w:cs="Arial"/>
          <w:szCs w:val="20"/>
          <w:lang w:val="en-US"/>
        </w:rPr>
        <w:t xml:space="preserve"> the following should be considered:</w:t>
      </w:r>
      <w:r w:rsidR="00B87895">
        <w:rPr>
          <w:rFonts w:cs="Arial"/>
          <w:szCs w:val="20"/>
          <w:lang w:val="en-US"/>
        </w:rPr>
        <w:br/>
      </w:r>
    </w:p>
    <w:p w14:paraId="358F48E9" w14:textId="77777777" w:rsidR="00D03F60" w:rsidRDefault="00D03F60" w:rsidP="00D03F60">
      <w:pPr>
        <w:rPr>
          <w:rFonts w:cs="Arial"/>
          <w:b/>
          <w:szCs w:val="20"/>
          <w:lang w:val="en-US"/>
        </w:rPr>
      </w:pPr>
      <w:r>
        <w:rPr>
          <w:rFonts w:cs="Arial"/>
          <w:b/>
          <w:szCs w:val="20"/>
          <w:lang w:val="en-US"/>
        </w:rPr>
        <w:t>Loading dose</w:t>
      </w:r>
    </w:p>
    <w:p w14:paraId="54ECD601" w14:textId="69D2ECDB" w:rsidR="00D03F60" w:rsidRPr="00F32C16" w:rsidRDefault="00D03F60" w:rsidP="00D05DB0">
      <w:pPr>
        <w:rPr>
          <w:rFonts w:cs="Arial"/>
          <w:szCs w:val="20"/>
          <w:lang w:val="en-US"/>
        </w:rPr>
      </w:pPr>
      <w:r w:rsidRPr="00894A3C">
        <w:rPr>
          <w:rFonts w:cs="Arial"/>
          <w:szCs w:val="20"/>
          <w:lang w:val="en-US"/>
        </w:rPr>
        <w:t>Loading doses</w:t>
      </w:r>
      <w:r w:rsidRPr="00F32C16">
        <w:rPr>
          <w:rFonts w:cs="Arial"/>
          <w:szCs w:val="20"/>
          <w:lang w:val="en-US"/>
        </w:rPr>
        <w:t xml:space="preserve"> are based on </w:t>
      </w:r>
      <w:proofErr w:type="spellStart"/>
      <w:r w:rsidRPr="00F32C16">
        <w:rPr>
          <w:rFonts w:cs="Arial"/>
          <w:szCs w:val="20"/>
          <w:lang w:val="en-US"/>
        </w:rPr>
        <w:t>Vd</w:t>
      </w:r>
      <w:proofErr w:type="spellEnd"/>
      <w:r w:rsidRPr="00F32C16">
        <w:rPr>
          <w:rFonts w:cs="Arial"/>
          <w:szCs w:val="20"/>
          <w:lang w:val="en-US"/>
        </w:rPr>
        <w:t xml:space="preserve"> (</w:t>
      </w:r>
      <w:r w:rsidR="009F17E4">
        <w:rPr>
          <w:rFonts w:cs="Arial"/>
          <w:szCs w:val="20"/>
          <w:lang w:val="en-US"/>
        </w:rPr>
        <w:t>6</w:t>
      </w:r>
      <w:r>
        <w:rPr>
          <w:rFonts w:cs="Arial"/>
          <w:szCs w:val="20"/>
          <w:lang w:val="en-US"/>
        </w:rPr>
        <w:t xml:space="preserve">). </w:t>
      </w:r>
      <w:r w:rsidR="00D05DB0" w:rsidRPr="00D05DB0">
        <w:rPr>
          <w:rFonts w:cs="Arial"/>
          <w:szCs w:val="20"/>
          <w:lang w:val="en-US"/>
        </w:rPr>
        <w:t xml:space="preserve">The larger the </w:t>
      </w:r>
      <w:proofErr w:type="spellStart"/>
      <w:r w:rsidR="00D05DB0" w:rsidRPr="00D05DB0">
        <w:rPr>
          <w:rFonts w:cs="Arial"/>
          <w:szCs w:val="20"/>
          <w:lang w:val="en-US"/>
        </w:rPr>
        <w:t>Vd</w:t>
      </w:r>
      <w:proofErr w:type="spellEnd"/>
      <w:r w:rsidR="00D05DB0" w:rsidRPr="00D05DB0">
        <w:rPr>
          <w:rFonts w:cs="Arial"/>
          <w:szCs w:val="20"/>
          <w:lang w:val="en-US"/>
        </w:rPr>
        <w:t>,</w:t>
      </w:r>
      <w:r w:rsidR="00D05DB0">
        <w:rPr>
          <w:rFonts w:cs="Arial"/>
          <w:szCs w:val="20"/>
          <w:lang w:val="en-US"/>
        </w:rPr>
        <w:t xml:space="preserve"> </w:t>
      </w:r>
      <w:r w:rsidR="00D05DB0" w:rsidRPr="00D05DB0">
        <w:rPr>
          <w:rFonts w:cs="Arial"/>
          <w:szCs w:val="20"/>
          <w:lang w:val="en-US"/>
        </w:rPr>
        <w:t>the higher the initial dose required to achieve therapeutic plasma concentrations</w:t>
      </w:r>
      <w:r w:rsidR="00D05DB0">
        <w:rPr>
          <w:rFonts w:cs="Arial"/>
          <w:szCs w:val="20"/>
          <w:lang w:val="en-US"/>
        </w:rPr>
        <w:t xml:space="preserve"> (</w:t>
      </w:r>
      <w:r w:rsidR="00A30230">
        <w:rPr>
          <w:rFonts w:cs="Arial"/>
          <w:szCs w:val="20"/>
          <w:lang w:val="en-US"/>
        </w:rPr>
        <w:t>2</w:t>
      </w:r>
      <w:r w:rsidR="00F64E2D">
        <w:rPr>
          <w:rFonts w:cs="Arial"/>
          <w:szCs w:val="20"/>
          <w:lang w:val="en-US"/>
        </w:rPr>
        <w:t>3</w:t>
      </w:r>
      <w:r w:rsidR="00D05DB0">
        <w:rPr>
          <w:rFonts w:cs="Arial"/>
          <w:szCs w:val="20"/>
          <w:lang w:val="en-US"/>
        </w:rPr>
        <w:t>).</w:t>
      </w:r>
      <w:r w:rsidR="00D05DB0" w:rsidRPr="00D05DB0">
        <w:rPr>
          <w:rFonts w:cs="Arial"/>
          <w:szCs w:val="20"/>
          <w:lang w:val="en-US"/>
        </w:rPr>
        <w:t xml:space="preserve"> </w:t>
      </w:r>
      <w:r>
        <w:rPr>
          <w:rFonts w:cs="Arial"/>
          <w:szCs w:val="20"/>
          <w:lang w:val="en-US"/>
        </w:rPr>
        <w:t>For</w:t>
      </w:r>
      <w:r w:rsidRPr="00F32C16">
        <w:rPr>
          <w:rFonts w:cs="Arial"/>
          <w:szCs w:val="20"/>
          <w:lang w:val="en-US"/>
        </w:rPr>
        <w:t xml:space="preserve"> relatively hydrophilic </w:t>
      </w:r>
      <w:r w:rsidR="00906080">
        <w:rPr>
          <w:rFonts w:cs="Arial"/>
          <w:szCs w:val="20"/>
          <w:lang w:val="en-US"/>
        </w:rPr>
        <w:t>drugs</w:t>
      </w:r>
      <w:r>
        <w:rPr>
          <w:rFonts w:cs="Arial"/>
          <w:szCs w:val="20"/>
          <w:lang w:val="en-US"/>
        </w:rPr>
        <w:t xml:space="preserve"> that distribute</w:t>
      </w:r>
      <w:r w:rsidRPr="00F32C16">
        <w:rPr>
          <w:rFonts w:cs="Arial"/>
          <w:szCs w:val="20"/>
          <w:lang w:val="en-US"/>
        </w:rPr>
        <w:t xml:space="preserve"> mainly into lean body tissue, loading doses are generally based on IBW</w:t>
      </w:r>
      <w:r>
        <w:rPr>
          <w:rFonts w:cs="Arial"/>
          <w:szCs w:val="20"/>
          <w:lang w:val="en-US"/>
        </w:rPr>
        <w:t xml:space="preserve"> (1</w:t>
      </w:r>
      <w:r w:rsidR="009F17E4">
        <w:rPr>
          <w:rFonts w:cs="Arial"/>
          <w:szCs w:val="20"/>
          <w:lang w:val="en-US"/>
        </w:rPr>
        <w:t>9</w:t>
      </w:r>
      <w:r>
        <w:rPr>
          <w:rFonts w:cs="Arial"/>
          <w:szCs w:val="20"/>
          <w:lang w:val="en-US"/>
        </w:rPr>
        <w:t>)</w:t>
      </w:r>
      <w:r w:rsidRPr="00F32C16">
        <w:rPr>
          <w:rFonts w:cs="Arial"/>
          <w:szCs w:val="20"/>
          <w:lang w:val="en-US"/>
        </w:rPr>
        <w:t xml:space="preserve">. For drugs that partially distribute into adipose tissue, </w:t>
      </w:r>
      <w:proofErr w:type="spellStart"/>
      <w:r w:rsidR="00054AA0">
        <w:rPr>
          <w:rFonts w:cs="Arial"/>
          <w:szCs w:val="20"/>
          <w:lang w:val="en-US"/>
        </w:rPr>
        <w:t>AdjBW</w:t>
      </w:r>
      <w:proofErr w:type="spellEnd"/>
      <w:r w:rsidRPr="00F32C16">
        <w:rPr>
          <w:rFonts w:cs="Arial"/>
          <w:szCs w:val="20"/>
          <w:lang w:val="en-US"/>
        </w:rPr>
        <w:t xml:space="preserve"> may be a more conservative measure (</w:t>
      </w:r>
      <w:r w:rsidR="009F17E4">
        <w:rPr>
          <w:rFonts w:cs="Arial"/>
          <w:szCs w:val="20"/>
          <w:lang w:val="en-US"/>
        </w:rPr>
        <w:t>8</w:t>
      </w:r>
      <w:r w:rsidRPr="00F32C16">
        <w:rPr>
          <w:rFonts w:cs="Arial"/>
          <w:szCs w:val="20"/>
          <w:lang w:val="en-US"/>
        </w:rPr>
        <w:t xml:space="preserve">). Lipophilic drugs that distribute predominantly into adipose tissue </w:t>
      </w:r>
      <w:r>
        <w:rPr>
          <w:rFonts w:cs="Arial"/>
          <w:szCs w:val="20"/>
          <w:lang w:val="en-US"/>
        </w:rPr>
        <w:t>are expected to have</w:t>
      </w:r>
      <w:r w:rsidRPr="00F32C16">
        <w:rPr>
          <w:rFonts w:cs="Arial"/>
          <w:szCs w:val="20"/>
          <w:lang w:val="en-US"/>
        </w:rPr>
        <w:t xml:space="preserve"> an increased </w:t>
      </w:r>
      <w:proofErr w:type="spellStart"/>
      <w:r w:rsidRPr="00F32C16">
        <w:rPr>
          <w:rFonts w:cs="Arial"/>
          <w:szCs w:val="20"/>
          <w:lang w:val="en-US"/>
        </w:rPr>
        <w:t>Vd</w:t>
      </w:r>
      <w:proofErr w:type="spellEnd"/>
      <w:r>
        <w:rPr>
          <w:rFonts w:cs="Arial"/>
          <w:szCs w:val="20"/>
          <w:lang w:val="en-US"/>
        </w:rPr>
        <w:t xml:space="preserve"> (1</w:t>
      </w:r>
      <w:r w:rsidR="009F17E4">
        <w:rPr>
          <w:rFonts w:cs="Arial"/>
          <w:szCs w:val="20"/>
          <w:lang w:val="en-US"/>
        </w:rPr>
        <w:t>5</w:t>
      </w:r>
      <w:r>
        <w:rPr>
          <w:rFonts w:cs="Arial"/>
          <w:szCs w:val="20"/>
          <w:lang w:val="en-US"/>
        </w:rPr>
        <w:t>), therefore a</w:t>
      </w:r>
      <w:r w:rsidRPr="00F32C16">
        <w:rPr>
          <w:rFonts w:cs="Arial"/>
          <w:szCs w:val="20"/>
          <w:lang w:val="en-US"/>
        </w:rPr>
        <w:t xml:space="preserve"> larger dose may be needed for an adequate response. Loading doses of these drugs should generally be based on TBW</w:t>
      </w:r>
      <w:r w:rsidR="00D8587B">
        <w:rPr>
          <w:rFonts w:cs="Arial"/>
          <w:szCs w:val="20"/>
          <w:lang w:val="en-US"/>
        </w:rPr>
        <w:t xml:space="preserve"> (1</w:t>
      </w:r>
      <w:r w:rsidR="009F17E4">
        <w:rPr>
          <w:rFonts w:cs="Arial"/>
          <w:szCs w:val="20"/>
          <w:lang w:val="en-US"/>
        </w:rPr>
        <w:t>9</w:t>
      </w:r>
      <w:r w:rsidR="00D8587B">
        <w:rPr>
          <w:rFonts w:cs="Arial"/>
          <w:szCs w:val="20"/>
          <w:lang w:val="en-US"/>
        </w:rPr>
        <w:t>)</w:t>
      </w:r>
      <w:r w:rsidRPr="00F32C16">
        <w:rPr>
          <w:rFonts w:cs="Arial"/>
          <w:szCs w:val="20"/>
          <w:lang w:val="en-US"/>
        </w:rPr>
        <w:t xml:space="preserve"> however</w:t>
      </w:r>
      <w:r w:rsidR="00653607">
        <w:rPr>
          <w:rFonts w:cs="Arial"/>
          <w:szCs w:val="20"/>
          <w:lang w:val="en-US"/>
        </w:rPr>
        <w:t>,</w:t>
      </w:r>
      <w:r w:rsidRPr="00F32C16">
        <w:rPr>
          <w:rFonts w:cs="Arial"/>
          <w:szCs w:val="20"/>
          <w:lang w:val="en-US"/>
        </w:rPr>
        <w:t xml:space="preserve"> this should be assessed on a case by case basis </w:t>
      </w:r>
      <w:r>
        <w:rPr>
          <w:rFonts w:cs="Arial"/>
          <w:szCs w:val="20"/>
          <w:lang w:val="en-US"/>
        </w:rPr>
        <w:t>as the relationship between a drug’s lipophilicity and its distribution to adipose tissue is not always consistent and predictable, especially for highly lipophilic drugs (1</w:t>
      </w:r>
      <w:r w:rsidR="009F17E4">
        <w:rPr>
          <w:rFonts w:cs="Arial"/>
          <w:szCs w:val="20"/>
          <w:lang w:val="en-US"/>
        </w:rPr>
        <w:t>5</w:t>
      </w:r>
      <w:r>
        <w:rPr>
          <w:rFonts w:cs="Arial"/>
          <w:szCs w:val="20"/>
          <w:lang w:val="en-US"/>
        </w:rPr>
        <w:t xml:space="preserve">). </w:t>
      </w:r>
      <w:r w:rsidR="00B87895">
        <w:rPr>
          <w:rFonts w:cs="Arial"/>
          <w:szCs w:val="20"/>
          <w:lang w:val="en-US"/>
        </w:rPr>
        <w:br/>
      </w:r>
    </w:p>
    <w:p w14:paraId="1CDAC985" w14:textId="77777777" w:rsidR="00D03F60" w:rsidRDefault="00D03F60" w:rsidP="00D03F60">
      <w:pPr>
        <w:rPr>
          <w:rFonts w:cs="Arial"/>
          <w:b/>
          <w:szCs w:val="20"/>
          <w:lang w:val="en-US"/>
        </w:rPr>
      </w:pPr>
      <w:r w:rsidRPr="00894A3C">
        <w:rPr>
          <w:rFonts w:cs="Arial"/>
          <w:b/>
          <w:szCs w:val="20"/>
          <w:lang w:val="en-US"/>
        </w:rPr>
        <w:t>Maintenance dose</w:t>
      </w:r>
    </w:p>
    <w:p w14:paraId="1071AF0A" w14:textId="48191026" w:rsidR="00D03F60" w:rsidRDefault="00D03F60" w:rsidP="00D03F60">
      <w:pPr>
        <w:rPr>
          <w:rFonts w:cs="Arial"/>
          <w:szCs w:val="20"/>
          <w:lang w:val="en-US"/>
        </w:rPr>
      </w:pPr>
      <w:r>
        <w:rPr>
          <w:rFonts w:cs="Arial"/>
          <w:szCs w:val="20"/>
          <w:lang w:val="en-US"/>
        </w:rPr>
        <w:t>Maintenance doses</w:t>
      </w:r>
      <w:r w:rsidRPr="00F32C16">
        <w:rPr>
          <w:rFonts w:cs="Arial"/>
          <w:szCs w:val="20"/>
          <w:lang w:val="en-US"/>
        </w:rPr>
        <w:t xml:space="preserve"> are based on drug clearance (</w:t>
      </w:r>
      <w:r w:rsidR="009F17E4">
        <w:rPr>
          <w:rFonts w:cs="Arial"/>
          <w:szCs w:val="20"/>
          <w:lang w:val="en-US"/>
        </w:rPr>
        <w:t>6</w:t>
      </w:r>
      <w:r w:rsidRPr="00F32C16">
        <w:rPr>
          <w:rFonts w:cs="Arial"/>
          <w:szCs w:val="20"/>
          <w:lang w:val="en-US"/>
        </w:rPr>
        <w:t>), predominantly determined by renal and hepatic function (</w:t>
      </w:r>
      <w:r w:rsidR="00A30230">
        <w:rPr>
          <w:rFonts w:cs="Arial"/>
          <w:szCs w:val="20"/>
          <w:lang w:val="en-US"/>
        </w:rPr>
        <w:t>24</w:t>
      </w:r>
      <w:r w:rsidRPr="00F32C16">
        <w:rPr>
          <w:rFonts w:cs="Arial"/>
          <w:szCs w:val="20"/>
          <w:lang w:val="en-US"/>
        </w:rPr>
        <w:t>). Since clearance of drugs does not increase proportionally with bodyweight in individuals</w:t>
      </w:r>
      <w:r w:rsidR="009B5F4E">
        <w:rPr>
          <w:rFonts w:cs="Arial"/>
          <w:szCs w:val="20"/>
          <w:lang w:val="en-US"/>
        </w:rPr>
        <w:t xml:space="preserve"> living with obesity</w:t>
      </w:r>
      <w:r w:rsidRPr="00F32C16">
        <w:rPr>
          <w:rFonts w:cs="Arial"/>
          <w:szCs w:val="20"/>
          <w:lang w:val="en-US"/>
        </w:rPr>
        <w:t>, it has been suggested that</w:t>
      </w:r>
      <w:r w:rsidR="00062948">
        <w:rPr>
          <w:rFonts w:cs="Arial"/>
          <w:szCs w:val="20"/>
          <w:lang w:val="en-US"/>
        </w:rPr>
        <w:t xml:space="preserve"> an altered weight</w:t>
      </w:r>
      <w:r w:rsidR="001912AF">
        <w:rPr>
          <w:rFonts w:cs="Arial"/>
          <w:szCs w:val="20"/>
          <w:lang w:val="en-US"/>
        </w:rPr>
        <w:t xml:space="preserve"> that adjusts for the difference between lean and total body weight</w:t>
      </w:r>
      <w:r w:rsidRPr="00F32C16">
        <w:rPr>
          <w:rFonts w:cs="Arial"/>
          <w:szCs w:val="20"/>
          <w:lang w:val="en-US"/>
        </w:rPr>
        <w:t xml:space="preserve"> be used to calculate maintenance drug doses. </w:t>
      </w:r>
      <w:r w:rsidR="00B87895">
        <w:rPr>
          <w:rFonts w:cs="Arial"/>
          <w:szCs w:val="20"/>
          <w:lang w:val="en-US"/>
        </w:rPr>
        <w:br/>
      </w:r>
    </w:p>
    <w:p w14:paraId="7454BD30" w14:textId="75250797" w:rsidR="00D03F60" w:rsidRPr="00790006" w:rsidRDefault="004F2127" w:rsidP="00D03F60">
      <w:pPr>
        <w:rPr>
          <w:rFonts w:cs="Arial"/>
          <w:b/>
          <w:lang w:val="en-US"/>
        </w:rPr>
      </w:pPr>
      <w:r>
        <w:rPr>
          <w:rFonts w:cs="Arial"/>
          <w:b/>
          <w:lang w:val="en-US"/>
        </w:rPr>
        <w:t>P</w:t>
      </w:r>
      <w:r w:rsidR="00D03F60" w:rsidRPr="00790006">
        <w:rPr>
          <w:rFonts w:cs="Arial"/>
          <w:b/>
          <w:lang w:val="en-US"/>
        </w:rPr>
        <w:t>atient</w:t>
      </w:r>
      <w:r>
        <w:rPr>
          <w:rFonts w:cs="Arial"/>
          <w:b/>
          <w:lang w:val="en-US"/>
        </w:rPr>
        <w:t xml:space="preserve"> characteristics</w:t>
      </w:r>
    </w:p>
    <w:p w14:paraId="71EAE13B" w14:textId="029E720B" w:rsidR="00D03F60" w:rsidRPr="00E819BF" w:rsidRDefault="00D03F60" w:rsidP="00D03F60">
      <w:pPr>
        <w:pStyle w:val="ListParagraph"/>
        <w:numPr>
          <w:ilvl w:val="0"/>
          <w:numId w:val="15"/>
        </w:numPr>
        <w:rPr>
          <w:rFonts w:cs="Arial"/>
          <w:lang w:val="en-US"/>
        </w:rPr>
      </w:pPr>
      <w:r>
        <w:rPr>
          <w:rFonts w:cs="Arial"/>
          <w:lang w:val="en-US"/>
        </w:rPr>
        <w:t>Nature and severity of illness</w:t>
      </w:r>
      <w:r w:rsidR="00F3586F">
        <w:rPr>
          <w:rFonts w:cs="Arial"/>
          <w:lang w:val="en-US"/>
        </w:rPr>
        <w:t>. For example, if</w:t>
      </w:r>
      <w:r>
        <w:rPr>
          <w:rFonts w:cs="Arial"/>
          <w:lang w:val="en-US"/>
        </w:rPr>
        <w:t xml:space="preserve"> risk of undertreating </w:t>
      </w:r>
      <w:r w:rsidR="00F3586F">
        <w:rPr>
          <w:rFonts w:cs="Arial"/>
          <w:lang w:val="en-US"/>
        </w:rPr>
        <w:t xml:space="preserve">is </w:t>
      </w:r>
      <w:r>
        <w:rPr>
          <w:rFonts w:cs="Arial"/>
          <w:lang w:val="en-US"/>
        </w:rPr>
        <w:t>greater than over</w:t>
      </w:r>
      <w:r w:rsidR="0053282F">
        <w:rPr>
          <w:rFonts w:cs="Arial"/>
          <w:lang w:val="en-US"/>
        </w:rPr>
        <w:t>-</w:t>
      </w:r>
      <w:r>
        <w:rPr>
          <w:rFonts w:cs="Arial"/>
          <w:lang w:val="en-US"/>
        </w:rPr>
        <w:t>treating, consider</w:t>
      </w:r>
      <w:r w:rsidR="00363FF2">
        <w:rPr>
          <w:rFonts w:cs="Arial"/>
          <w:lang w:val="en-US"/>
        </w:rPr>
        <w:t xml:space="preserve"> a more liberal size descriptor</w:t>
      </w:r>
      <w:r>
        <w:rPr>
          <w:rFonts w:cs="Arial"/>
          <w:lang w:val="en-US"/>
        </w:rPr>
        <w:t xml:space="preserve"> (1</w:t>
      </w:r>
      <w:r w:rsidR="009F17E4">
        <w:rPr>
          <w:rFonts w:cs="Arial"/>
          <w:lang w:val="en-US"/>
        </w:rPr>
        <w:t>9</w:t>
      </w:r>
      <w:r>
        <w:rPr>
          <w:rFonts w:cs="Arial"/>
          <w:lang w:val="en-US"/>
        </w:rPr>
        <w:t>)</w:t>
      </w:r>
      <w:r w:rsidR="00363FF2">
        <w:rPr>
          <w:rFonts w:cs="Arial"/>
          <w:lang w:val="en-US"/>
        </w:rPr>
        <w:t>.</w:t>
      </w:r>
    </w:p>
    <w:p w14:paraId="5ACF8BF1" w14:textId="54B95309" w:rsidR="00D03F60" w:rsidRDefault="00501CC5" w:rsidP="00D03F60">
      <w:pPr>
        <w:pStyle w:val="ListParagraph"/>
        <w:numPr>
          <w:ilvl w:val="0"/>
          <w:numId w:val="15"/>
        </w:numPr>
        <w:rPr>
          <w:rFonts w:cs="Arial"/>
          <w:lang w:val="en-US"/>
        </w:rPr>
      </w:pPr>
      <w:r>
        <w:rPr>
          <w:rFonts w:cs="Arial"/>
          <w:lang w:val="en-US"/>
        </w:rPr>
        <w:t>Extent</w:t>
      </w:r>
      <w:r w:rsidR="00D03F60">
        <w:rPr>
          <w:rFonts w:cs="Arial"/>
          <w:lang w:val="en-US"/>
        </w:rPr>
        <w:t xml:space="preserve"> of obesity</w:t>
      </w:r>
    </w:p>
    <w:p w14:paraId="673891F6" w14:textId="1389CF04" w:rsidR="00D03F60" w:rsidRDefault="00D03F60" w:rsidP="00D03F60">
      <w:pPr>
        <w:pStyle w:val="ListParagraph"/>
        <w:numPr>
          <w:ilvl w:val="0"/>
          <w:numId w:val="15"/>
        </w:numPr>
        <w:rPr>
          <w:rFonts w:cs="Arial"/>
          <w:lang w:val="en-US"/>
        </w:rPr>
      </w:pPr>
      <w:r>
        <w:rPr>
          <w:rFonts w:cs="Arial"/>
          <w:lang w:val="en-US"/>
        </w:rPr>
        <w:t>Any comorbidities and underlying organ function (1</w:t>
      </w:r>
      <w:r w:rsidR="009F17E4">
        <w:rPr>
          <w:rFonts w:cs="Arial"/>
          <w:lang w:val="en-US"/>
        </w:rPr>
        <w:t>3</w:t>
      </w:r>
      <w:r>
        <w:rPr>
          <w:rFonts w:cs="Arial"/>
          <w:lang w:val="en-US"/>
        </w:rPr>
        <w:t>)</w:t>
      </w:r>
      <w:r w:rsidR="00B87895">
        <w:rPr>
          <w:rFonts w:cs="Arial"/>
          <w:lang w:val="en-US"/>
        </w:rPr>
        <w:br/>
      </w:r>
    </w:p>
    <w:p w14:paraId="00447C6A" w14:textId="7CF6914D" w:rsidR="00D03F60" w:rsidRPr="00790006" w:rsidRDefault="004F2127" w:rsidP="00D03F60">
      <w:pPr>
        <w:rPr>
          <w:rFonts w:cs="Arial"/>
          <w:b/>
          <w:lang w:val="en-US"/>
        </w:rPr>
      </w:pPr>
      <w:r>
        <w:rPr>
          <w:rFonts w:cs="Arial"/>
          <w:b/>
          <w:lang w:val="en-US"/>
        </w:rPr>
        <w:t>D</w:t>
      </w:r>
      <w:r w:rsidR="00D03F60" w:rsidRPr="00790006">
        <w:rPr>
          <w:rFonts w:cs="Arial"/>
          <w:b/>
          <w:lang w:val="en-US"/>
        </w:rPr>
        <w:t xml:space="preserve">rug </w:t>
      </w:r>
      <w:r>
        <w:rPr>
          <w:rFonts w:cs="Arial"/>
          <w:b/>
          <w:lang w:val="en-US"/>
        </w:rPr>
        <w:t>characteristics</w:t>
      </w:r>
    </w:p>
    <w:p w14:paraId="5E658D27" w14:textId="787F76A6" w:rsidR="00D03F60" w:rsidRDefault="00D03F60" w:rsidP="00D03F60">
      <w:pPr>
        <w:pStyle w:val="ListParagraph"/>
        <w:numPr>
          <w:ilvl w:val="0"/>
          <w:numId w:val="16"/>
        </w:numPr>
        <w:rPr>
          <w:rFonts w:cs="Arial"/>
          <w:lang w:val="en-US"/>
        </w:rPr>
      </w:pPr>
      <w:r>
        <w:rPr>
          <w:rFonts w:cs="Arial"/>
          <w:lang w:val="en-US"/>
        </w:rPr>
        <w:t>W</w:t>
      </w:r>
      <w:r w:rsidRPr="00B81A6E">
        <w:rPr>
          <w:rFonts w:cs="Arial"/>
          <w:lang w:val="en-US"/>
        </w:rPr>
        <w:t>hat is the therapeutic range of the drug? The narrower</w:t>
      </w:r>
      <w:r w:rsidR="00B6343A">
        <w:rPr>
          <w:rFonts w:cs="Arial"/>
          <w:lang w:val="en-US"/>
        </w:rPr>
        <w:t xml:space="preserve"> </w:t>
      </w:r>
      <w:r w:rsidR="009A0BAA">
        <w:rPr>
          <w:rFonts w:cs="Arial"/>
          <w:lang w:val="en-US"/>
        </w:rPr>
        <w:t>the range</w:t>
      </w:r>
      <w:r w:rsidRPr="00B81A6E">
        <w:rPr>
          <w:rFonts w:cs="Arial"/>
          <w:lang w:val="en-US"/>
        </w:rPr>
        <w:t xml:space="preserve">, the </w:t>
      </w:r>
      <w:r w:rsidR="009A0BAA">
        <w:rPr>
          <w:rFonts w:cs="Arial"/>
          <w:lang w:val="en-US"/>
        </w:rPr>
        <w:t>greater the need for caution</w:t>
      </w:r>
      <w:r w:rsidR="00B6343A">
        <w:rPr>
          <w:rFonts w:cs="Arial"/>
          <w:lang w:val="en-US"/>
        </w:rPr>
        <w:t xml:space="preserve"> </w:t>
      </w:r>
      <w:r>
        <w:rPr>
          <w:rFonts w:cs="Arial"/>
          <w:lang w:val="en-US"/>
        </w:rPr>
        <w:t>(</w:t>
      </w:r>
      <w:r w:rsidR="00A30230">
        <w:rPr>
          <w:rFonts w:cs="Arial"/>
          <w:lang w:val="en-US"/>
        </w:rPr>
        <w:t>25</w:t>
      </w:r>
      <w:r>
        <w:rPr>
          <w:rFonts w:cs="Arial"/>
          <w:lang w:val="en-US"/>
        </w:rPr>
        <w:t>)</w:t>
      </w:r>
      <w:r w:rsidR="00527249">
        <w:rPr>
          <w:rFonts w:cs="Arial"/>
          <w:lang w:val="en-US"/>
        </w:rPr>
        <w:t>.</w:t>
      </w:r>
      <w:r w:rsidR="009A0BAA">
        <w:rPr>
          <w:rFonts w:cs="Arial"/>
          <w:lang w:val="en-US"/>
        </w:rPr>
        <w:t xml:space="preserve"> Consider therapeutic drug monitoring and subsequent dose adjustment to </w:t>
      </w:r>
      <w:proofErr w:type="spellStart"/>
      <w:r w:rsidR="009A0BAA">
        <w:rPr>
          <w:rFonts w:cs="Arial"/>
          <w:lang w:val="en-US"/>
        </w:rPr>
        <w:t>optimi</w:t>
      </w:r>
      <w:r w:rsidR="00C45C53">
        <w:rPr>
          <w:rFonts w:cs="Arial"/>
          <w:lang w:val="en-US"/>
        </w:rPr>
        <w:t>s</w:t>
      </w:r>
      <w:r w:rsidR="009A0BAA">
        <w:rPr>
          <w:rFonts w:cs="Arial"/>
          <w:lang w:val="en-US"/>
        </w:rPr>
        <w:t>e</w:t>
      </w:r>
      <w:proofErr w:type="spellEnd"/>
      <w:r w:rsidR="009A0BAA">
        <w:rPr>
          <w:rFonts w:cs="Arial"/>
          <w:lang w:val="en-US"/>
        </w:rPr>
        <w:t xml:space="preserve"> treatment.</w:t>
      </w:r>
    </w:p>
    <w:p w14:paraId="78E4F62B" w14:textId="4CF7A88D" w:rsidR="00D03F60" w:rsidRPr="00A67C14" w:rsidRDefault="00D03F60" w:rsidP="00D03F60">
      <w:pPr>
        <w:pStyle w:val="ListParagraph"/>
        <w:numPr>
          <w:ilvl w:val="0"/>
          <w:numId w:val="16"/>
        </w:numPr>
        <w:rPr>
          <w:rFonts w:cs="Arial"/>
          <w:lang w:val="en-US"/>
        </w:rPr>
      </w:pPr>
      <w:r w:rsidRPr="00A67C14">
        <w:rPr>
          <w:rFonts w:cs="Arial"/>
          <w:lang w:val="en-US"/>
        </w:rPr>
        <w:t xml:space="preserve">What is the side effect profile of the drug? The greater the risk of serious toxicity, the </w:t>
      </w:r>
      <w:r w:rsidR="009A0BAA">
        <w:rPr>
          <w:rFonts w:cs="Arial"/>
          <w:lang w:val="en-US"/>
        </w:rPr>
        <w:t>greater the need for care</w:t>
      </w:r>
      <w:r w:rsidR="00B6343A">
        <w:rPr>
          <w:rFonts w:cs="Arial"/>
          <w:lang w:val="en-US"/>
        </w:rPr>
        <w:t xml:space="preserve"> </w:t>
      </w:r>
      <w:r w:rsidRPr="00A67C14">
        <w:rPr>
          <w:rFonts w:cs="Arial"/>
          <w:lang w:val="en-US"/>
        </w:rPr>
        <w:t>(</w:t>
      </w:r>
      <w:r w:rsidR="00A30230">
        <w:rPr>
          <w:rFonts w:cs="Arial"/>
          <w:lang w:val="en-US"/>
        </w:rPr>
        <w:t>25</w:t>
      </w:r>
      <w:r w:rsidRPr="00A67C14">
        <w:rPr>
          <w:rFonts w:cs="Arial"/>
          <w:lang w:val="en-US"/>
        </w:rPr>
        <w:t>)</w:t>
      </w:r>
      <w:r w:rsidR="00527249">
        <w:rPr>
          <w:rFonts w:cs="Arial"/>
          <w:lang w:val="en-US"/>
        </w:rPr>
        <w:t>.</w:t>
      </w:r>
    </w:p>
    <w:p w14:paraId="02C4D885" w14:textId="77777777" w:rsidR="00D03F60" w:rsidRDefault="00D03F60" w:rsidP="00D03F60">
      <w:pPr>
        <w:pStyle w:val="ListParagraph"/>
        <w:numPr>
          <w:ilvl w:val="0"/>
          <w:numId w:val="16"/>
        </w:numPr>
        <w:rPr>
          <w:rFonts w:cs="Arial"/>
          <w:lang w:val="en-US"/>
        </w:rPr>
      </w:pPr>
      <w:r>
        <w:rPr>
          <w:rFonts w:cs="Arial"/>
          <w:lang w:val="en-US"/>
        </w:rPr>
        <w:t>Is the drug being used acutely or for a chronic condition?</w:t>
      </w:r>
    </w:p>
    <w:p w14:paraId="54B31465" w14:textId="28D776B7" w:rsidR="00D03F60" w:rsidRDefault="00D03F60" w:rsidP="00D03F60">
      <w:pPr>
        <w:pStyle w:val="ListParagraph"/>
        <w:numPr>
          <w:ilvl w:val="0"/>
          <w:numId w:val="16"/>
        </w:numPr>
        <w:rPr>
          <w:rFonts w:cs="Arial"/>
          <w:lang w:val="en-US"/>
        </w:rPr>
      </w:pPr>
      <w:r>
        <w:rPr>
          <w:rFonts w:cs="Arial"/>
          <w:lang w:val="en-US"/>
        </w:rPr>
        <w:t>Are there other medications in the same drug class with stronger data? (1</w:t>
      </w:r>
      <w:r w:rsidR="009F17E4">
        <w:rPr>
          <w:rFonts w:cs="Arial"/>
          <w:lang w:val="en-US"/>
        </w:rPr>
        <w:t>9</w:t>
      </w:r>
      <w:r>
        <w:rPr>
          <w:rFonts w:cs="Arial"/>
          <w:lang w:val="en-US"/>
        </w:rPr>
        <w:t>)</w:t>
      </w:r>
    </w:p>
    <w:p w14:paraId="46203E43" w14:textId="5E443691" w:rsidR="00D03F60" w:rsidRPr="00D20CED" w:rsidRDefault="00A01600" w:rsidP="00D03F60">
      <w:pPr>
        <w:pStyle w:val="ListParagraph"/>
        <w:numPr>
          <w:ilvl w:val="0"/>
          <w:numId w:val="16"/>
        </w:numPr>
        <w:rPr>
          <w:rFonts w:cs="Arial"/>
          <w:lang w:val="en-US"/>
        </w:rPr>
      </w:pPr>
      <w:r>
        <w:rPr>
          <w:rFonts w:cs="Arial"/>
          <w:lang w:val="en-US"/>
        </w:rPr>
        <w:t>Are</w:t>
      </w:r>
      <w:r w:rsidRPr="00501CC5">
        <w:rPr>
          <w:rFonts w:cs="Arial"/>
          <w:lang w:val="en-US"/>
        </w:rPr>
        <w:t xml:space="preserve"> </w:t>
      </w:r>
      <w:r w:rsidR="00D03F60" w:rsidRPr="00501CC5">
        <w:rPr>
          <w:rFonts w:cs="Arial"/>
          <w:lang w:val="en-US"/>
        </w:rPr>
        <w:t>there PK data available for the drug in adults</w:t>
      </w:r>
      <w:r w:rsidR="009B5F4E">
        <w:rPr>
          <w:rFonts w:cs="Arial"/>
          <w:lang w:val="en-US"/>
        </w:rPr>
        <w:t xml:space="preserve"> who are obese</w:t>
      </w:r>
      <w:r w:rsidR="00D03F60" w:rsidRPr="00501CC5">
        <w:rPr>
          <w:rFonts w:cs="Arial"/>
          <w:lang w:val="en-US"/>
        </w:rPr>
        <w:t>?</w:t>
      </w:r>
      <w:r w:rsidR="00D03F60" w:rsidRPr="00B81A6E">
        <w:t xml:space="preserve"> </w:t>
      </w:r>
      <w:r w:rsidR="00FB7662">
        <w:rPr>
          <w:rFonts w:cs="Arial"/>
          <w:szCs w:val="20"/>
          <w:lang w:val="en-US"/>
        </w:rPr>
        <w:t>P</w:t>
      </w:r>
      <w:r w:rsidR="00D03F60" w:rsidRPr="00501CC5">
        <w:rPr>
          <w:rFonts w:cs="Arial"/>
          <w:szCs w:val="20"/>
          <w:lang w:val="en-US"/>
        </w:rPr>
        <w:t>rescribers may need to extrapolate from adult data while considering the effects of growth and development on pharmacokinetics</w:t>
      </w:r>
      <w:r w:rsidR="00D03F60" w:rsidRPr="00501CC5">
        <w:rPr>
          <w:rFonts w:cs="Arial"/>
          <w:lang w:val="en-US"/>
        </w:rPr>
        <w:t xml:space="preserve"> (1</w:t>
      </w:r>
      <w:r w:rsidR="009F17E4">
        <w:rPr>
          <w:rFonts w:cs="Arial"/>
          <w:lang w:val="en-US"/>
        </w:rPr>
        <w:t>3</w:t>
      </w:r>
      <w:r w:rsidR="00D03F60" w:rsidRPr="00501CC5">
        <w:rPr>
          <w:rFonts w:cs="Arial"/>
          <w:lang w:val="en-US"/>
        </w:rPr>
        <w:t>).</w:t>
      </w:r>
      <w:r w:rsidR="00D03F60" w:rsidRPr="00B03A54">
        <w:t xml:space="preserve"> </w:t>
      </w:r>
      <w:r w:rsidR="00FB7662">
        <w:t>However</w:t>
      </w:r>
      <w:r w:rsidR="000E48FF">
        <w:t xml:space="preserve"> </w:t>
      </w:r>
      <w:r w:rsidR="000E48FF" w:rsidRPr="00501CC5">
        <w:rPr>
          <w:rFonts w:cs="Arial"/>
          <w:lang w:val="en-US"/>
        </w:rPr>
        <w:t>important</w:t>
      </w:r>
      <w:r w:rsidR="00D03F60" w:rsidRPr="00501CC5">
        <w:rPr>
          <w:rFonts w:cs="Arial"/>
          <w:lang w:val="en-US"/>
        </w:rPr>
        <w:t xml:space="preserve"> differences in clearance and other PK parameters </w:t>
      </w:r>
      <w:r w:rsidR="00D03F60" w:rsidRPr="00501CC5">
        <w:rPr>
          <w:rFonts w:cs="Arial"/>
          <w:lang w:val="en-US"/>
        </w:rPr>
        <w:lastRenderedPageBreak/>
        <w:t>may exist between adults and children</w:t>
      </w:r>
      <w:r w:rsidR="009B5F4E">
        <w:rPr>
          <w:rFonts w:cs="Arial"/>
          <w:lang w:val="en-US"/>
        </w:rPr>
        <w:t xml:space="preserve"> who are obese</w:t>
      </w:r>
      <w:r w:rsidR="00D03F60" w:rsidRPr="00501CC5">
        <w:rPr>
          <w:rFonts w:cs="Arial"/>
          <w:lang w:val="en-US"/>
        </w:rPr>
        <w:t xml:space="preserve"> which means that conducting PK studies specifically in children</w:t>
      </w:r>
      <w:r w:rsidR="009B5F4E">
        <w:rPr>
          <w:rFonts w:cs="Arial"/>
          <w:lang w:val="en-US"/>
        </w:rPr>
        <w:t xml:space="preserve"> who are obese</w:t>
      </w:r>
      <w:r w:rsidR="00D03F60" w:rsidRPr="00501CC5">
        <w:rPr>
          <w:rFonts w:cs="Arial"/>
          <w:lang w:val="en-US"/>
        </w:rPr>
        <w:t xml:space="preserve"> is needed (1</w:t>
      </w:r>
      <w:r w:rsidR="009F17E4">
        <w:rPr>
          <w:rFonts w:cs="Arial"/>
          <w:lang w:val="en-US"/>
        </w:rPr>
        <w:t>4</w:t>
      </w:r>
      <w:r w:rsidR="00D03F60" w:rsidRPr="00501CC5">
        <w:rPr>
          <w:rFonts w:cs="Arial"/>
          <w:lang w:val="en-US"/>
        </w:rPr>
        <w:t>).</w:t>
      </w:r>
    </w:p>
    <w:p w14:paraId="49746ABF" w14:textId="1A63B3D3" w:rsidR="00071CAF" w:rsidRPr="00065DA6" w:rsidRDefault="00071CAF" w:rsidP="00071CAF">
      <w:pPr>
        <w:pStyle w:val="Heading2"/>
        <w:spacing w:line="276" w:lineRule="auto"/>
        <w:rPr>
          <w:sz w:val="20"/>
        </w:rPr>
      </w:pPr>
      <w:r>
        <w:rPr>
          <w:sz w:val="20"/>
        </w:rPr>
        <w:t>Dosage recommendations</w:t>
      </w:r>
    </w:p>
    <w:p w14:paraId="4DCB2534" w14:textId="113F9E69" w:rsidR="0029792C" w:rsidRDefault="00501CC5" w:rsidP="008F6B23">
      <w:r>
        <w:t>As previously mentioned, t</w:t>
      </w:r>
      <w:r w:rsidR="00023E96">
        <w:t xml:space="preserve">here </w:t>
      </w:r>
      <w:r w:rsidR="00952DB6">
        <w:t xml:space="preserve">are </w:t>
      </w:r>
      <w:r w:rsidR="00023E96">
        <w:t xml:space="preserve">limited published data available on drug dosing in </w:t>
      </w:r>
      <w:r>
        <w:t>children</w:t>
      </w:r>
      <w:r w:rsidR="009B5F4E">
        <w:t xml:space="preserve"> living with obesity</w:t>
      </w:r>
      <w:r w:rsidR="00023E96">
        <w:t>. Table</w:t>
      </w:r>
      <w:r w:rsidR="00201D2C">
        <w:t xml:space="preserve"> 2</w:t>
      </w:r>
      <w:r w:rsidR="00023E96">
        <w:t xml:space="preserve"> below contains currently available </w:t>
      </w:r>
      <w:r w:rsidR="003E0D98">
        <w:t>data</w:t>
      </w:r>
      <w:r w:rsidR="00023E96">
        <w:t>; however</w:t>
      </w:r>
      <w:r w:rsidR="001B6525">
        <w:t>,</w:t>
      </w:r>
      <w:r w:rsidR="00023E96">
        <w:t xml:space="preserve"> </w:t>
      </w:r>
      <w:r w:rsidR="007D3FC3">
        <w:t>some of the information</w:t>
      </w:r>
      <w:r w:rsidR="0033451C">
        <w:t xml:space="preserve"> has been derived from </w:t>
      </w:r>
      <w:r w:rsidR="00023E96">
        <w:t xml:space="preserve">adult </w:t>
      </w:r>
      <w:r w:rsidR="007D3FC3">
        <w:t xml:space="preserve">obesity </w:t>
      </w:r>
      <w:r w:rsidR="00023E96">
        <w:t>data.</w:t>
      </w:r>
      <w:r w:rsidR="00F5771D">
        <w:t xml:space="preserve"> It is intended to generate discussion and for paediatric teams to agree a consensus locally.</w:t>
      </w:r>
      <w:r w:rsidR="00023E96">
        <w:t xml:space="preserve"> </w:t>
      </w:r>
      <w:r w:rsidR="00952DB6">
        <w:t xml:space="preserve">This list is not exhaustive and absence does not </w:t>
      </w:r>
      <w:r w:rsidR="007C7776">
        <w:t>imply</w:t>
      </w:r>
      <w:r w:rsidR="00952DB6">
        <w:t xml:space="preserve"> that no dose adjustment is needed in children</w:t>
      </w:r>
      <w:r w:rsidR="009B5F4E">
        <w:t xml:space="preserve"> who are obese</w:t>
      </w:r>
      <w:r w:rsidR="00952DB6">
        <w:t xml:space="preserve">. </w:t>
      </w:r>
      <w:r w:rsidR="00070903">
        <w:t xml:space="preserve">This information does not apply to children under the age of 2. </w:t>
      </w:r>
      <w:r w:rsidR="009A6B8F">
        <w:t>P</w:t>
      </w:r>
      <w:r w:rsidR="008F6B23">
        <w:t xml:space="preserve">atient-specific factors such as </w:t>
      </w:r>
      <w:r>
        <w:t>underlying organ function</w:t>
      </w:r>
      <w:r w:rsidR="008F6B23">
        <w:t>, illness severity and extent of obesity</w:t>
      </w:r>
      <w:r w:rsidR="009A6B8F">
        <w:t xml:space="preserve"> should be taken in to account</w:t>
      </w:r>
      <w:r w:rsidR="00E1017A">
        <w:t xml:space="preserve"> when determining appropriate drug doses for individual patients</w:t>
      </w:r>
      <w:r w:rsidR="008F6B23">
        <w:t xml:space="preserve"> (</w:t>
      </w:r>
      <w:r w:rsidR="009F17E4">
        <w:t>7</w:t>
      </w:r>
      <w:r w:rsidR="008F6B23">
        <w:t xml:space="preserve">). </w:t>
      </w:r>
      <w:r w:rsidR="004635AA" w:rsidRPr="004635AA">
        <w:t xml:space="preserve">Drug levels should be monitored wherever possible. </w:t>
      </w:r>
      <w:r w:rsidR="00952DB6" w:rsidRPr="00952DB6">
        <w:t>For children ≥40kg, care and familiarity with adult dosage regimens is needed as calculated doses should not normally exceed the maximum recommended dose for an adult (</w:t>
      </w:r>
      <w:r w:rsidR="009F17E4">
        <w:t>4</w:t>
      </w:r>
      <w:r w:rsidR="00952DB6" w:rsidRPr="00952DB6">
        <w:t>,25).</w:t>
      </w:r>
      <w:r w:rsidR="00AC16AC">
        <w:t xml:space="preserve"> </w:t>
      </w:r>
      <w:r w:rsidR="00CC47F4">
        <w:t xml:space="preserve">In all cases, treatment should not rely purely on calculated dose but be clinically reviewed regularly to ensure that the child is receiving the correct dose in terms of both efficacy and safety. </w:t>
      </w:r>
      <w:r w:rsidR="00B87895">
        <w:br/>
      </w:r>
      <w:r w:rsidR="0029792C">
        <w:br/>
      </w:r>
      <w:r w:rsidR="0029792C" w:rsidRPr="0029792C">
        <w:rPr>
          <w:rFonts w:cs="Arial"/>
          <w:b/>
          <w:szCs w:val="20"/>
        </w:rPr>
        <w:t>NPPG recommend using a standard adjustment</w:t>
      </w:r>
      <w:r w:rsidR="0029792C" w:rsidRPr="005447C2">
        <w:rPr>
          <w:rFonts w:cs="Arial"/>
          <w:b/>
          <w:szCs w:val="20"/>
        </w:rPr>
        <w:t xml:space="preserve"> factor of 0.35 to calculate</w:t>
      </w:r>
      <w:r w:rsidR="0029792C" w:rsidRPr="007600C2">
        <w:rPr>
          <w:rFonts w:cs="Arial"/>
          <w:b/>
          <w:szCs w:val="20"/>
        </w:rPr>
        <w:t xml:space="preserve"> adjusted body weight </w:t>
      </w:r>
      <w:r w:rsidR="0029792C" w:rsidRPr="0029792C">
        <w:rPr>
          <w:rFonts w:cs="Arial"/>
          <w:b/>
          <w:szCs w:val="20"/>
        </w:rPr>
        <w:t>for those drugs where it is required.</w:t>
      </w:r>
    </w:p>
    <w:p w14:paraId="0BA743DD" w14:textId="3C7EDE2A" w:rsidR="007D3FC3" w:rsidRPr="007D3FC3" w:rsidRDefault="00E634A5" w:rsidP="007D3FC3">
      <w:pPr>
        <w:autoSpaceDE w:val="0"/>
        <w:autoSpaceDN w:val="0"/>
        <w:adjustRightInd w:val="0"/>
        <w:spacing w:after="0" w:line="240" w:lineRule="auto"/>
        <w:rPr>
          <w:rFonts w:eastAsiaTheme="minorHAnsi" w:cs="Arial"/>
          <w:szCs w:val="20"/>
        </w:rPr>
      </w:pPr>
      <w:r>
        <w:rPr>
          <w:b/>
          <w:bCs/>
          <w:color w:val="006FC0"/>
          <w:szCs w:val="20"/>
        </w:rPr>
        <w:t>Table 2: A summary of published evidence on size descriptors to base doses of a range of drugs commonly used in children</w:t>
      </w:r>
    </w:p>
    <w:p w14:paraId="16515EA0" w14:textId="77777777" w:rsidR="007D3FC3" w:rsidRPr="00360C61" w:rsidRDefault="007D3FC3" w:rsidP="007D3FC3">
      <w:pPr>
        <w:autoSpaceDE w:val="0"/>
        <w:autoSpaceDN w:val="0"/>
        <w:adjustRightInd w:val="0"/>
        <w:spacing w:after="0" w:line="240" w:lineRule="auto"/>
      </w:pPr>
    </w:p>
    <w:tbl>
      <w:tblPr>
        <w:tblStyle w:val="TableGrid"/>
        <w:tblW w:w="9493" w:type="dxa"/>
        <w:tblLayout w:type="fixed"/>
        <w:tblLook w:val="04A0" w:firstRow="1" w:lastRow="0" w:firstColumn="1" w:lastColumn="0" w:noHBand="0" w:noVBand="1"/>
      </w:tblPr>
      <w:tblGrid>
        <w:gridCol w:w="1838"/>
        <w:gridCol w:w="1985"/>
        <w:gridCol w:w="2409"/>
        <w:gridCol w:w="1985"/>
        <w:gridCol w:w="1276"/>
      </w:tblGrid>
      <w:tr w:rsidR="00AF6983" w14:paraId="1E8560EE" w14:textId="77777777" w:rsidTr="00551D7B">
        <w:trPr>
          <w:tblHeader/>
        </w:trPr>
        <w:tc>
          <w:tcPr>
            <w:tcW w:w="1838" w:type="dxa"/>
            <w:shd w:val="clear" w:color="auto" w:fill="auto"/>
          </w:tcPr>
          <w:p w14:paraId="7F9BD636" w14:textId="77777777" w:rsidR="00AF6983" w:rsidRPr="00704159" w:rsidRDefault="00AF6983" w:rsidP="00324030">
            <w:pPr>
              <w:rPr>
                <w:b/>
              </w:rPr>
            </w:pPr>
            <w:r w:rsidRPr="00704159">
              <w:rPr>
                <w:b/>
              </w:rPr>
              <w:t>Drug</w:t>
            </w:r>
          </w:p>
        </w:tc>
        <w:tc>
          <w:tcPr>
            <w:tcW w:w="1985" w:type="dxa"/>
          </w:tcPr>
          <w:p w14:paraId="1875E33C" w14:textId="2A25E5AC" w:rsidR="00AF6983" w:rsidRPr="00704159" w:rsidRDefault="00AF6983" w:rsidP="00D332A8">
            <w:pPr>
              <w:spacing w:after="60"/>
              <w:rPr>
                <w:b/>
              </w:rPr>
            </w:pPr>
            <w:r w:rsidRPr="00704159">
              <w:rPr>
                <w:b/>
              </w:rPr>
              <w:t>Dosing scalar</w:t>
            </w:r>
            <w:r>
              <w:rPr>
                <w:b/>
              </w:rPr>
              <w:t xml:space="preserve"> from literature</w:t>
            </w:r>
          </w:p>
        </w:tc>
        <w:tc>
          <w:tcPr>
            <w:tcW w:w="2409" w:type="dxa"/>
          </w:tcPr>
          <w:p w14:paraId="7D9B33F5" w14:textId="77777777" w:rsidR="00AF6983" w:rsidRPr="00704159" w:rsidRDefault="00AF6983" w:rsidP="0066602A">
            <w:pPr>
              <w:rPr>
                <w:b/>
              </w:rPr>
            </w:pPr>
            <w:r w:rsidRPr="00704159">
              <w:rPr>
                <w:b/>
              </w:rPr>
              <w:t>Comments</w:t>
            </w:r>
          </w:p>
        </w:tc>
        <w:tc>
          <w:tcPr>
            <w:tcW w:w="1985" w:type="dxa"/>
          </w:tcPr>
          <w:p w14:paraId="42AEA251" w14:textId="15C9F073" w:rsidR="00AF6983" w:rsidRDefault="00AF6983" w:rsidP="00324030">
            <w:pPr>
              <w:rPr>
                <w:b/>
              </w:rPr>
            </w:pPr>
            <w:r>
              <w:rPr>
                <w:b/>
              </w:rPr>
              <w:t>NPPG recommendation</w:t>
            </w:r>
          </w:p>
        </w:tc>
        <w:tc>
          <w:tcPr>
            <w:tcW w:w="1276" w:type="dxa"/>
          </w:tcPr>
          <w:p w14:paraId="462542ED" w14:textId="55C1CE75" w:rsidR="00AF6983" w:rsidRPr="00704159" w:rsidRDefault="00E56CDE" w:rsidP="00324030">
            <w:pPr>
              <w:rPr>
                <w:b/>
              </w:rPr>
            </w:pPr>
            <w:r>
              <w:rPr>
                <w:b/>
              </w:rPr>
              <w:t xml:space="preserve">Literature </w:t>
            </w:r>
            <w:r w:rsidR="00AF6983">
              <w:rPr>
                <w:b/>
              </w:rPr>
              <w:t>Refs</w:t>
            </w:r>
          </w:p>
        </w:tc>
      </w:tr>
      <w:tr w:rsidR="00AF6983" w14:paraId="62110BB1" w14:textId="77777777" w:rsidTr="00551D7B">
        <w:tc>
          <w:tcPr>
            <w:tcW w:w="9493" w:type="dxa"/>
            <w:gridSpan w:val="5"/>
            <w:shd w:val="clear" w:color="auto" w:fill="auto"/>
          </w:tcPr>
          <w:p w14:paraId="3B846B31" w14:textId="680E1A16" w:rsidR="00AF6983" w:rsidRPr="00704159" w:rsidRDefault="00AF6983" w:rsidP="00AF6983">
            <w:pPr>
              <w:jc w:val="center"/>
              <w:rPr>
                <w:b/>
              </w:rPr>
            </w:pPr>
            <w:r w:rsidRPr="00704159">
              <w:rPr>
                <w:b/>
              </w:rPr>
              <w:t>Antimicrobials</w:t>
            </w:r>
          </w:p>
        </w:tc>
      </w:tr>
      <w:tr w:rsidR="00AF6983" w14:paraId="787B8D01" w14:textId="77777777" w:rsidTr="00551D7B">
        <w:tc>
          <w:tcPr>
            <w:tcW w:w="1838" w:type="dxa"/>
            <w:shd w:val="clear" w:color="auto" w:fill="auto"/>
          </w:tcPr>
          <w:p w14:paraId="42FA7DC9" w14:textId="77777777" w:rsidR="00AF6983" w:rsidRPr="00704159" w:rsidRDefault="00AF6983" w:rsidP="00D55DCA">
            <w:proofErr w:type="spellStart"/>
            <w:r>
              <w:t>Aciclovir</w:t>
            </w:r>
            <w:proofErr w:type="spellEnd"/>
            <w:r>
              <w:t xml:space="preserve"> </w:t>
            </w:r>
          </w:p>
        </w:tc>
        <w:tc>
          <w:tcPr>
            <w:tcW w:w="1985" w:type="dxa"/>
          </w:tcPr>
          <w:p w14:paraId="1EB864DC" w14:textId="25F9CBED" w:rsidR="00AF6983" w:rsidRDefault="00AF6983" w:rsidP="00D332A8">
            <w:pPr>
              <w:spacing w:after="60"/>
            </w:pPr>
            <w:r>
              <w:t>IBW</w:t>
            </w:r>
          </w:p>
        </w:tc>
        <w:tc>
          <w:tcPr>
            <w:tcW w:w="2409" w:type="dxa"/>
          </w:tcPr>
          <w:p w14:paraId="2302016C" w14:textId="77777777" w:rsidR="00AF6983" w:rsidRDefault="00AF6983" w:rsidP="00D55DCA"/>
        </w:tc>
        <w:tc>
          <w:tcPr>
            <w:tcW w:w="1985" w:type="dxa"/>
          </w:tcPr>
          <w:p w14:paraId="1465DDA5" w14:textId="23391911" w:rsidR="00AF6983" w:rsidRDefault="00AF6983" w:rsidP="00D40328">
            <w:r>
              <w:t>IBW</w:t>
            </w:r>
          </w:p>
        </w:tc>
        <w:tc>
          <w:tcPr>
            <w:tcW w:w="1276" w:type="dxa"/>
          </w:tcPr>
          <w:p w14:paraId="1EFD5A3D" w14:textId="46ED3061" w:rsidR="00AF6983" w:rsidRDefault="00AF6983" w:rsidP="00D40328">
            <w:r>
              <w:t>4, 6, 19</w:t>
            </w:r>
          </w:p>
        </w:tc>
      </w:tr>
      <w:tr w:rsidR="00AF6983" w14:paraId="4DDE27E6" w14:textId="77777777" w:rsidTr="00551D7B">
        <w:tc>
          <w:tcPr>
            <w:tcW w:w="1838" w:type="dxa"/>
            <w:shd w:val="clear" w:color="auto" w:fill="auto"/>
          </w:tcPr>
          <w:p w14:paraId="36DD5E11" w14:textId="77777777" w:rsidR="00AF6983" w:rsidRDefault="00AF6983" w:rsidP="00D55DCA">
            <w:r>
              <w:t>Carbapenems</w:t>
            </w:r>
          </w:p>
        </w:tc>
        <w:tc>
          <w:tcPr>
            <w:tcW w:w="1985" w:type="dxa"/>
          </w:tcPr>
          <w:p w14:paraId="656E9202" w14:textId="564A551A" w:rsidR="00AF6983" w:rsidRDefault="00AF6983" w:rsidP="00D55DCA">
            <w:r>
              <w:t xml:space="preserve">No dose adjustment necessary </w:t>
            </w:r>
          </w:p>
        </w:tc>
        <w:tc>
          <w:tcPr>
            <w:tcW w:w="2409" w:type="dxa"/>
          </w:tcPr>
          <w:p w14:paraId="5DE43CC7" w14:textId="77777777" w:rsidR="00AF6983" w:rsidRDefault="00AF6983" w:rsidP="00D332A8">
            <w:pPr>
              <w:spacing w:after="60"/>
            </w:pPr>
            <w:r>
              <w:t>Up to adult maximum dose</w:t>
            </w:r>
          </w:p>
        </w:tc>
        <w:tc>
          <w:tcPr>
            <w:tcW w:w="1985" w:type="dxa"/>
          </w:tcPr>
          <w:p w14:paraId="23515E2A" w14:textId="51CC67EA" w:rsidR="00AF6983" w:rsidRDefault="00AF6983" w:rsidP="00A30230">
            <w:r>
              <w:t>No dose adjustment necessary</w:t>
            </w:r>
          </w:p>
        </w:tc>
        <w:tc>
          <w:tcPr>
            <w:tcW w:w="1276" w:type="dxa"/>
          </w:tcPr>
          <w:p w14:paraId="17FC8745" w14:textId="22F4C5B4" w:rsidR="00AF6983" w:rsidRDefault="00AF6983" w:rsidP="00A30230">
            <w:r>
              <w:t>13, 18, 26</w:t>
            </w:r>
          </w:p>
        </w:tc>
      </w:tr>
      <w:tr w:rsidR="00AF6983" w14:paraId="452002C4" w14:textId="77777777" w:rsidTr="00551D7B">
        <w:tc>
          <w:tcPr>
            <w:tcW w:w="1838" w:type="dxa"/>
            <w:shd w:val="clear" w:color="auto" w:fill="auto"/>
          </w:tcPr>
          <w:p w14:paraId="5EAD877B" w14:textId="77777777" w:rsidR="00AF6983" w:rsidRDefault="00AF6983" w:rsidP="00D55DCA">
            <w:r>
              <w:t>Cephalosporins</w:t>
            </w:r>
          </w:p>
        </w:tc>
        <w:tc>
          <w:tcPr>
            <w:tcW w:w="1985" w:type="dxa"/>
          </w:tcPr>
          <w:p w14:paraId="42336D39" w14:textId="6B2382D9" w:rsidR="00AF6983" w:rsidRDefault="00AF6983" w:rsidP="00D55DCA">
            <w:r>
              <w:t>No dose adjustment necessary</w:t>
            </w:r>
          </w:p>
        </w:tc>
        <w:tc>
          <w:tcPr>
            <w:tcW w:w="2409" w:type="dxa"/>
          </w:tcPr>
          <w:p w14:paraId="49F200FE" w14:textId="77777777" w:rsidR="00AF6983" w:rsidRDefault="00AF6983" w:rsidP="00D332A8">
            <w:pPr>
              <w:spacing w:after="60"/>
            </w:pPr>
            <w:r>
              <w:t>Up to adult maximum dose</w:t>
            </w:r>
          </w:p>
        </w:tc>
        <w:tc>
          <w:tcPr>
            <w:tcW w:w="1985" w:type="dxa"/>
          </w:tcPr>
          <w:p w14:paraId="32794D0E" w14:textId="0AE8B6A7" w:rsidR="00AF6983" w:rsidRDefault="00AF6983" w:rsidP="00A30230">
            <w:r>
              <w:t>No dose adjustment necessary</w:t>
            </w:r>
          </w:p>
        </w:tc>
        <w:tc>
          <w:tcPr>
            <w:tcW w:w="1276" w:type="dxa"/>
          </w:tcPr>
          <w:p w14:paraId="641CEF95" w14:textId="03962796" w:rsidR="00AF6983" w:rsidRDefault="00AF6983" w:rsidP="00A30230">
            <w:r>
              <w:t>7, 98, 27*</w:t>
            </w:r>
          </w:p>
        </w:tc>
      </w:tr>
      <w:tr w:rsidR="00AF6983" w14:paraId="1AD2F460" w14:textId="77777777" w:rsidTr="00551D7B">
        <w:tc>
          <w:tcPr>
            <w:tcW w:w="1838" w:type="dxa"/>
            <w:shd w:val="clear" w:color="auto" w:fill="auto"/>
          </w:tcPr>
          <w:p w14:paraId="7816F8A9" w14:textId="77777777" w:rsidR="00AF6983" w:rsidRDefault="00AF6983" w:rsidP="00D55DCA">
            <w:r>
              <w:t>Ciprofloxacin</w:t>
            </w:r>
          </w:p>
        </w:tc>
        <w:tc>
          <w:tcPr>
            <w:tcW w:w="1985" w:type="dxa"/>
          </w:tcPr>
          <w:p w14:paraId="244E54F8" w14:textId="1A47CE14" w:rsidR="00AF6983" w:rsidRDefault="00AF6983" w:rsidP="00D55DCA">
            <w:r>
              <w:t xml:space="preserve">No dose adjustment or </w:t>
            </w:r>
            <w:proofErr w:type="spellStart"/>
            <w:r>
              <w:t>AdjBW</w:t>
            </w:r>
            <w:proofErr w:type="spellEnd"/>
            <w:r>
              <w:t xml:space="preserve"> (correction factor 0.45). </w:t>
            </w:r>
          </w:p>
          <w:p w14:paraId="6C1E8562" w14:textId="6B88CAF8" w:rsidR="00AF6983" w:rsidRPr="00EB6435" w:rsidRDefault="00AF6983" w:rsidP="00FB7F9C">
            <w:pPr>
              <w:rPr>
                <w:i/>
              </w:rPr>
            </w:pPr>
          </w:p>
        </w:tc>
        <w:tc>
          <w:tcPr>
            <w:tcW w:w="2409" w:type="dxa"/>
          </w:tcPr>
          <w:p w14:paraId="69EFF1E4" w14:textId="71232DD8" w:rsidR="00AF6983" w:rsidRDefault="00AF6983" w:rsidP="00FC7572">
            <w:r>
              <w:t>Conflicting data regarding pharmacokinetics in obesity. Dose adjustment may be required. Monitor for side effects.</w:t>
            </w:r>
          </w:p>
        </w:tc>
        <w:tc>
          <w:tcPr>
            <w:tcW w:w="1985" w:type="dxa"/>
          </w:tcPr>
          <w:p w14:paraId="3DACEF48" w14:textId="5B6A5B92" w:rsidR="00AE1AC6" w:rsidRDefault="00AE1AC6" w:rsidP="00AE1AC6">
            <w:r>
              <w:t xml:space="preserve">No dose adjustment or </w:t>
            </w:r>
            <w:proofErr w:type="spellStart"/>
            <w:r>
              <w:t>AdjBW</w:t>
            </w:r>
            <w:proofErr w:type="spellEnd"/>
            <w:r>
              <w:t xml:space="preserve"> (correction factor 0.35). </w:t>
            </w:r>
          </w:p>
          <w:p w14:paraId="4916BAFA" w14:textId="77777777" w:rsidR="00AF6983" w:rsidRDefault="00AF6983" w:rsidP="00A30230"/>
        </w:tc>
        <w:tc>
          <w:tcPr>
            <w:tcW w:w="1276" w:type="dxa"/>
          </w:tcPr>
          <w:p w14:paraId="351FAA3F" w14:textId="728DE853" w:rsidR="00AF6983" w:rsidRDefault="00AF6983" w:rsidP="00A30230">
            <w:r>
              <w:t>6, 18, 26</w:t>
            </w:r>
          </w:p>
        </w:tc>
      </w:tr>
      <w:tr w:rsidR="00AF6983" w14:paraId="26B0649C" w14:textId="77777777" w:rsidTr="00551D7B">
        <w:tc>
          <w:tcPr>
            <w:tcW w:w="1838" w:type="dxa"/>
            <w:shd w:val="clear" w:color="auto" w:fill="auto"/>
          </w:tcPr>
          <w:p w14:paraId="29F5D746" w14:textId="77777777" w:rsidR="00AF6983" w:rsidRDefault="00AF6983" w:rsidP="00D55DCA">
            <w:r>
              <w:t>Clindamycin</w:t>
            </w:r>
          </w:p>
        </w:tc>
        <w:tc>
          <w:tcPr>
            <w:tcW w:w="1985" w:type="dxa"/>
          </w:tcPr>
          <w:p w14:paraId="57506E72" w14:textId="6F828D67" w:rsidR="00AF6983" w:rsidRPr="00BE5548" w:rsidRDefault="00AF6983" w:rsidP="00D55DCA">
            <w:r>
              <w:t>No dose adjustment necessary</w:t>
            </w:r>
          </w:p>
        </w:tc>
        <w:tc>
          <w:tcPr>
            <w:tcW w:w="2409" w:type="dxa"/>
          </w:tcPr>
          <w:p w14:paraId="43A9F955" w14:textId="77777777" w:rsidR="00AF6983" w:rsidRDefault="00AF6983" w:rsidP="00D332A8">
            <w:pPr>
              <w:spacing w:after="60"/>
            </w:pPr>
            <w:r>
              <w:t xml:space="preserve">Lack of literature support to alter current practice. </w:t>
            </w:r>
          </w:p>
        </w:tc>
        <w:tc>
          <w:tcPr>
            <w:tcW w:w="1985" w:type="dxa"/>
          </w:tcPr>
          <w:p w14:paraId="6551B53C" w14:textId="1CB3DCDE" w:rsidR="00AF6983" w:rsidRDefault="00AF6983" w:rsidP="00A30230">
            <w:r>
              <w:t>No dose adjustment necessary</w:t>
            </w:r>
          </w:p>
        </w:tc>
        <w:tc>
          <w:tcPr>
            <w:tcW w:w="1276" w:type="dxa"/>
          </w:tcPr>
          <w:p w14:paraId="6ACF1DA0" w14:textId="080FE85C" w:rsidR="00AF6983" w:rsidRDefault="00AF6983" w:rsidP="00A30230">
            <w:r>
              <w:t>18, 19, 28*</w:t>
            </w:r>
          </w:p>
        </w:tc>
      </w:tr>
      <w:tr w:rsidR="00AF6983" w14:paraId="44F46566" w14:textId="77777777" w:rsidTr="00551D7B">
        <w:tc>
          <w:tcPr>
            <w:tcW w:w="1838" w:type="dxa"/>
            <w:shd w:val="clear" w:color="auto" w:fill="auto"/>
          </w:tcPr>
          <w:p w14:paraId="2AD2CBF4" w14:textId="0F214748" w:rsidR="00AF6983" w:rsidRDefault="00AF6983" w:rsidP="00D55DCA">
            <w:r>
              <w:t>Fluconazole</w:t>
            </w:r>
          </w:p>
        </w:tc>
        <w:tc>
          <w:tcPr>
            <w:tcW w:w="1985" w:type="dxa"/>
          </w:tcPr>
          <w:p w14:paraId="73E71E8A" w14:textId="330216D1" w:rsidR="00AF6983" w:rsidRDefault="00AF6983" w:rsidP="00D55DCA">
            <w:r>
              <w:t>No dose adjustment necessary</w:t>
            </w:r>
          </w:p>
        </w:tc>
        <w:tc>
          <w:tcPr>
            <w:tcW w:w="2409" w:type="dxa"/>
          </w:tcPr>
          <w:p w14:paraId="048B783E" w14:textId="7F75428A" w:rsidR="00AF6983" w:rsidRDefault="00AF6983" w:rsidP="00D332A8">
            <w:pPr>
              <w:spacing w:after="60"/>
            </w:pPr>
            <w:r>
              <w:t>Lack of literature support to alter current practice.</w:t>
            </w:r>
          </w:p>
        </w:tc>
        <w:tc>
          <w:tcPr>
            <w:tcW w:w="1985" w:type="dxa"/>
          </w:tcPr>
          <w:p w14:paraId="1F838050" w14:textId="3B2CECF7" w:rsidR="00AF6983" w:rsidRDefault="00AF6983" w:rsidP="00A30230">
            <w:r>
              <w:t>No dose adjustment necessary</w:t>
            </w:r>
          </w:p>
        </w:tc>
        <w:tc>
          <w:tcPr>
            <w:tcW w:w="1276" w:type="dxa"/>
          </w:tcPr>
          <w:p w14:paraId="75908969" w14:textId="0AA2B842" w:rsidR="00AF6983" w:rsidRDefault="00AF6983" w:rsidP="00A30230">
            <w:r>
              <w:t>19</w:t>
            </w:r>
          </w:p>
        </w:tc>
      </w:tr>
      <w:tr w:rsidR="00AF6983" w14:paraId="4C57E011" w14:textId="77777777" w:rsidTr="00551D7B">
        <w:tc>
          <w:tcPr>
            <w:tcW w:w="1838" w:type="dxa"/>
            <w:shd w:val="clear" w:color="auto" w:fill="auto"/>
          </w:tcPr>
          <w:p w14:paraId="58107449" w14:textId="307A33B5" w:rsidR="00AF6983" w:rsidRDefault="00AF6983" w:rsidP="003F593A">
            <w:r>
              <w:t xml:space="preserve">Gentamicin </w:t>
            </w:r>
          </w:p>
        </w:tc>
        <w:tc>
          <w:tcPr>
            <w:tcW w:w="1985" w:type="dxa"/>
          </w:tcPr>
          <w:p w14:paraId="0A49F688" w14:textId="4FB9872B" w:rsidR="00AF6983" w:rsidRDefault="00AF6983" w:rsidP="00D55DCA">
            <w:proofErr w:type="spellStart"/>
            <w:r>
              <w:t>AdjBW</w:t>
            </w:r>
            <w:proofErr w:type="spellEnd"/>
            <w:r>
              <w:t xml:space="preserve"> (correction factor 0.4) or no dose adjustment </w:t>
            </w:r>
          </w:p>
          <w:p w14:paraId="528362FF" w14:textId="77777777" w:rsidR="00AF6983" w:rsidRPr="00EB6435" w:rsidRDefault="00AF6983" w:rsidP="00D55DCA">
            <w:pPr>
              <w:rPr>
                <w:i/>
              </w:rPr>
            </w:pPr>
          </w:p>
        </w:tc>
        <w:tc>
          <w:tcPr>
            <w:tcW w:w="2409" w:type="dxa"/>
          </w:tcPr>
          <w:p w14:paraId="7928E97F" w14:textId="71382413" w:rsidR="00AF6983" w:rsidRDefault="00AF6983" w:rsidP="00D55DCA">
            <w:r>
              <w:t xml:space="preserve">Conflicting guidance. Monitor levels and adjust doses accordingly. </w:t>
            </w:r>
            <w:r>
              <w:rPr>
                <w:szCs w:val="20"/>
              </w:rPr>
              <w:t xml:space="preserve">In critically ill patients, consider basing the initial dose on their total body weight in order to ensure adequate serum concentrations. </w:t>
            </w:r>
          </w:p>
          <w:p w14:paraId="31929F07" w14:textId="49E570C9" w:rsidR="00AF6983" w:rsidRDefault="00AF6983" w:rsidP="00D332A8">
            <w:pPr>
              <w:spacing w:after="60"/>
            </w:pPr>
            <w:r>
              <w:lastRenderedPageBreak/>
              <w:t>T</w:t>
            </w:r>
            <w:r w:rsidRPr="00FC38EB">
              <w:t>he BNF</w:t>
            </w:r>
            <w:r>
              <w:t>C</w:t>
            </w:r>
            <w:r w:rsidRPr="00FC38EB">
              <w:t xml:space="preserve"> advise that IBW should be used to calculate doses with close monitoring of the serum concentrations.</w:t>
            </w:r>
          </w:p>
        </w:tc>
        <w:tc>
          <w:tcPr>
            <w:tcW w:w="1985" w:type="dxa"/>
          </w:tcPr>
          <w:p w14:paraId="7121F38B" w14:textId="1B83556A" w:rsidR="00AE1AC6" w:rsidRDefault="00AE1AC6" w:rsidP="00AE1AC6">
            <w:proofErr w:type="spellStart"/>
            <w:r>
              <w:lastRenderedPageBreak/>
              <w:t>AdjBW</w:t>
            </w:r>
            <w:proofErr w:type="spellEnd"/>
            <w:r>
              <w:t xml:space="preserve"> (correction factor 0.35) or no dose adjustment </w:t>
            </w:r>
          </w:p>
          <w:p w14:paraId="74BEC459" w14:textId="77777777" w:rsidR="00AF6983" w:rsidRDefault="00AF6983" w:rsidP="00A30230"/>
        </w:tc>
        <w:tc>
          <w:tcPr>
            <w:tcW w:w="1276" w:type="dxa"/>
          </w:tcPr>
          <w:p w14:paraId="60EBACFA" w14:textId="12DE49B8" w:rsidR="00AF6983" w:rsidRDefault="00AF6983" w:rsidP="00A30230">
            <w:r>
              <w:t>4, 6, 7, 18, 19, 29*</w:t>
            </w:r>
          </w:p>
        </w:tc>
      </w:tr>
      <w:tr w:rsidR="00AF6983" w14:paraId="48443A3B" w14:textId="77777777" w:rsidTr="00551D7B">
        <w:tc>
          <w:tcPr>
            <w:tcW w:w="1838" w:type="dxa"/>
            <w:shd w:val="clear" w:color="auto" w:fill="auto"/>
          </w:tcPr>
          <w:p w14:paraId="623BBF92" w14:textId="77777777" w:rsidR="00AF6983" w:rsidRDefault="00AF6983" w:rsidP="00D55DCA">
            <w:r>
              <w:t>Metronidazole</w:t>
            </w:r>
          </w:p>
        </w:tc>
        <w:tc>
          <w:tcPr>
            <w:tcW w:w="1985" w:type="dxa"/>
          </w:tcPr>
          <w:p w14:paraId="29312440" w14:textId="08EFBDFF" w:rsidR="00AF6983" w:rsidRDefault="00AF6983" w:rsidP="00D55DCA">
            <w:r>
              <w:t>No dose adjustment necessary</w:t>
            </w:r>
          </w:p>
        </w:tc>
        <w:tc>
          <w:tcPr>
            <w:tcW w:w="2409" w:type="dxa"/>
          </w:tcPr>
          <w:p w14:paraId="5D48676A" w14:textId="03F2A446" w:rsidR="00AF6983" w:rsidRDefault="00AF6983" w:rsidP="00D332A8">
            <w:pPr>
              <w:spacing w:after="60"/>
            </w:pPr>
            <w:r>
              <w:t xml:space="preserve">Up to adult maximum dose. Lack of literature support to alter current practice. </w:t>
            </w:r>
          </w:p>
        </w:tc>
        <w:tc>
          <w:tcPr>
            <w:tcW w:w="1985" w:type="dxa"/>
          </w:tcPr>
          <w:p w14:paraId="18574281" w14:textId="458BA209" w:rsidR="00AF6983" w:rsidRDefault="00AF6983" w:rsidP="00A30230">
            <w:r>
              <w:t>No dose adjustment necessary</w:t>
            </w:r>
          </w:p>
        </w:tc>
        <w:tc>
          <w:tcPr>
            <w:tcW w:w="1276" w:type="dxa"/>
          </w:tcPr>
          <w:p w14:paraId="3DB4483E" w14:textId="557F867D" w:rsidR="00AF6983" w:rsidRDefault="00AF6983" w:rsidP="00A30230">
            <w:r>
              <w:t>19, 26</w:t>
            </w:r>
          </w:p>
        </w:tc>
      </w:tr>
      <w:tr w:rsidR="00AF6983" w14:paraId="6E7C1DA2" w14:textId="77777777" w:rsidTr="00551D7B">
        <w:tc>
          <w:tcPr>
            <w:tcW w:w="1838" w:type="dxa"/>
            <w:shd w:val="clear" w:color="auto" w:fill="auto"/>
          </w:tcPr>
          <w:p w14:paraId="7C7ABCC0" w14:textId="77777777" w:rsidR="00AF6983" w:rsidRDefault="00AF6983" w:rsidP="00D55DCA">
            <w:proofErr w:type="spellStart"/>
            <w:r>
              <w:t>Penicillins</w:t>
            </w:r>
            <w:proofErr w:type="spellEnd"/>
          </w:p>
        </w:tc>
        <w:tc>
          <w:tcPr>
            <w:tcW w:w="1985" w:type="dxa"/>
          </w:tcPr>
          <w:p w14:paraId="0BA8115B" w14:textId="33ADA87E" w:rsidR="00AF6983" w:rsidRDefault="00AF6983" w:rsidP="00D55DCA">
            <w:r>
              <w:t>No dose adjustment necessary</w:t>
            </w:r>
          </w:p>
        </w:tc>
        <w:tc>
          <w:tcPr>
            <w:tcW w:w="2409" w:type="dxa"/>
          </w:tcPr>
          <w:p w14:paraId="49AE906C" w14:textId="20A0326E" w:rsidR="00AF6983" w:rsidRDefault="00AF6983" w:rsidP="00D332A8">
            <w:pPr>
              <w:spacing w:after="60"/>
            </w:pPr>
            <w:r>
              <w:t>Up to adult maximum dose</w:t>
            </w:r>
          </w:p>
        </w:tc>
        <w:tc>
          <w:tcPr>
            <w:tcW w:w="1985" w:type="dxa"/>
          </w:tcPr>
          <w:p w14:paraId="7CFE7737" w14:textId="18D4191A" w:rsidR="00AF6983" w:rsidRDefault="00AF6983" w:rsidP="00A35624">
            <w:r>
              <w:t>No dose adjustment necessary</w:t>
            </w:r>
          </w:p>
        </w:tc>
        <w:tc>
          <w:tcPr>
            <w:tcW w:w="1276" w:type="dxa"/>
          </w:tcPr>
          <w:p w14:paraId="48E75A32" w14:textId="669F0137" w:rsidR="00AF6983" w:rsidRDefault="00AF6983" w:rsidP="00A35624">
            <w:r>
              <w:t>7, 18, 19</w:t>
            </w:r>
          </w:p>
        </w:tc>
      </w:tr>
      <w:tr w:rsidR="00AF6983" w14:paraId="1622F533" w14:textId="77777777" w:rsidTr="00551D7B">
        <w:tc>
          <w:tcPr>
            <w:tcW w:w="1838" w:type="dxa"/>
            <w:shd w:val="clear" w:color="auto" w:fill="auto"/>
          </w:tcPr>
          <w:p w14:paraId="21C65C0E" w14:textId="4ECFF1E6" w:rsidR="00AF6983" w:rsidRDefault="00AF6983" w:rsidP="00D55DCA">
            <w:r>
              <w:t>Teicoplanin</w:t>
            </w:r>
          </w:p>
        </w:tc>
        <w:tc>
          <w:tcPr>
            <w:tcW w:w="1985" w:type="dxa"/>
          </w:tcPr>
          <w:p w14:paraId="51C6381D" w14:textId="305685D5" w:rsidR="00AF6983" w:rsidRDefault="00AF6983" w:rsidP="00D55DCA">
            <w:r>
              <w:t>No dose adjustment necessary</w:t>
            </w:r>
          </w:p>
        </w:tc>
        <w:tc>
          <w:tcPr>
            <w:tcW w:w="2409" w:type="dxa"/>
          </w:tcPr>
          <w:p w14:paraId="3C637EC3" w14:textId="6DA2A40A" w:rsidR="00AF6983" w:rsidRDefault="00AF6983" w:rsidP="00D332A8">
            <w:pPr>
              <w:spacing w:after="60"/>
            </w:pPr>
          </w:p>
        </w:tc>
        <w:tc>
          <w:tcPr>
            <w:tcW w:w="1985" w:type="dxa"/>
          </w:tcPr>
          <w:p w14:paraId="61588C68" w14:textId="1BD3A827" w:rsidR="00AF6983" w:rsidRDefault="00AF6983" w:rsidP="00A35624">
            <w:r>
              <w:t>No dose adjustment necessary</w:t>
            </w:r>
          </w:p>
        </w:tc>
        <w:tc>
          <w:tcPr>
            <w:tcW w:w="1276" w:type="dxa"/>
          </w:tcPr>
          <w:p w14:paraId="5002CA97" w14:textId="493069D2" w:rsidR="00AF6983" w:rsidRDefault="00AF6983" w:rsidP="00A35624">
            <w:r>
              <w:t>4, 18</w:t>
            </w:r>
          </w:p>
        </w:tc>
      </w:tr>
      <w:tr w:rsidR="00AF6983" w14:paraId="4BF5569F" w14:textId="77777777" w:rsidTr="00551D7B">
        <w:tc>
          <w:tcPr>
            <w:tcW w:w="1838" w:type="dxa"/>
            <w:shd w:val="clear" w:color="auto" w:fill="auto"/>
          </w:tcPr>
          <w:p w14:paraId="2A89B827" w14:textId="77777777" w:rsidR="00AF6983" w:rsidRDefault="00AF6983" w:rsidP="00D55DCA">
            <w:r>
              <w:t>Tobramycin</w:t>
            </w:r>
          </w:p>
        </w:tc>
        <w:tc>
          <w:tcPr>
            <w:tcW w:w="1985" w:type="dxa"/>
          </w:tcPr>
          <w:p w14:paraId="11574ABF" w14:textId="1870805A" w:rsidR="00AF6983" w:rsidRDefault="00AF6983" w:rsidP="00407731">
            <w:proofErr w:type="spellStart"/>
            <w:r>
              <w:t>AdjBW</w:t>
            </w:r>
            <w:proofErr w:type="spellEnd"/>
            <w:r>
              <w:t xml:space="preserve"> (correction factor 0.4) or no dose adjustment </w:t>
            </w:r>
          </w:p>
        </w:tc>
        <w:tc>
          <w:tcPr>
            <w:tcW w:w="2409" w:type="dxa"/>
          </w:tcPr>
          <w:p w14:paraId="5C8D5565" w14:textId="3749B65D" w:rsidR="00AF6983" w:rsidRDefault="00AF6983" w:rsidP="003E11D6">
            <w:pPr>
              <w:rPr>
                <w:szCs w:val="20"/>
              </w:rPr>
            </w:pPr>
            <w:r>
              <w:t xml:space="preserve">Conflicting guidance. Monitor levels and adjust doses accordingly. </w:t>
            </w:r>
            <w:r>
              <w:rPr>
                <w:szCs w:val="20"/>
              </w:rPr>
              <w:t xml:space="preserve">In critically ill patients, consider basing the initial dose on total body weight in order to ensure adequate serum concentrations. </w:t>
            </w:r>
          </w:p>
          <w:p w14:paraId="63E078EB" w14:textId="08801E6F" w:rsidR="00AF6983" w:rsidRDefault="00AF6983" w:rsidP="00D332A8">
            <w:pPr>
              <w:spacing w:after="60"/>
            </w:pPr>
            <w:r>
              <w:rPr>
                <w:szCs w:val="20"/>
              </w:rPr>
              <w:t>T</w:t>
            </w:r>
            <w:r w:rsidRPr="00FC38EB">
              <w:t>he BNF advise that IBW should be used to calculate doses with close monitoring of the serum concentrations.</w:t>
            </w:r>
            <w:r>
              <w:t xml:space="preserve"> </w:t>
            </w:r>
          </w:p>
        </w:tc>
        <w:tc>
          <w:tcPr>
            <w:tcW w:w="1985" w:type="dxa"/>
          </w:tcPr>
          <w:p w14:paraId="70F9EBBB" w14:textId="2EF8C30E" w:rsidR="00AF6983" w:rsidRDefault="00AF6983" w:rsidP="009756CA">
            <w:proofErr w:type="spellStart"/>
            <w:r>
              <w:t>AdjBW</w:t>
            </w:r>
            <w:proofErr w:type="spellEnd"/>
            <w:r>
              <w:t xml:space="preserve"> (correction factor 0.35) or no dose adjustment</w:t>
            </w:r>
          </w:p>
        </w:tc>
        <w:tc>
          <w:tcPr>
            <w:tcW w:w="1276" w:type="dxa"/>
          </w:tcPr>
          <w:p w14:paraId="358BB6EC" w14:textId="1D0F59EF" w:rsidR="00AF6983" w:rsidRDefault="00AF6983" w:rsidP="009756CA">
            <w:r>
              <w:t>7, 8, 18, 19, 27*, 30</w:t>
            </w:r>
          </w:p>
        </w:tc>
      </w:tr>
      <w:tr w:rsidR="00AF6983" w14:paraId="4CD5CAC9" w14:textId="77777777" w:rsidTr="00551D7B">
        <w:tc>
          <w:tcPr>
            <w:tcW w:w="1838" w:type="dxa"/>
            <w:tcBorders>
              <w:bottom w:val="single" w:sz="4" w:space="0" w:color="auto"/>
            </w:tcBorders>
            <w:shd w:val="clear" w:color="auto" w:fill="auto"/>
          </w:tcPr>
          <w:p w14:paraId="1E08F844" w14:textId="77777777" w:rsidR="00AF6983" w:rsidRDefault="00AF6983" w:rsidP="00D55DCA">
            <w:r>
              <w:t>Vancomycin</w:t>
            </w:r>
          </w:p>
        </w:tc>
        <w:tc>
          <w:tcPr>
            <w:tcW w:w="1985" w:type="dxa"/>
            <w:tcBorders>
              <w:bottom w:val="single" w:sz="4" w:space="0" w:color="auto"/>
            </w:tcBorders>
          </w:tcPr>
          <w:p w14:paraId="7DA4BF70" w14:textId="027AC220" w:rsidR="00AF6983" w:rsidRDefault="00AF6983" w:rsidP="00A43C98">
            <w:r>
              <w:t>No dose adjustment necessary</w:t>
            </w:r>
          </w:p>
          <w:p w14:paraId="59290EC3" w14:textId="2A10EED6" w:rsidR="00AF6983" w:rsidRDefault="00AF6983" w:rsidP="00A43C98"/>
        </w:tc>
        <w:tc>
          <w:tcPr>
            <w:tcW w:w="2409" w:type="dxa"/>
            <w:tcBorders>
              <w:bottom w:val="single" w:sz="4" w:space="0" w:color="auto"/>
            </w:tcBorders>
          </w:tcPr>
          <w:p w14:paraId="17282250" w14:textId="35FC70EC" w:rsidR="00AF6983" w:rsidRDefault="00AF6983" w:rsidP="00360C61">
            <w:pPr>
              <w:spacing w:after="60"/>
            </w:pPr>
            <w:r>
              <w:t xml:space="preserve">Up to adult maximum dose. Assumes normal renal function. Monitor levels. </w:t>
            </w:r>
          </w:p>
        </w:tc>
        <w:tc>
          <w:tcPr>
            <w:tcW w:w="1985" w:type="dxa"/>
            <w:tcBorders>
              <w:bottom w:val="single" w:sz="4" w:space="0" w:color="auto"/>
            </w:tcBorders>
          </w:tcPr>
          <w:p w14:paraId="188AC470" w14:textId="21E6B25E" w:rsidR="00AF6983" w:rsidRDefault="00AF6983" w:rsidP="005A0E71">
            <w:r>
              <w:t>No dose adjustment necessary</w:t>
            </w:r>
          </w:p>
        </w:tc>
        <w:tc>
          <w:tcPr>
            <w:tcW w:w="1276" w:type="dxa"/>
            <w:tcBorders>
              <w:bottom w:val="single" w:sz="4" w:space="0" w:color="auto"/>
            </w:tcBorders>
          </w:tcPr>
          <w:p w14:paraId="79B917DF" w14:textId="3ED550D5" w:rsidR="00AF6983" w:rsidRDefault="00AF6983" w:rsidP="005A0E71">
            <w:r>
              <w:t>7, 8, 31-34*, 35</w:t>
            </w:r>
          </w:p>
        </w:tc>
      </w:tr>
      <w:tr w:rsidR="00AF6983" w14:paraId="6DED8D3A" w14:textId="77777777" w:rsidTr="00551D7B">
        <w:tc>
          <w:tcPr>
            <w:tcW w:w="1838" w:type="dxa"/>
            <w:tcBorders>
              <w:bottom w:val="single" w:sz="4" w:space="0" w:color="auto"/>
            </w:tcBorders>
            <w:shd w:val="clear" w:color="auto" w:fill="auto"/>
          </w:tcPr>
          <w:p w14:paraId="44F0C06D" w14:textId="0D14FA2E" w:rsidR="00AF6983" w:rsidRDefault="00AF6983" w:rsidP="00D55DCA">
            <w:r>
              <w:t>Voriconazole</w:t>
            </w:r>
          </w:p>
        </w:tc>
        <w:tc>
          <w:tcPr>
            <w:tcW w:w="1985" w:type="dxa"/>
            <w:tcBorders>
              <w:bottom w:val="single" w:sz="4" w:space="0" w:color="auto"/>
            </w:tcBorders>
          </w:tcPr>
          <w:p w14:paraId="6312EB2A" w14:textId="78CE611E" w:rsidR="00AF6983" w:rsidDel="00407731" w:rsidRDefault="00AF6983" w:rsidP="00A43C98">
            <w:r>
              <w:t>IBW</w:t>
            </w:r>
          </w:p>
        </w:tc>
        <w:tc>
          <w:tcPr>
            <w:tcW w:w="2409" w:type="dxa"/>
            <w:tcBorders>
              <w:bottom w:val="single" w:sz="4" w:space="0" w:color="auto"/>
            </w:tcBorders>
          </w:tcPr>
          <w:p w14:paraId="67D494BB" w14:textId="2070B4C3" w:rsidR="00AF6983" w:rsidRDefault="00AF6983" w:rsidP="00360C61">
            <w:pPr>
              <w:spacing w:after="60"/>
            </w:pPr>
            <w:r>
              <w:t>Risk of toxicity if used total body weight</w:t>
            </w:r>
          </w:p>
        </w:tc>
        <w:tc>
          <w:tcPr>
            <w:tcW w:w="1985" w:type="dxa"/>
            <w:tcBorders>
              <w:bottom w:val="single" w:sz="4" w:space="0" w:color="auto"/>
            </w:tcBorders>
          </w:tcPr>
          <w:p w14:paraId="496BA655" w14:textId="583E78F5" w:rsidR="00AF6983" w:rsidRDefault="00AF6983" w:rsidP="005A0E71">
            <w:r>
              <w:t>IBW</w:t>
            </w:r>
          </w:p>
        </w:tc>
        <w:tc>
          <w:tcPr>
            <w:tcW w:w="1276" w:type="dxa"/>
            <w:tcBorders>
              <w:bottom w:val="single" w:sz="4" w:space="0" w:color="auto"/>
            </w:tcBorders>
          </w:tcPr>
          <w:p w14:paraId="615AA80B" w14:textId="1E9EB3FD" w:rsidR="00AF6983" w:rsidRDefault="00AF6983" w:rsidP="005A0E71">
            <w:r>
              <w:t>19</w:t>
            </w:r>
          </w:p>
        </w:tc>
      </w:tr>
      <w:tr w:rsidR="00426D90" w14:paraId="15B92F0C" w14:textId="77777777" w:rsidTr="00551D7B">
        <w:tc>
          <w:tcPr>
            <w:tcW w:w="9493" w:type="dxa"/>
            <w:gridSpan w:val="5"/>
            <w:tcBorders>
              <w:top w:val="single" w:sz="4" w:space="0" w:color="auto"/>
            </w:tcBorders>
            <w:shd w:val="clear" w:color="auto" w:fill="auto"/>
          </w:tcPr>
          <w:p w14:paraId="39D40463" w14:textId="41B21C3A" w:rsidR="00426D90" w:rsidRPr="00704159" w:rsidRDefault="00426D90" w:rsidP="00426D90">
            <w:pPr>
              <w:jc w:val="center"/>
              <w:rPr>
                <w:b/>
              </w:rPr>
            </w:pPr>
            <w:r w:rsidRPr="00704159">
              <w:rPr>
                <w:b/>
              </w:rPr>
              <w:t>Anticonvulsants</w:t>
            </w:r>
            <w:r>
              <w:rPr>
                <w:b/>
              </w:rPr>
              <w:t xml:space="preserve"> and sedatives</w:t>
            </w:r>
          </w:p>
        </w:tc>
      </w:tr>
      <w:tr w:rsidR="00AF6983" w14:paraId="09C04704" w14:textId="77777777" w:rsidTr="00551D7B">
        <w:tc>
          <w:tcPr>
            <w:tcW w:w="1838" w:type="dxa"/>
            <w:shd w:val="clear" w:color="auto" w:fill="auto"/>
          </w:tcPr>
          <w:p w14:paraId="7C4E941B" w14:textId="77777777" w:rsidR="00AF6983" w:rsidRPr="00DF00E7" w:rsidRDefault="00AF6983" w:rsidP="00D55DCA">
            <w:r>
              <w:t>Benzodiazepines</w:t>
            </w:r>
          </w:p>
        </w:tc>
        <w:tc>
          <w:tcPr>
            <w:tcW w:w="1985" w:type="dxa"/>
          </w:tcPr>
          <w:p w14:paraId="6D94CB37" w14:textId="720A5CB5" w:rsidR="00AF6983" w:rsidRDefault="00AF6983" w:rsidP="00407731">
            <w:r>
              <w:t>No dose adjustment for loading, IBW for maintenance</w:t>
            </w:r>
          </w:p>
        </w:tc>
        <w:tc>
          <w:tcPr>
            <w:tcW w:w="2409" w:type="dxa"/>
          </w:tcPr>
          <w:p w14:paraId="6CE37D2C" w14:textId="12937C86" w:rsidR="00AF6983" w:rsidRDefault="00AF6983" w:rsidP="00D64C94">
            <w:pPr>
              <w:spacing w:after="60"/>
            </w:pPr>
            <w:r>
              <w:t xml:space="preserve">May require a loading dose based without adjusting the dose or multiple “mini” loading doses. Monitor clinically and titrate to effect. </w:t>
            </w:r>
          </w:p>
        </w:tc>
        <w:tc>
          <w:tcPr>
            <w:tcW w:w="1985" w:type="dxa"/>
          </w:tcPr>
          <w:p w14:paraId="128F381E" w14:textId="431C9C21" w:rsidR="00AF6983" w:rsidRDefault="00AF6983" w:rsidP="009E102C">
            <w:r>
              <w:t>No dose adjustment for loading, IBW for maintenance</w:t>
            </w:r>
          </w:p>
        </w:tc>
        <w:tc>
          <w:tcPr>
            <w:tcW w:w="1276" w:type="dxa"/>
          </w:tcPr>
          <w:p w14:paraId="56275D36" w14:textId="550DEECE" w:rsidR="00AF6983" w:rsidRPr="0099312D" w:rsidRDefault="00AF6983" w:rsidP="009E102C">
            <w:pPr>
              <w:rPr>
                <w:rFonts w:eastAsiaTheme="minorHAnsi" w:cs="Arial"/>
                <w:szCs w:val="20"/>
              </w:rPr>
            </w:pPr>
            <w:r>
              <w:t>13, 19, 36-37*, 38-39, 40-41*</w:t>
            </w:r>
          </w:p>
          <w:p w14:paraId="6E45E071" w14:textId="6C857005" w:rsidR="00AF6983" w:rsidRDefault="00AF6983" w:rsidP="005A0E71"/>
        </w:tc>
      </w:tr>
      <w:tr w:rsidR="00AF6983" w14:paraId="46507F8E" w14:textId="77777777" w:rsidTr="00551D7B">
        <w:tc>
          <w:tcPr>
            <w:tcW w:w="1838" w:type="dxa"/>
            <w:shd w:val="clear" w:color="auto" w:fill="auto"/>
          </w:tcPr>
          <w:p w14:paraId="30711096" w14:textId="77777777" w:rsidR="00AF6983" w:rsidRPr="00DF00E7" w:rsidRDefault="00AF6983" w:rsidP="00D55DCA">
            <w:r w:rsidRPr="00DF00E7">
              <w:t>Carbamazepine</w:t>
            </w:r>
          </w:p>
        </w:tc>
        <w:tc>
          <w:tcPr>
            <w:tcW w:w="1985" w:type="dxa"/>
          </w:tcPr>
          <w:p w14:paraId="7C9623CE" w14:textId="77777777" w:rsidR="00AF6983" w:rsidRDefault="00AF6983" w:rsidP="00D55DCA">
            <w:pPr>
              <w:autoSpaceDE w:val="0"/>
              <w:autoSpaceDN w:val="0"/>
              <w:adjustRightInd w:val="0"/>
            </w:pPr>
            <w:r>
              <w:t>IBW (maintenance)</w:t>
            </w:r>
          </w:p>
        </w:tc>
        <w:tc>
          <w:tcPr>
            <w:tcW w:w="2409" w:type="dxa"/>
          </w:tcPr>
          <w:p w14:paraId="687A07B6" w14:textId="7F1274B7" w:rsidR="00AF6983" w:rsidRDefault="00AF6983" w:rsidP="00D332A8">
            <w:pPr>
              <w:autoSpaceDE w:val="0"/>
              <w:autoSpaceDN w:val="0"/>
              <w:adjustRightInd w:val="0"/>
              <w:spacing w:after="60"/>
            </w:pPr>
            <w:r w:rsidRPr="00346D22">
              <w:rPr>
                <w:rFonts w:eastAsiaTheme="minorHAnsi" w:cs="Arial"/>
                <w:szCs w:val="20"/>
              </w:rPr>
              <w:t xml:space="preserve">Serum </w:t>
            </w:r>
            <w:r>
              <w:rPr>
                <w:rFonts w:eastAsiaTheme="minorHAnsi" w:cs="Arial"/>
                <w:szCs w:val="20"/>
              </w:rPr>
              <w:t>concentration</w:t>
            </w:r>
            <w:r w:rsidRPr="00346D22">
              <w:rPr>
                <w:rFonts w:eastAsiaTheme="minorHAnsi" w:cs="Arial"/>
                <w:szCs w:val="20"/>
              </w:rPr>
              <w:t xml:space="preserve"> should be closely monitored and</w:t>
            </w:r>
            <w:r>
              <w:rPr>
                <w:rFonts w:eastAsiaTheme="minorHAnsi" w:cs="Arial"/>
                <w:szCs w:val="20"/>
              </w:rPr>
              <w:t xml:space="preserve"> </w:t>
            </w:r>
            <w:r w:rsidRPr="00346D22">
              <w:rPr>
                <w:rFonts w:eastAsiaTheme="minorHAnsi" w:cs="Arial"/>
                <w:szCs w:val="20"/>
              </w:rPr>
              <w:t>dose should be adjusted as appropriate.</w:t>
            </w:r>
            <w:r w:rsidRPr="00346D22">
              <w:rPr>
                <w:rFonts w:cs="Arial"/>
                <w:szCs w:val="20"/>
              </w:rPr>
              <w:t xml:space="preserve"> </w:t>
            </w:r>
          </w:p>
        </w:tc>
        <w:tc>
          <w:tcPr>
            <w:tcW w:w="1985" w:type="dxa"/>
          </w:tcPr>
          <w:p w14:paraId="187109EF" w14:textId="7144B0A7" w:rsidR="00AF6983" w:rsidRDefault="00AF6983" w:rsidP="005A0E71">
            <w:r>
              <w:t>IBW (maintenance)</w:t>
            </w:r>
          </w:p>
        </w:tc>
        <w:tc>
          <w:tcPr>
            <w:tcW w:w="1276" w:type="dxa"/>
          </w:tcPr>
          <w:p w14:paraId="2C86B167" w14:textId="1B68A43A" w:rsidR="00AF6983" w:rsidRDefault="00AF6983" w:rsidP="005A0E71">
            <w:r>
              <w:t>19, 42-43</w:t>
            </w:r>
          </w:p>
        </w:tc>
      </w:tr>
      <w:tr w:rsidR="00AF6983" w14:paraId="0362F1EF" w14:textId="77777777" w:rsidTr="00551D7B">
        <w:tc>
          <w:tcPr>
            <w:tcW w:w="1838" w:type="dxa"/>
            <w:shd w:val="clear" w:color="auto" w:fill="auto"/>
          </w:tcPr>
          <w:p w14:paraId="795B36CD" w14:textId="08464D26" w:rsidR="00AF6983" w:rsidRPr="00DF00E7" w:rsidRDefault="00AF6983" w:rsidP="00486605">
            <w:r>
              <w:t>Levetiracetam</w:t>
            </w:r>
          </w:p>
        </w:tc>
        <w:tc>
          <w:tcPr>
            <w:tcW w:w="1985" w:type="dxa"/>
          </w:tcPr>
          <w:p w14:paraId="3B525DB8" w14:textId="185FB912" w:rsidR="00AF6983" w:rsidRDefault="00AF6983" w:rsidP="00486605">
            <w:pPr>
              <w:autoSpaceDE w:val="0"/>
              <w:autoSpaceDN w:val="0"/>
              <w:adjustRightInd w:val="0"/>
            </w:pPr>
            <w:proofErr w:type="spellStart"/>
            <w:r>
              <w:t>AdjBW</w:t>
            </w:r>
            <w:proofErr w:type="spellEnd"/>
            <w:r>
              <w:t xml:space="preserve"> (0.25)</w:t>
            </w:r>
          </w:p>
        </w:tc>
        <w:tc>
          <w:tcPr>
            <w:tcW w:w="2409" w:type="dxa"/>
          </w:tcPr>
          <w:p w14:paraId="61E23070" w14:textId="041D89DA" w:rsidR="00AF6983" w:rsidRPr="00346D22" w:rsidRDefault="00AF6983" w:rsidP="00486605">
            <w:pPr>
              <w:autoSpaceDE w:val="0"/>
              <w:autoSpaceDN w:val="0"/>
              <w:adjustRightInd w:val="0"/>
              <w:spacing w:after="60"/>
              <w:rPr>
                <w:rFonts w:eastAsiaTheme="minorHAnsi" w:cs="Arial"/>
                <w:szCs w:val="20"/>
              </w:rPr>
            </w:pPr>
            <w:r>
              <w:t>Volume of distribution is similar to that of total body water</w:t>
            </w:r>
          </w:p>
        </w:tc>
        <w:tc>
          <w:tcPr>
            <w:tcW w:w="1985" w:type="dxa"/>
          </w:tcPr>
          <w:p w14:paraId="0A4B056F" w14:textId="2B4B97DF" w:rsidR="00AF6983" w:rsidRDefault="00AF6983" w:rsidP="00486605">
            <w:proofErr w:type="spellStart"/>
            <w:r>
              <w:t>AdjBW</w:t>
            </w:r>
            <w:proofErr w:type="spellEnd"/>
            <w:r>
              <w:t xml:space="preserve"> (0.35)</w:t>
            </w:r>
          </w:p>
        </w:tc>
        <w:tc>
          <w:tcPr>
            <w:tcW w:w="1276" w:type="dxa"/>
          </w:tcPr>
          <w:p w14:paraId="3D69154D" w14:textId="4396C687" w:rsidR="00AF6983" w:rsidRDefault="00AF6983" w:rsidP="00486605">
            <w:r>
              <w:t>19</w:t>
            </w:r>
          </w:p>
        </w:tc>
      </w:tr>
      <w:tr w:rsidR="00AF6983" w14:paraId="7E81E5E3" w14:textId="77777777" w:rsidTr="00551D7B">
        <w:tc>
          <w:tcPr>
            <w:tcW w:w="1838" w:type="dxa"/>
            <w:shd w:val="clear" w:color="auto" w:fill="auto"/>
          </w:tcPr>
          <w:p w14:paraId="4960D456" w14:textId="77777777" w:rsidR="001C649A" w:rsidRDefault="00AF6983" w:rsidP="00D55DCA">
            <w:r w:rsidRPr="00DF00E7">
              <w:t>Phenytoin</w:t>
            </w:r>
            <w:r>
              <w:t>/</w:t>
            </w:r>
          </w:p>
          <w:p w14:paraId="193A3AD6" w14:textId="1CC8408B" w:rsidR="00AF6983" w:rsidRPr="00DF00E7" w:rsidRDefault="00AF6983" w:rsidP="00D55DCA">
            <w:proofErr w:type="spellStart"/>
            <w:r>
              <w:t>Fosphenytoin</w:t>
            </w:r>
            <w:proofErr w:type="spellEnd"/>
          </w:p>
        </w:tc>
        <w:tc>
          <w:tcPr>
            <w:tcW w:w="1985" w:type="dxa"/>
          </w:tcPr>
          <w:p w14:paraId="3436CD74" w14:textId="0E0DFF8F" w:rsidR="00AF6983" w:rsidRDefault="00AF6983" w:rsidP="00D332A8">
            <w:pPr>
              <w:spacing w:after="60"/>
            </w:pPr>
            <w:r>
              <w:t xml:space="preserve">No dose adjustment for loading dose (maximum 2g); IBW </w:t>
            </w:r>
            <w:r>
              <w:lastRenderedPageBreak/>
              <w:t xml:space="preserve">or </w:t>
            </w:r>
            <w:proofErr w:type="spellStart"/>
            <w:r>
              <w:t>AdjBW</w:t>
            </w:r>
            <w:proofErr w:type="spellEnd"/>
            <w:r>
              <w:t xml:space="preserve"> (correction factor 0.3) for maintenance </w:t>
            </w:r>
          </w:p>
        </w:tc>
        <w:tc>
          <w:tcPr>
            <w:tcW w:w="2409" w:type="dxa"/>
          </w:tcPr>
          <w:p w14:paraId="35749FC7" w14:textId="77777777" w:rsidR="00AF6983" w:rsidRDefault="00AF6983" w:rsidP="00D55DCA">
            <w:r>
              <w:lastRenderedPageBreak/>
              <w:t xml:space="preserve">Monitor levels. Consider clinical condition and extent of obesity when </w:t>
            </w:r>
            <w:r>
              <w:lastRenderedPageBreak/>
              <w:t xml:space="preserve">determining loading doses. </w:t>
            </w:r>
          </w:p>
        </w:tc>
        <w:tc>
          <w:tcPr>
            <w:tcW w:w="1985" w:type="dxa"/>
          </w:tcPr>
          <w:p w14:paraId="01D2BA9B" w14:textId="4A11D79B" w:rsidR="00AF6983" w:rsidRDefault="00AF6983" w:rsidP="008177AF">
            <w:r>
              <w:lastRenderedPageBreak/>
              <w:t xml:space="preserve">No dose adjustment for loading dose (maximum 2g); IBW </w:t>
            </w:r>
            <w:r>
              <w:lastRenderedPageBreak/>
              <w:t xml:space="preserve">or </w:t>
            </w:r>
            <w:proofErr w:type="spellStart"/>
            <w:r>
              <w:t>AdjBW</w:t>
            </w:r>
            <w:proofErr w:type="spellEnd"/>
            <w:r>
              <w:t xml:space="preserve"> (correction factor 0.35) for maintenance</w:t>
            </w:r>
          </w:p>
        </w:tc>
        <w:tc>
          <w:tcPr>
            <w:tcW w:w="1276" w:type="dxa"/>
          </w:tcPr>
          <w:p w14:paraId="56225774" w14:textId="7B1C255F" w:rsidR="00AF6983" w:rsidRDefault="00AF6983" w:rsidP="008177AF">
            <w:r>
              <w:lastRenderedPageBreak/>
              <w:t>13, 19</w:t>
            </w:r>
          </w:p>
        </w:tc>
      </w:tr>
      <w:tr w:rsidR="00AF6983" w14:paraId="79D4A1F5" w14:textId="77777777" w:rsidTr="00551D7B">
        <w:tc>
          <w:tcPr>
            <w:tcW w:w="1838" w:type="dxa"/>
            <w:shd w:val="clear" w:color="auto" w:fill="auto"/>
          </w:tcPr>
          <w:p w14:paraId="585D331E" w14:textId="77777777" w:rsidR="00AF6983" w:rsidRDefault="00AF6983" w:rsidP="00D55DCA">
            <w:r>
              <w:t>Phenobarbital</w:t>
            </w:r>
          </w:p>
        </w:tc>
        <w:tc>
          <w:tcPr>
            <w:tcW w:w="1985" w:type="dxa"/>
          </w:tcPr>
          <w:p w14:paraId="0A7EF745" w14:textId="0B5E5403" w:rsidR="00AF6983" w:rsidRDefault="00AF6983" w:rsidP="00D55DCA">
            <w:r>
              <w:t>No dose adjustment necessary</w:t>
            </w:r>
          </w:p>
        </w:tc>
        <w:tc>
          <w:tcPr>
            <w:tcW w:w="2409" w:type="dxa"/>
          </w:tcPr>
          <w:p w14:paraId="43E0BEB9" w14:textId="77777777" w:rsidR="00AF6983" w:rsidRDefault="00AF6983" w:rsidP="00D332A8">
            <w:pPr>
              <w:spacing w:after="60"/>
            </w:pPr>
            <w:r>
              <w:t xml:space="preserve">Monitor levels. Titrate to effect. </w:t>
            </w:r>
          </w:p>
        </w:tc>
        <w:tc>
          <w:tcPr>
            <w:tcW w:w="1985" w:type="dxa"/>
          </w:tcPr>
          <w:p w14:paraId="145A11A1" w14:textId="6FB328B1" w:rsidR="00AF6983" w:rsidRDefault="00AF6983" w:rsidP="00D55DCA">
            <w:r>
              <w:t>No dose adjustment necessary</w:t>
            </w:r>
          </w:p>
        </w:tc>
        <w:tc>
          <w:tcPr>
            <w:tcW w:w="1276" w:type="dxa"/>
          </w:tcPr>
          <w:p w14:paraId="2001A2F0" w14:textId="0C4D80FD" w:rsidR="00AF6983" w:rsidRDefault="00AF6983" w:rsidP="00D55DCA">
            <w:r>
              <w:t>19</w:t>
            </w:r>
          </w:p>
        </w:tc>
      </w:tr>
      <w:tr w:rsidR="00AF6983" w14:paraId="45B196D9" w14:textId="77777777" w:rsidTr="00551D7B">
        <w:tc>
          <w:tcPr>
            <w:tcW w:w="1838" w:type="dxa"/>
            <w:shd w:val="clear" w:color="auto" w:fill="auto"/>
          </w:tcPr>
          <w:p w14:paraId="577A201C" w14:textId="49932541" w:rsidR="00AF6983" w:rsidRDefault="001C649A" w:rsidP="00D55DCA">
            <w:r>
              <w:t xml:space="preserve">Sodium valproate/ </w:t>
            </w:r>
            <w:r w:rsidR="00AF6983">
              <w:t>Valproic acid</w:t>
            </w:r>
          </w:p>
        </w:tc>
        <w:tc>
          <w:tcPr>
            <w:tcW w:w="1985" w:type="dxa"/>
          </w:tcPr>
          <w:p w14:paraId="032EA62C" w14:textId="1474CD16" w:rsidR="00AF6983" w:rsidDel="00407731" w:rsidRDefault="00AF6983" w:rsidP="00D55DCA">
            <w:r>
              <w:t>No dose adjustment necessary up to adult max</w:t>
            </w:r>
          </w:p>
        </w:tc>
        <w:tc>
          <w:tcPr>
            <w:tcW w:w="2409" w:type="dxa"/>
          </w:tcPr>
          <w:p w14:paraId="2FA98ADA" w14:textId="6C736E4D" w:rsidR="00AF6983" w:rsidRDefault="00AF6983" w:rsidP="00952C1E">
            <w:pPr>
              <w:spacing w:after="60"/>
            </w:pPr>
            <w:r>
              <w:t>Wide therapeutic range and concentration monitoring</w:t>
            </w:r>
          </w:p>
        </w:tc>
        <w:tc>
          <w:tcPr>
            <w:tcW w:w="1985" w:type="dxa"/>
          </w:tcPr>
          <w:p w14:paraId="1667E218" w14:textId="63F03B8F" w:rsidR="00AF6983" w:rsidRDefault="00AF6983" w:rsidP="00D55DCA">
            <w:r>
              <w:t>No dose adjustment necessary up to adult max</w:t>
            </w:r>
          </w:p>
        </w:tc>
        <w:tc>
          <w:tcPr>
            <w:tcW w:w="1276" w:type="dxa"/>
          </w:tcPr>
          <w:p w14:paraId="16408EC3" w14:textId="5E62FBEF" w:rsidR="00AF6983" w:rsidRDefault="00AF6983" w:rsidP="00D55DCA">
            <w:r>
              <w:t>19</w:t>
            </w:r>
          </w:p>
        </w:tc>
      </w:tr>
      <w:tr w:rsidR="00AF6983" w14:paraId="18A80227" w14:textId="77777777" w:rsidTr="00551D7B">
        <w:tc>
          <w:tcPr>
            <w:tcW w:w="6232" w:type="dxa"/>
            <w:gridSpan w:val="3"/>
            <w:shd w:val="clear" w:color="auto" w:fill="auto"/>
          </w:tcPr>
          <w:p w14:paraId="6D562CDC" w14:textId="77777777" w:rsidR="00AF6983" w:rsidRPr="00AD5842" w:rsidRDefault="00AF6983" w:rsidP="00D332A8">
            <w:pPr>
              <w:spacing w:after="60"/>
              <w:rPr>
                <w:b/>
              </w:rPr>
            </w:pPr>
            <w:r w:rsidRPr="00AD5842">
              <w:rPr>
                <w:b/>
              </w:rPr>
              <w:t>Analgesics</w:t>
            </w:r>
          </w:p>
        </w:tc>
        <w:tc>
          <w:tcPr>
            <w:tcW w:w="1985" w:type="dxa"/>
          </w:tcPr>
          <w:p w14:paraId="46D70E1D" w14:textId="77777777" w:rsidR="00AF6983" w:rsidRPr="00AD5842" w:rsidRDefault="00AF6983" w:rsidP="00324030">
            <w:pPr>
              <w:rPr>
                <w:b/>
              </w:rPr>
            </w:pPr>
          </w:p>
        </w:tc>
        <w:tc>
          <w:tcPr>
            <w:tcW w:w="1276" w:type="dxa"/>
          </w:tcPr>
          <w:p w14:paraId="1E03F3AD" w14:textId="2A5981D8" w:rsidR="00AF6983" w:rsidRPr="00AD5842" w:rsidRDefault="00AF6983" w:rsidP="00324030">
            <w:pPr>
              <w:rPr>
                <w:b/>
              </w:rPr>
            </w:pPr>
          </w:p>
        </w:tc>
      </w:tr>
      <w:tr w:rsidR="00AF6983" w14:paraId="0A8E4F3A" w14:textId="77777777" w:rsidTr="00551D7B">
        <w:tc>
          <w:tcPr>
            <w:tcW w:w="1838" w:type="dxa"/>
            <w:shd w:val="clear" w:color="auto" w:fill="auto"/>
          </w:tcPr>
          <w:p w14:paraId="00673E88" w14:textId="77777777" w:rsidR="00AF6983" w:rsidRDefault="00AF6983" w:rsidP="00D55DCA">
            <w:r>
              <w:t>Ibuprofen</w:t>
            </w:r>
          </w:p>
        </w:tc>
        <w:tc>
          <w:tcPr>
            <w:tcW w:w="1985" w:type="dxa"/>
          </w:tcPr>
          <w:p w14:paraId="284EC0D1" w14:textId="29893A2A" w:rsidR="00AF6983" w:rsidRDefault="00AF6983" w:rsidP="00D332A8">
            <w:pPr>
              <w:spacing w:after="60"/>
            </w:pPr>
            <w:proofErr w:type="spellStart"/>
            <w:r>
              <w:t>AdjBW</w:t>
            </w:r>
            <w:proofErr w:type="spellEnd"/>
            <w:r>
              <w:t xml:space="preserve"> (correction factor 0.4) up to adult max</w:t>
            </w:r>
          </w:p>
        </w:tc>
        <w:tc>
          <w:tcPr>
            <w:tcW w:w="2409" w:type="dxa"/>
          </w:tcPr>
          <w:p w14:paraId="7047CAED" w14:textId="29FF10B7" w:rsidR="00AF6983" w:rsidRPr="00D3644E" w:rsidRDefault="00AF6983" w:rsidP="008F1E80">
            <w:pPr>
              <w:rPr>
                <w:rFonts w:cs="Arial"/>
                <w:szCs w:val="20"/>
              </w:rPr>
            </w:pPr>
            <w:r>
              <w:rPr>
                <w:rFonts w:cs="Arial"/>
                <w:szCs w:val="20"/>
              </w:rPr>
              <w:t>Very limited information available.</w:t>
            </w:r>
          </w:p>
        </w:tc>
        <w:tc>
          <w:tcPr>
            <w:tcW w:w="1985" w:type="dxa"/>
          </w:tcPr>
          <w:p w14:paraId="55F8E566" w14:textId="10892378" w:rsidR="00AF6983" w:rsidRDefault="00AF6983" w:rsidP="00DC71B2">
            <w:pPr>
              <w:rPr>
                <w:rFonts w:cs="Arial"/>
                <w:szCs w:val="20"/>
              </w:rPr>
            </w:pPr>
            <w:proofErr w:type="spellStart"/>
            <w:r>
              <w:t>AdjBW</w:t>
            </w:r>
            <w:proofErr w:type="spellEnd"/>
            <w:r>
              <w:t xml:space="preserve"> (correction factor 0.35) up to adult max</w:t>
            </w:r>
          </w:p>
        </w:tc>
        <w:tc>
          <w:tcPr>
            <w:tcW w:w="1276" w:type="dxa"/>
          </w:tcPr>
          <w:p w14:paraId="0D40D093" w14:textId="434555C9" w:rsidR="00AF6983" w:rsidRPr="003777D2" w:rsidRDefault="00AF6983" w:rsidP="00DC71B2">
            <w:pPr>
              <w:rPr>
                <w:rFonts w:cs="Arial"/>
                <w:szCs w:val="20"/>
              </w:rPr>
            </w:pPr>
            <w:r>
              <w:rPr>
                <w:rFonts w:cs="Arial"/>
                <w:szCs w:val="20"/>
              </w:rPr>
              <w:t>19</w:t>
            </w:r>
          </w:p>
        </w:tc>
      </w:tr>
      <w:tr w:rsidR="00AF6983" w14:paraId="1BEC60AD" w14:textId="77777777" w:rsidTr="00551D7B">
        <w:tc>
          <w:tcPr>
            <w:tcW w:w="1838" w:type="dxa"/>
            <w:shd w:val="clear" w:color="auto" w:fill="auto"/>
          </w:tcPr>
          <w:p w14:paraId="003B6F19" w14:textId="56457F80" w:rsidR="00AF6983" w:rsidRDefault="00AF6983" w:rsidP="00767D46">
            <w:r>
              <w:t xml:space="preserve">Fentanyl </w:t>
            </w:r>
          </w:p>
        </w:tc>
        <w:tc>
          <w:tcPr>
            <w:tcW w:w="1985" w:type="dxa"/>
          </w:tcPr>
          <w:p w14:paraId="0321B8AD" w14:textId="78226DA2" w:rsidR="00AF6983" w:rsidRDefault="00AF6983" w:rsidP="00767D46">
            <w:pPr>
              <w:spacing w:after="60"/>
            </w:pPr>
            <w:r>
              <w:t xml:space="preserve"> </w:t>
            </w:r>
            <w:proofErr w:type="spellStart"/>
            <w:r>
              <w:t>AdjBW</w:t>
            </w:r>
            <w:proofErr w:type="spellEnd"/>
            <w:r>
              <w:t xml:space="preserve"> (correction factor 0.35)</w:t>
            </w:r>
          </w:p>
        </w:tc>
        <w:tc>
          <w:tcPr>
            <w:tcW w:w="2409" w:type="dxa"/>
          </w:tcPr>
          <w:p w14:paraId="3FB666DE" w14:textId="3B71A155" w:rsidR="00AF6983" w:rsidRDefault="00AF6983" w:rsidP="00767D46">
            <w:pPr>
              <w:rPr>
                <w:rFonts w:cs="Arial"/>
                <w:szCs w:val="20"/>
              </w:rPr>
            </w:pPr>
            <w:r>
              <w:rPr>
                <w:rFonts w:cs="Arial"/>
                <w:szCs w:val="20"/>
              </w:rPr>
              <w:t xml:space="preserve">Titrate to effect. </w:t>
            </w:r>
          </w:p>
        </w:tc>
        <w:tc>
          <w:tcPr>
            <w:tcW w:w="1985" w:type="dxa"/>
          </w:tcPr>
          <w:p w14:paraId="3C8EB9C5" w14:textId="5BD4E526" w:rsidR="00AF6983" w:rsidRDefault="00AF6983" w:rsidP="00767D46">
            <w:pPr>
              <w:rPr>
                <w:rFonts w:eastAsiaTheme="minorHAnsi" w:cs="Arial"/>
                <w:szCs w:val="20"/>
              </w:rPr>
            </w:pPr>
            <w:proofErr w:type="spellStart"/>
            <w:r>
              <w:t>AdjBW</w:t>
            </w:r>
            <w:proofErr w:type="spellEnd"/>
            <w:r>
              <w:t xml:space="preserve"> (correction factor 0.35)</w:t>
            </w:r>
          </w:p>
        </w:tc>
        <w:tc>
          <w:tcPr>
            <w:tcW w:w="1276" w:type="dxa"/>
          </w:tcPr>
          <w:p w14:paraId="53952655" w14:textId="48854AAD" w:rsidR="00AF6983" w:rsidRPr="0023643B" w:rsidRDefault="00AF6983" w:rsidP="00767D46">
            <w:pPr>
              <w:rPr>
                <w:rFonts w:eastAsiaTheme="minorHAnsi" w:cs="Arial"/>
                <w:szCs w:val="20"/>
              </w:rPr>
            </w:pPr>
            <w:r>
              <w:rPr>
                <w:rFonts w:eastAsiaTheme="minorHAnsi" w:cs="Arial"/>
                <w:szCs w:val="20"/>
              </w:rPr>
              <w:t>36</w:t>
            </w:r>
            <w:r w:rsidRPr="0099312D">
              <w:rPr>
                <w:rFonts w:eastAsiaTheme="minorHAnsi" w:cs="Arial"/>
                <w:szCs w:val="20"/>
              </w:rPr>
              <w:t>*</w:t>
            </w:r>
          </w:p>
        </w:tc>
      </w:tr>
      <w:tr w:rsidR="00AF6983" w14:paraId="3EE1CE83" w14:textId="77777777" w:rsidTr="00551D7B">
        <w:tc>
          <w:tcPr>
            <w:tcW w:w="1838" w:type="dxa"/>
            <w:shd w:val="clear" w:color="auto" w:fill="auto"/>
          </w:tcPr>
          <w:p w14:paraId="2A12A3B2" w14:textId="5108B91D" w:rsidR="00AF6983" w:rsidRDefault="00AF6983" w:rsidP="00A70B2F">
            <w:r>
              <w:t>Morphine</w:t>
            </w:r>
          </w:p>
        </w:tc>
        <w:tc>
          <w:tcPr>
            <w:tcW w:w="1985" w:type="dxa"/>
          </w:tcPr>
          <w:p w14:paraId="281E9CC3" w14:textId="56B25F95" w:rsidR="00AF6983" w:rsidDel="00407731" w:rsidRDefault="00AF6983" w:rsidP="00A70B2F">
            <w:pPr>
              <w:spacing w:after="60"/>
            </w:pPr>
            <w:r>
              <w:t xml:space="preserve">IBW </w:t>
            </w:r>
          </w:p>
        </w:tc>
        <w:tc>
          <w:tcPr>
            <w:tcW w:w="2409" w:type="dxa"/>
          </w:tcPr>
          <w:p w14:paraId="3970A80D" w14:textId="1409AD00" w:rsidR="00AF6983" w:rsidRDefault="00AF6983" w:rsidP="00A70B2F">
            <w:pPr>
              <w:rPr>
                <w:rFonts w:cs="Arial"/>
                <w:szCs w:val="20"/>
              </w:rPr>
            </w:pPr>
            <w:r>
              <w:rPr>
                <w:rFonts w:cs="Arial"/>
                <w:szCs w:val="20"/>
              </w:rPr>
              <w:t xml:space="preserve">Titrate to effect. </w:t>
            </w:r>
          </w:p>
        </w:tc>
        <w:tc>
          <w:tcPr>
            <w:tcW w:w="1985" w:type="dxa"/>
          </w:tcPr>
          <w:p w14:paraId="36673E22" w14:textId="55718922" w:rsidR="00AF6983" w:rsidRDefault="00AF6983" w:rsidP="00A70B2F">
            <w:pPr>
              <w:rPr>
                <w:rFonts w:eastAsiaTheme="minorHAnsi" w:cs="Arial"/>
                <w:szCs w:val="20"/>
              </w:rPr>
            </w:pPr>
            <w:r>
              <w:rPr>
                <w:rFonts w:eastAsiaTheme="minorHAnsi" w:cs="Arial"/>
                <w:szCs w:val="20"/>
              </w:rPr>
              <w:t>IBW</w:t>
            </w:r>
          </w:p>
        </w:tc>
        <w:tc>
          <w:tcPr>
            <w:tcW w:w="1276" w:type="dxa"/>
          </w:tcPr>
          <w:p w14:paraId="31EBD1F1" w14:textId="4A799C1F" w:rsidR="00AF6983" w:rsidRDefault="00AF6983" w:rsidP="00A70B2F">
            <w:pPr>
              <w:rPr>
                <w:rFonts w:eastAsiaTheme="minorHAnsi" w:cs="Arial"/>
                <w:szCs w:val="20"/>
              </w:rPr>
            </w:pPr>
            <w:r>
              <w:rPr>
                <w:rFonts w:eastAsiaTheme="minorHAnsi" w:cs="Arial"/>
                <w:szCs w:val="20"/>
              </w:rPr>
              <w:t>19, 44</w:t>
            </w:r>
          </w:p>
        </w:tc>
      </w:tr>
      <w:tr w:rsidR="00AF6983" w14:paraId="07B64EF0" w14:textId="77777777" w:rsidTr="00551D7B">
        <w:tc>
          <w:tcPr>
            <w:tcW w:w="1838" w:type="dxa"/>
            <w:shd w:val="clear" w:color="auto" w:fill="auto"/>
          </w:tcPr>
          <w:p w14:paraId="42B484F5" w14:textId="77777777" w:rsidR="00AF6983" w:rsidRDefault="00AF6983" w:rsidP="00A70B2F">
            <w:r>
              <w:t>Paracetamol</w:t>
            </w:r>
          </w:p>
        </w:tc>
        <w:tc>
          <w:tcPr>
            <w:tcW w:w="1985" w:type="dxa"/>
          </w:tcPr>
          <w:p w14:paraId="7A3C72F0" w14:textId="1167C20B" w:rsidR="00AF6983" w:rsidRDefault="00AF6983" w:rsidP="00A70B2F">
            <w:pPr>
              <w:spacing w:after="60"/>
            </w:pPr>
            <w:proofErr w:type="spellStart"/>
            <w:r>
              <w:t>AdjBW</w:t>
            </w:r>
            <w:proofErr w:type="spellEnd"/>
            <w:r>
              <w:t xml:space="preserve"> (correction factor 0.4) up to adult max</w:t>
            </w:r>
          </w:p>
        </w:tc>
        <w:tc>
          <w:tcPr>
            <w:tcW w:w="2409" w:type="dxa"/>
          </w:tcPr>
          <w:p w14:paraId="7C1255EC" w14:textId="02A62AB9" w:rsidR="00AF6983" w:rsidRDefault="00AF6983" w:rsidP="00A70B2F">
            <w:r>
              <w:t xml:space="preserve">Limited information available. </w:t>
            </w:r>
          </w:p>
        </w:tc>
        <w:tc>
          <w:tcPr>
            <w:tcW w:w="1985" w:type="dxa"/>
          </w:tcPr>
          <w:p w14:paraId="4BEAA684" w14:textId="548BCE4D" w:rsidR="00AF6983" w:rsidRDefault="00AF6983" w:rsidP="00A70B2F">
            <w:pPr>
              <w:rPr>
                <w:rFonts w:cs="Arial"/>
                <w:szCs w:val="20"/>
              </w:rPr>
            </w:pPr>
            <w:proofErr w:type="spellStart"/>
            <w:r>
              <w:t>AdjBW</w:t>
            </w:r>
            <w:proofErr w:type="spellEnd"/>
            <w:r>
              <w:t xml:space="preserve"> (correction factor 0.35) up to adult max</w:t>
            </w:r>
          </w:p>
        </w:tc>
        <w:tc>
          <w:tcPr>
            <w:tcW w:w="1276" w:type="dxa"/>
          </w:tcPr>
          <w:p w14:paraId="66773EEF" w14:textId="31C77545" w:rsidR="00AF6983" w:rsidRPr="003777D2" w:rsidRDefault="00AF6983" w:rsidP="00A70B2F">
            <w:pPr>
              <w:rPr>
                <w:rFonts w:cs="Arial"/>
                <w:szCs w:val="20"/>
              </w:rPr>
            </w:pPr>
            <w:r>
              <w:rPr>
                <w:rFonts w:cs="Arial"/>
                <w:szCs w:val="20"/>
              </w:rPr>
              <w:t>5, 19</w:t>
            </w:r>
          </w:p>
        </w:tc>
      </w:tr>
      <w:tr w:rsidR="00426D90" w14:paraId="1B4D90EA" w14:textId="77777777" w:rsidTr="00551D7B">
        <w:tc>
          <w:tcPr>
            <w:tcW w:w="9493" w:type="dxa"/>
            <w:gridSpan w:val="5"/>
            <w:shd w:val="clear" w:color="auto" w:fill="auto"/>
          </w:tcPr>
          <w:p w14:paraId="0DC3602F" w14:textId="36B3F4BC" w:rsidR="00426D90" w:rsidRPr="003777D2" w:rsidRDefault="00426D90" w:rsidP="00426D90">
            <w:pPr>
              <w:jc w:val="center"/>
              <w:rPr>
                <w:rFonts w:cs="Arial"/>
                <w:b/>
                <w:szCs w:val="20"/>
              </w:rPr>
            </w:pPr>
            <w:r w:rsidRPr="00AD5842">
              <w:rPr>
                <w:b/>
              </w:rPr>
              <w:t>Miscellaneous</w:t>
            </w:r>
          </w:p>
        </w:tc>
      </w:tr>
      <w:tr w:rsidR="00AF6983" w14:paraId="5353CF38" w14:textId="77777777" w:rsidTr="00551D7B">
        <w:tc>
          <w:tcPr>
            <w:tcW w:w="1838" w:type="dxa"/>
            <w:shd w:val="clear" w:color="auto" w:fill="auto"/>
          </w:tcPr>
          <w:p w14:paraId="4E302774" w14:textId="473814AE" w:rsidR="00AF6983" w:rsidRDefault="00AF6983" w:rsidP="00A70B2F">
            <w:r>
              <w:t>Aminophylline/Theophylline</w:t>
            </w:r>
          </w:p>
        </w:tc>
        <w:tc>
          <w:tcPr>
            <w:tcW w:w="1985" w:type="dxa"/>
            <w:shd w:val="clear" w:color="auto" w:fill="auto"/>
          </w:tcPr>
          <w:p w14:paraId="28666A34" w14:textId="4D7E3459" w:rsidR="00AF6983" w:rsidRPr="00833AE8" w:rsidDel="00407731" w:rsidRDefault="00AF6983" w:rsidP="00A70B2F">
            <w:pPr>
              <w:spacing w:after="60"/>
            </w:pPr>
            <w:r>
              <w:t>No dose adjustment for loading dose, IBW for maintenance</w:t>
            </w:r>
          </w:p>
        </w:tc>
        <w:tc>
          <w:tcPr>
            <w:tcW w:w="2409" w:type="dxa"/>
          </w:tcPr>
          <w:p w14:paraId="7C05174B" w14:textId="7DAB0BB3" w:rsidR="00AF6983" w:rsidRDefault="00AF6983" w:rsidP="00A70B2F">
            <w:r w:rsidRPr="004B104A">
              <w:t>BNF</w:t>
            </w:r>
            <w:r>
              <w:t>C</w:t>
            </w:r>
            <w:r w:rsidRPr="004B104A">
              <w:t xml:space="preserve"> advises that IBW should be used to calculate doses </w:t>
            </w:r>
            <w:r>
              <w:t xml:space="preserve">of aminophylline </w:t>
            </w:r>
            <w:r w:rsidRPr="004B104A">
              <w:t>with close monitoring of the serum concentrations.</w:t>
            </w:r>
          </w:p>
        </w:tc>
        <w:tc>
          <w:tcPr>
            <w:tcW w:w="1985" w:type="dxa"/>
          </w:tcPr>
          <w:p w14:paraId="0A040506" w14:textId="640F520E" w:rsidR="00AF6983" w:rsidRDefault="00AF6983" w:rsidP="00A70B2F">
            <w:r>
              <w:t>No dose adjustment for loading dose, IBW for maintenance</w:t>
            </w:r>
          </w:p>
        </w:tc>
        <w:tc>
          <w:tcPr>
            <w:tcW w:w="1276" w:type="dxa"/>
          </w:tcPr>
          <w:p w14:paraId="6A5B803F" w14:textId="39A85650" w:rsidR="00AF6983" w:rsidRDefault="00AF6983" w:rsidP="00A70B2F">
            <w:pPr>
              <w:rPr>
                <w:rFonts w:cs="Arial"/>
                <w:szCs w:val="20"/>
              </w:rPr>
            </w:pPr>
            <w:r>
              <w:t xml:space="preserve">4, 13, 45 </w:t>
            </w:r>
          </w:p>
        </w:tc>
      </w:tr>
      <w:tr w:rsidR="00AF6983" w14:paraId="7FC56087" w14:textId="77777777" w:rsidTr="00551D7B">
        <w:tc>
          <w:tcPr>
            <w:tcW w:w="1838" w:type="dxa"/>
            <w:shd w:val="clear" w:color="auto" w:fill="auto"/>
          </w:tcPr>
          <w:p w14:paraId="06EE7072" w14:textId="1EE3CC19" w:rsidR="00AF6983" w:rsidRDefault="00AF6983" w:rsidP="00A70B2F">
            <w:r>
              <w:t>Corticosteroids (dexamethasone and prednisolone) – see methylprednisolone separately</w:t>
            </w:r>
          </w:p>
        </w:tc>
        <w:tc>
          <w:tcPr>
            <w:tcW w:w="1985" w:type="dxa"/>
            <w:shd w:val="clear" w:color="auto" w:fill="auto"/>
          </w:tcPr>
          <w:p w14:paraId="045C7034" w14:textId="2419A470" w:rsidR="00AF6983" w:rsidRPr="00833AE8" w:rsidDel="00407731" w:rsidRDefault="00AF6983" w:rsidP="00A70B2F">
            <w:pPr>
              <w:spacing w:after="60"/>
            </w:pPr>
            <w:r>
              <w:t>No dose adjustment necessary</w:t>
            </w:r>
          </w:p>
        </w:tc>
        <w:tc>
          <w:tcPr>
            <w:tcW w:w="2409" w:type="dxa"/>
          </w:tcPr>
          <w:p w14:paraId="69492380" w14:textId="19D90FD7" w:rsidR="00AF6983" w:rsidRDefault="00AF6983" w:rsidP="00A70B2F"/>
        </w:tc>
        <w:tc>
          <w:tcPr>
            <w:tcW w:w="1985" w:type="dxa"/>
          </w:tcPr>
          <w:p w14:paraId="01389CA4" w14:textId="472CF866" w:rsidR="00AF6983" w:rsidRDefault="00AF6983" w:rsidP="00A70B2F">
            <w:r>
              <w:t>No dose adjustment necessary</w:t>
            </w:r>
          </w:p>
        </w:tc>
        <w:tc>
          <w:tcPr>
            <w:tcW w:w="1276" w:type="dxa"/>
          </w:tcPr>
          <w:p w14:paraId="35E3D093" w14:textId="57415A78" w:rsidR="00AF6983" w:rsidRDefault="00AF6983" w:rsidP="00A70B2F">
            <w:pPr>
              <w:rPr>
                <w:rFonts w:cs="Arial"/>
                <w:szCs w:val="20"/>
              </w:rPr>
            </w:pPr>
            <w:r>
              <w:t>19, 46</w:t>
            </w:r>
          </w:p>
        </w:tc>
      </w:tr>
      <w:tr w:rsidR="00AF6983" w14:paraId="4054F085" w14:textId="77777777" w:rsidTr="00551D7B">
        <w:tc>
          <w:tcPr>
            <w:tcW w:w="1838" w:type="dxa"/>
            <w:shd w:val="clear" w:color="auto" w:fill="auto"/>
          </w:tcPr>
          <w:p w14:paraId="09BD306F" w14:textId="77777777" w:rsidR="00AF6983" w:rsidRDefault="00AF6983" w:rsidP="00A70B2F">
            <w:r>
              <w:t>Enoxaparin</w:t>
            </w:r>
          </w:p>
        </w:tc>
        <w:tc>
          <w:tcPr>
            <w:tcW w:w="1985" w:type="dxa"/>
            <w:shd w:val="clear" w:color="auto" w:fill="auto"/>
          </w:tcPr>
          <w:p w14:paraId="74857773" w14:textId="7FB4F00F" w:rsidR="00AF6983" w:rsidRDefault="00AF6983" w:rsidP="00A70B2F">
            <w:pPr>
              <w:spacing w:after="60"/>
            </w:pPr>
            <w:r>
              <w:t>No dose adjustment</w:t>
            </w:r>
            <w:r w:rsidRPr="00833AE8">
              <w:t xml:space="preserve"> or </w:t>
            </w:r>
            <w:proofErr w:type="spellStart"/>
            <w:r w:rsidRPr="00BC04A7">
              <w:t>A</w:t>
            </w:r>
            <w:r>
              <w:t>dj</w:t>
            </w:r>
            <w:r w:rsidRPr="00BC04A7">
              <w:t>BW</w:t>
            </w:r>
            <w:proofErr w:type="spellEnd"/>
            <w:r w:rsidRPr="00BC04A7">
              <w:t xml:space="preserve"> (correction factor </w:t>
            </w:r>
            <w:r>
              <w:t>0</w:t>
            </w:r>
            <w:r w:rsidRPr="00BC04A7">
              <w:t xml:space="preserve">.4). </w:t>
            </w:r>
          </w:p>
        </w:tc>
        <w:tc>
          <w:tcPr>
            <w:tcW w:w="2409" w:type="dxa"/>
          </w:tcPr>
          <w:p w14:paraId="3F445DA7" w14:textId="7393A4AE" w:rsidR="00AF6983" w:rsidRDefault="00AF6983" w:rsidP="00A70B2F">
            <w:bookmarkStart w:id="1" w:name="_Hlk72497290"/>
            <w:r>
              <w:t xml:space="preserve">Monitor coagulation parameters. Titrate to effect. </w:t>
            </w:r>
            <w:r w:rsidR="0020541F">
              <w:t>Consider adult dosing for 16 years and over and &gt; 100kg, dependent on bleeding and clotting risk factors.</w:t>
            </w:r>
            <w:r>
              <w:t xml:space="preserve"> </w:t>
            </w:r>
            <w:bookmarkEnd w:id="1"/>
          </w:p>
        </w:tc>
        <w:tc>
          <w:tcPr>
            <w:tcW w:w="1985" w:type="dxa"/>
          </w:tcPr>
          <w:p w14:paraId="25DBE516" w14:textId="1C18D520" w:rsidR="00AF6983" w:rsidRDefault="00AF6983" w:rsidP="00A70B2F">
            <w:pPr>
              <w:rPr>
                <w:rFonts w:cs="Arial"/>
                <w:szCs w:val="20"/>
              </w:rPr>
            </w:pPr>
            <w:bookmarkStart w:id="2" w:name="_Hlk72497300"/>
            <w:r>
              <w:t>No dose adjustment</w:t>
            </w:r>
            <w:r w:rsidRPr="00833AE8">
              <w:t xml:space="preserve"> or </w:t>
            </w:r>
            <w:proofErr w:type="spellStart"/>
            <w:r w:rsidRPr="00BC04A7">
              <w:t>A</w:t>
            </w:r>
            <w:r>
              <w:t>dj</w:t>
            </w:r>
            <w:r w:rsidRPr="00BC04A7">
              <w:t>BW</w:t>
            </w:r>
            <w:proofErr w:type="spellEnd"/>
            <w:r w:rsidRPr="00BC04A7">
              <w:t xml:space="preserve"> (correction factor </w:t>
            </w:r>
            <w:r>
              <w:t>0</w:t>
            </w:r>
            <w:r w:rsidRPr="00BC04A7">
              <w:t>.</w:t>
            </w:r>
            <w:r>
              <w:t>35</w:t>
            </w:r>
            <w:r w:rsidRPr="00BC04A7">
              <w:t>).</w:t>
            </w:r>
            <w:bookmarkEnd w:id="2"/>
          </w:p>
        </w:tc>
        <w:tc>
          <w:tcPr>
            <w:tcW w:w="1276" w:type="dxa"/>
          </w:tcPr>
          <w:p w14:paraId="3CC9B8A5" w14:textId="73DDFA65" w:rsidR="00AF6983" w:rsidRDefault="00AF6983" w:rsidP="00A70B2F">
            <w:pPr>
              <w:rPr>
                <w:rFonts w:cs="Arial"/>
                <w:szCs w:val="20"/>
              </w:rPr>
            </w:pPr>
            <w:r>
              <w:rPr>
                <w:rFonts w:cs="Arial"/>
                <w:szCs w:val="20"/>
              </w:rPr>
              <w:t>5, 7, 19, 47- 48*</w:t>
            </w:r>
          </w:p>
          <w:p w14:paraId="7AE86418" w14:textId="77777777" w:rsidR="00AF6983" w:rsidRPr="003777D2" w:rsidRDefault="00AF6983" w:rsidP="00A70B2F">
            <w:pPr>
              <w:rPr>
                <w:rFonts w:cs="Arial"/>
                <w:szCs w:val="20"/>
              </w:rPr>
            </w:pPr>
          </w:p>
        </w:tc>
      </w:tr>
      <w:tr w:rsidR="00AF6983" w14:paraId="1CFD6F1F" w14:textId="77777777" w:rsidTr="00551D7B">
        <w:tc>
          <w:tcPr>
            <w:tcW w:w="1838" w:type="dxa"/>
            <w:shd w:val="clear" w:color="auto" w:fill="auto"/>
          </w:tcPr>
          <w:p w14:paraId="245B40F2" w14:textId="4092B633" w:rsidR="00AF6983" w:rsidRDefault="00AF6983" w:rsidP="004F2E64">
            <w:r>
              <w:t>Furosemide</w:t>
            </w:r>
          </w:p>
        </w:tc>
        <w:tc>
          <w:tcPr>
            <w:tcW w:w="1985" w:type="dxa"/>
            <w:shd w:val="clear" w:color="auto" w:fill="auto"/>
          </w:tcPr>
          <w:p w14:paraId="5BD75A4E" w14:textId="5764A0A3" w:rsidR="00AF6983" w:rsidRPr="00833AE8" w:rsidDel="00407731" w:rsidRDefault="00AF6983" w:rsidP="004F2E64">
            <w:pPr>
              <w:spacing w:after="60"/>
            </w:pPr>
            <w:r>
              <w:t>IBW, titrate to effect</w:t>
            </w:r>
          </w:p>
        </w:tc>
        <w:tc>
          <w:tcPr>
            <w:tcW w:w="2409" w:type="dxa"/>
          </w:tcPr>
          <w:p w14:paraId="6FB04CBB" w14:textId="4A736C73" w:rsidR="00AF6983" w:rsidRDefault="00AF6983" w:rsidP="004F2E64">
            <w:r>
              <w:t>Risk of ototoxicity</w:t>
            </w:r>
          </w:p>
        </w:tc>
        <w:tc>
          <w:tcPr>
            <w:tcW w:w="1985" w:type="dxa"/>
          </w:tcPr>
          <w:p w14:paraId="40E14AD4" w14:textId="77777777" w:rsidR="00AF6983" w:rsidRDefault="00AF6983" w:rsidP="004F2E64"/>
        </w:tc>
        <w:tc>
          <w:tcPr>
            <w:tcW w:w="1276" w:type="dxa"/>
          </w:tcPr>
          <w:p w14:paraId="597C9F70" w14:textId="7FF04DB0" w:rsidR="00AF6983" w:rsidRDefault="00AF6983" w:rsidP="004F2E64">
            <w:pPr>
              <w:rPr>
                <w:rFonts w:cs="Arial"/>
                <w:szCs w:val="20"/>
              </w:rPr>
            </w:pPr>
            <w:r>
              <w:t>19</w:t>
            </w:r>
          </w:p>
        </w:tc>
      </w:tr>
      <w:tr w:rsidR="00AF6983" w14:paraId="26099D3B" w14:textId="77777777" w:rsidTr="00551D7B">
        <w:tc>
          <w:tcPr>
            <w:tcW w:w="1838" w:type="dxa"/>
            <w:shd w:val="clear" w:color="auto" w:fill="auto"/>
          </w:tcPr>
          <w:p w14:paraId="159BE547" w14:textId="77777777" w:rsidR="00AF6983" w:rsidRDefault="00AF6983" w:rsidP="004F2E64">
            <w:r>
              <w:t>Heparin</w:t>
            </w:r>
          </w:p>
        </w:tc>
        <w:tc>
          <w:tcPr>
            <w:tcW w:w="1985" w:type="dxa"/>
          </w:tcPr>
          <w:p w14:paraId="18B788CC" w14:textId="6B0989D9" w:rsidR="00AF6983" w:rsidRDefault="00AF6983" w:rsidP="004F2E64">
            <w:pPr>
              <w:spacing w:after="60"/>
            </w:pPr>
            <w:r w:rsidRPr="00833AE8">
              <w:t xml:space="preserve">TBW or </w:t>
            </w:r>
            <w:proofErr w:type="spellStart"/>
            <w:r w:rsidRPr="00BC04A7">
              <w:t>A</w:t>
            </w:r>
            <w:r>
              <w:t>dj</w:t>
            </w:r>
            <w:r w:rsidRPr="00BC04A7">
              <w:t>BW</w:t>
            </w:r>
            <w:proofErr w:type="spellEnd"/>
            <w:r w:rsidRPr="00BC04A7">
              <w:t xml:space="preserve"> (correction factor 0.4). </w:t>
            </w:r>
          </w:p>
        </w:tc>
        <w:tc>
          <w:tcPr>
            <w:tcW w:w="2409" w:type="dxa"/>
          </w:tcPr>
          <w:p w14:paraId="5407AFD5" w14:textId="77777777" w:rsidR="00AF6983" w:rsidRDefault="00AF6983" w:rsidP="004F2E64">
            <w:r>
              <w:t xml:space="preserve">Monitor coagulation parameters. Titrate to effect. </w:t>
            </w:r>
          </w:p>
        </w:tc>
        <w:tc>
          <w:tcPr>
            <w:tcW w:w="1985" w:type="dxa"/>
          </w:tcPr>
          <w:p w14:paraId="14E61D07" w14:textId="456DB07F" w:rsidR="00AF6983" w:rsidRDefault="00AF6983" w:rsidP="004F2E64">
            <w:r w:rsidRPr="00833AE8">
              <w:t xml:space="preserve">TBW or </w:t>
            </w:r>
            <w:proofErr w:type="spellStart"/>
            <w:r w:rsidRPr="00BC04A7">
              <w:t>A</w:t>
            </w:r>
            <w:r>
              <w:t>dj</w:t>
            </w:r>
            <w:r w:rsidRPr="00BC04A7">
              <w:t>BW</w:t>
            </w:r>
            <w:proofErr w:type="spellEnd"/>
            <w:r w:rsidR="00426D90">
              <w:rPr>
                <w:rFonts w:cs="Arial"/>
                <w:vertAlign w:val="superscript"/>
              </w:rPr>
              <w:t xml:space="preserve"> </w:t>
            </w:r>
            <w:r w:rsidRPr="00BC04A7">
              <w:t>(correction factor 0.</w:t>
            </w:r>
            <w:r>
              <w:t>35</w:t>
            </w:r>
            <w:r w:rsidRPr="00BC04A7">
              <w:t>).</w:t>
            </w:r>
          </w:p>
        </w:tc>
        <w:tc>
          <w:tcPr>
            <w:tcW w:w="1276" w:type="dxa"/>
          </w:tcPr>
          <w:p w14:paraId="582DFE5E" w14:textId="1E008474" w:rsidR="00AF6983" w:rsidRDefault="00AF6983" w:rsidP="004F2E64">
            <w:r>
              <w:t>7, 18, 49, 50*</w:t>
            </w:r>
          </w:p>
          <w:p w14:paraId="7784359C" w14:textId="1A775B38" w:rsidR="00AF6983" w:rsidRDefault="00AF6983" w:rsidP="004F2E64"/>
        </w:tc>
      </w:tr>
      <w:tr w:rsidR="00AF6983" w14:paraId="18B67578" w14:textId="77777777" w:rsidTr="00551D7B">
        <w:tc>
          <w:tcPr>
            <w:tcW w:w="1838" w:type="dxa"/>
            <w:shd w:val="clear" w:color="auto" w:fill="auto"/>
          </w:tcPr>
          <w:p w14:paraId="04F263AF" w14:textId="15824C91" w:rsidR="00AF6983" w:rsidRDefault="00AF6983" w:rsidP="004F2E64">
            <w:r>
              <w:t xml:space="preserve">Immunoglobulin G (IVIG)/ Human normal immunoglobulin </w:t>
            </w:r>
          </w:p>
        </w:tc>
        <w:tc>
          <w:tcPr>
            <w:tcW w:w="1985" w:type="dxa"/>
          </w:tcPr>
          <w:p w14:paraId="61E6DFC7" w14:textId="42C0116B" w:rsidR="00AF6983" w:rsidRPr="00833AE8" w:rsidRDefault="00AF6983" w:rsidP="004F2E64">
            <w:pPr>
              <w:spacing w:after="60"/>
            </w:pPr>
            <w:r>
              <w:t>IBW</w:t>
            </w:r>
          </w:p>
        </w:tc>
        <w:tc>
          <w:tcPr>
            <w:tcW w:w="2409" w:type="dxa"/>
          </w:tcPr>
          <w:p w14:paraId="7123CE23" w14:textId="137BF51E" w:rsidR="00AF6983" w:rsidRDefault="00AF6983" w:rsidP="004F2E64">
            <w:r>
              <w:t xml:space="preserve">Where </w:t>
            </w:r>
            <w:r w:rsidR="001C649A">
              <w:t xml:space="preserve">clinically appropriate </w:t>
            </w:r>
            <w:r>
              <w:t>round doses to nearest vial size to minimise wastage</w:t>
            </w:r>
          </w:p>
        </w:tc>
        <w:tc>
          <w:tcPr>
            <w:tcW w:w="1985" w:type="dxa"/>
          </w:tcPr>
          <w:p w14:paraId="67AAE19C" w14:textId="7A4F36EF" w:rsidR="00AF6983" w:rsidRDefault="00AF6983" w:rsidP="004F2E64">
            <w:r>
              <w:t>IBW</w:t>
            </w:r>
          </w:p>
        </w:tc>
        <w:tc>
          <w:tcPr>
            <w:tcW w:w="1276" w:type="dxa"/>
          </w:tcPr>
          <w:p w14:paraId="05A7FD8B" w14:textId="5AF44293" w:rsidR="00AF6983" w:rsidRDefault="00AF6983" w:rsidP="004F2E64">
            <w:r>
              <w:t>51</w:t>
            </w:r>
          </w:p>
        </w:tc>
      </w:tr>
      <w:tr w:rsidR="00AF6983" w14:paraId="0B43F48E" w14:textId="77777777" w:rsidTr="00551D7B">
        <w:tc>
          <w:tcPr>
            <w:tcW w:w="1838" w:type="dxa"/>
            <w:shd w:val="clear" w:color="auto" w:fill="auto"/>
          </w:tcPr>
          <w:p w14:paraId="59E1A824" w14:textId="46B4EC7E" w:rsidR="00AF6983" w:rsidRDefault="00AF6983" w:rsidP="004F2E64">
            <w:r>
              <w:t>Methylprednisolone</w:t>
            </w:r>
          </w:p>
        </w:tc>
        <w:tc>
          <w:tcPr>
            <w:tcW w:w="1985" w:type="dxa"/>
          </w:tcPr>
          <w:p w14:paraId="40FC4066" w14:textId="25E187F3" w:rsidR="00AF6983" w:rsidRDefault="00AF6983" w:rsidP="004F2E64">
            <w:pPr>
              <w:spacing w:after="60"/>
            </w:pPr>
            <w:r>
              <w:t>IBW</w:t>
            </w:r>
          </w:p>
        </w:tc>
        <w:tc>
          <w:tcPr>
            <w:tcW w:w="2409" w:type="dxa"/>
          </w:tcPr>
          <w:p w14:paraId="283F624C" w14:textId="1A194558" w:rsidR="00AF6983" w:rsidRDefault="00AF6983" w:rsidP="004F2E64">
            <w:r>
              <w:t>Based on adult date. Clearance may be reduced in patients who are obese.</w:t>
            </w:r>
          </w:p>
        </w:tc>
        <w:tc>
          <w:tcPr>
            <w:tcW w:w="1985" w:type="dxa"/>
          </w:tcPr>
          <w:p w14:paraId="457A9F43" w14:textId="028BE8AD" w:rsidR="00AF6983" w:rsidRDefault="00AF6983" w:rsidP="004F2E64">
            <w:r>
              <w:t>IBW</w:t>
            </w:r>
          </w:p>
        </w:tc>
        <w:tc>
          <w:tcPr>
            <w:tcW w:w="1276" w:type="dxa"/>
          </w:tcPr>
          <w:p w14:paraId="22AABDE6" w14:textId="219E0034" w:rsidR="00AF6983" w:rsidRDefault="00AF6983" w:rsidP="004F2E64">
            <w:r>
              <w:t>19</w:t>
            </w:r>
          </w:p>
        </w:tc>
      </w:tr>
      <w:tr w:rsidR="00AF6983" w14:paraId="7D210FB2" w14:textId="77777777" w:rsidTr="00551D7B">
        <w:tc>
          <w:tcPr>
            <w:tcW w:w="1838" w:type="dxa"/>
            <w:shd w:val="clear" w:color="auto" w:fill="auto"/>
          </w:tcPr>
          <w:p w14:paraId="3D605484" w14:textId="541F2FFB" w:rsidR="00AF6983" w:rsidDel="004F2E64" w:rsidRDefault="00AF6983" w:rsidP="004F2E64">
            <w:r>
              <w:t>Metoclopramide</w:t>
            </w:r>
          </w:p>
        </w:tc>
        <w:tc>
          <w:tcPr>
            <w:tcW w:w="1985" w:type="dxa"/>
          </w:tcPr>
          <w:p w14:paraId="339713BC" w14:textId="4B8089F3" w:rsidR="00AF6983" w:rsidDel="004F2E64" w:rsidRDefault="00AF6983" w:rsidP="004F2E64">
            <w:pPr>
              <w:spacing w:after="60"/>
            </w:pPr>
            <w:r>
              <w:t>IBW</w:t>
            </w:r>
          </w:p>
        </w:tc>
        <w:tc>
          <w:tcPr>
            <w:tcW w:w="2409" w:type="dxa"/>
          </w:tcPr>
          <w:p w14:paraId="45DCED96" w14:textId="04064282" w:rsidR="00AF6983" w:rsidRDefault="00AF6983" w:rsidP="004F2E64"/>
        </w:tc>
        <w:tc>
          <w:tcPr>
            <w:tcW w:w="1985" w:type="dxa"/>
          </w:tcPr>
          <w:p w14:paraId="0B2EC0AF" w14:textId="623ADF29" w:rsidR="00AF6983" w:rsidRDefault="00AF6983" w:rsidP="004F2E64">
            <w:r>
              <w:t>IBW</w:t>
            </w:r>
          </w:p>
        </w:tc>
        <w:tc>
          <w:tcPr>
            <w:tcW w:w="1276" w:type="dxa"/>
          </w:tcPr>
          <w:p w14:paraId="4793689C" w14:textId="0C3C950D" w:rsidR="00AF6983" w:rsidDel="009F17E4" w:rsidRDefault="00AF6983" w:rsidP="004F2E64">
            <w:r>
              <w:t>19</w:t>
            </w:r>
          </w:p>
        </w:tc>
      </w:tr>
      <w:tr w:rsidR="00AF6983" w14:paraId="503FD3E8" w14:textId="77777777" w:rsidTr="00551D7B">
        <w:tc>
          <w:tcPr>
            <w:tcW w:w="1838" w:type="dxa"/>
            <w:shd w:val="clear" w:color="auto" w:fill="auto"/>
          </w:tcPr>
          <w:p w14:paraId="35F3850A" w14:textId="1E4125C5" w:rsidR="00AF6983" w:rsidRDefault="00AF6983" w:rsidP="004F2E64">
            <w:r>
              <w:lastRenderedPageBreak/>
              <w:t>Ondansetron</w:t>
            </w:r>
          </w:p>
        </w:tc>
        <w:tc>
          <w:tcPr>
            <w:tcW w:w="1985" w:type="dxa"/>
          </w:tcPr>
          <w:p w14:paraId="5A43914B" w14:textId="4452AF23" w:rsidR="00AF6983" w:rsidRDefault="00AF6983" w:rsidP="004F2E64">
            <w:r>
              <w:t>No dose adjustment necessary</w:t>
            </w:r>
          </w:p>
        </w:tc>
        <w:tc>
          <w:tcPr>
            <w:tcW w:w="2409" w:type="dxa"/>
          </w:tcPr>
          <w:p w14:paraId="6D29E114" w14:textId="3315B0E0" w:rsidR="00AF6983" w:rsidDel="00407731" w:rsidRDefault="00AF6983" w:rsidP="004F2E64">
            <w:r>
              <w:t xml:space="preserve">Up to adult maximum dose. Lack of literature support to alter current practice. </w:t>
            </w:r>
          </w:p>
        </w:tc>
        <w:tc>
          <w:tcPr>
            <w:tcW w:w="1985" w:type="dxa"/>
          </w:tcPr>
          <w:p w14:paraId="4ABE9E6E" w14:textId="234242B0" w:rsidR="00AF6983" w:rsidRDefault="00AF6983" w:rsidP="004F2E64">
            <w:r>
              <w:t>No dose adjustment necessary</w:t>
            </w:r>
          </w:p>
        </w:tc>
        <w:tc>
          <w:tcPr>
            <w:tcW w:w="1276" w:type="dxa"/>
          </w:tcPr>
          <w:p w14:paraId="7AACBF9D" w14:textId="1BA2AC74" w:rsidR="00AF6983" w:rsidRDefault="00AF6983" w:rsidP="004F2E64">
            <w:r>
              <w:t>19, 47</w:t>
            </w:r>
          </w:p>
        </w:tc>
      </w:tr>
      <w:tr w:rsidR="00AF6983" w14:paraId="2DAE548E" w14:textId="77777777" w:rsidTr="00551D7B">
        <w:tc>
          <w:tcPr>
            <w:tcW w:w="1838" w:type="dxa"/>
            <w:shd w:val="clear" w:color="auto" w:fill="auto"/>
          </w:tcPr>
          <w:p w14:paraId="48955525" w14:textId="5E588E0A" w:rsidR="00AF6983" w:rsidDel="00C82FE1" w:rsidRDefault="00AF6983" w:rsidP="004F2E64">
            <w:r>
              <w:t>Proton pump inhibitors</w:t>
            </w:r>
          </w:p>
        </w:tc>
        <w:tc>
          <w:tcPr>
            <w:tcW w:w="1985" w:type="dxa"/>
          </w:tcPr>
          <w:p w14:paraId="23F04FB9" w14:textId="7B863179" w:rsidR="00AF6983" w:rsidDel="00407731" w:rsidRDefault="00AF6983" w:rsidP="004F2E64">
            <w:r>
              <w:t>No dose adjustment necessary</w:t>
            </w:r>
          </w:p>
        </w:tc>
        <w:tc>
          <w:tcPr>
            <w:tcW w:w="2409" w:type="dxa"/>
          </w:tcPr>
          <w:p w14:paraId="552F3988" w14:textId="0AE5C8BB" w:rsidR="00AF6983" w:rsidDel="00407731" w:rsidRDefault="00AF6983" w:rsidP="004F2E64">
            <w:pPr>
              <w:spacing w:after="60"/>
            </w:pPr>
            <w:r>
              <w:t xml:space="preserve">May also be dosed based on </w:t>
            </w:r>
            <w:proofErr w:type="spellStart"/>
            <w:r>
              <w:t>AdjBW</w:t>
            </w:r>
            <w:proofErr w:type="spellEnd"/>
            <w:r>
              <w:t xml:space="preserve"> (0.3). </w:t>
            </w:r>
          </w:p>
        </w:tc>
        <w:tc>
          <w:tcPr>
            <w:tcW w:w="1985" w:type="dxa"/>
          </w:tcPr>
          <w:p w14:paraId="1AE1433C" w14:textId="4BFB72B3" w:rsidR="00AF6983" w:rsidRDefault="00AF6983" w:rsidP="004F2E64">
            <w:r>
              <w:t>No dose adjustment necessary</w:t>
            </w:r>
          </w:p>
        </w:tc>
        <w:tc>
          <w:tcPr>
            <w:tcW w:w="1276" w:type="dxa"/>
          </w:tcPr>
          <w:p w14:paraId="0FBF01A2" w14:textId="0DD0B5F5" w:rsidR="00AF6983" w:rsidRDefault="00AF6983" w:rsidP="004F2E64">
            <w:r>
              <w:t>19, 52*</w:t>
            </w:r>
          </w:p>
        </w:tc>
      </w:tr>
      <w:tr w:rsidR="00AF6983" w14:paraId="208769F2" w14:textId="77777777" w:rsidTr="00551D7B">
        <w:tc>
          <w:tcPr>
            <w:tcW w:w="1838" w:type="dxa"/>
            <w:shd w:val="clear" w:color="auto" w:fill="auto"/>
          </w:tcPr>
          <w:p w14:paraId="2ADD617B" w14:textId="29DF19FC" w:rsidR="00AF6983" w:rsidRDefault="00AF6983" w:rsidP="004F2E64">
            <w:r>
              <w:t>Ranitidine</w:t>
            </w:r>
          </w:p>
        </w:tc>
        <w:tc>
          <w:tcPr>
            <w:tcW w:w="1985" w:type="dxa"/>
          </w:tcPr>
          <w:p w14:paraId="09F1630F" w14:textId="6EF49F94" w:rsidR="00AF6983" w:rsidRDefault="00AF6983" w:rsidP="004F2E64">
            <w:r>
              <w:t xml:space="preserve">IBW </w:t>
            </w:r>
          </w:p>
        </w:tc>
        <w:tc>
          <w:tcPr>
            <w:tcW w:w="2409" w:type="dxa"/>
          </w:tcPr>
          <w:p w14:paraId="0C71F2D8" w14:textId="676229D7" w:rsidR="00AF6983" w:rsidDel="00407731" w:rsidRDefault="00AF6983" w:rsidP="004F2E64">
            <w:pPr>
              <w:spacing w:after="60"/>
            </w:pPr>
          </w:p>
        </w:tc>
        <w:tc>
          <w:tcPr>
            <w:tcW w:w="1985" w:type="dxa"/>
          </w:tcPr>
          <w:p w14:paraId="12AF9ECB" w14:textId="393438AC" w:rsidR="00AF6983" w:rsidRDefault="00AF6983" w:rsidP="004F2E64">
            <w:r>
              <w:t>IBW</w:t>
            </w:r>
          </w:p>
        </w:tc>
        <w:tc>
          <w:tcPr>
            <w:tcW w:w="1276" w:type="dxa"/>
          </w:tcPr>
          <w:p w14:paraId="0A7E0B62" w14:textId="4EDD165C" w:rsidR="00AF6983" w:rsidRDefault="00AF6983" w:rsidP="004F2E64">
            <w:r>
              <w:t>10, 19</w:t>
            </w:r>
          </w:p>
        </w:tc>
      </w:tr>
      <w:tr w:rsidR="00AF6983" w14:paraId="47791AA5" w14:textId="77777777" w:rsidTr="00551D7B">
        <w:tc>
          <w:tcPr>
            <w:tcW w:w="1838" w:type="dxa"/>
            <w:shd w:val="clear" w:color="auto" w:fill="auto"/>
          </w:tcPr>
          <w:p w14:paraId="370B8DC3" w14:textId="227CB31A" w:rsidR="00AF6983" w:rsidRDefault="00AF6983" w:rsidP="004F2E64">
            <w:r>
              <w:t>Spironolactone</w:t>
            </w:r>
          </w:p>
        </w:tc>
        <w:tc>
          <w:tcPr>
            <w:tcW w:w="1985" w:type="dxa"/>
          </w:tcPr>
          <w:p w14:paraId="514A477B" w14:textId="03312F82" w:rsidR="00AF6983" w:rsidRDefault="00AF6983" w:rsidP="004F2E64">
            <w:r>
              <w:t>No dose adjustment necessary up to adult max</w:t>
            </w:r>
          </w:p>
        </w:tc>
        <w:tc>
          <w:tcPr>
            <w:tcW w:w="2409" w:type="dxa"/>
          </w:tcPr>
          <w:p w14:paraId="29A52B20" w14:textId="52B88A62" w:rsidR="00AF6983" w:rsidRDefault="00AF6983" w:rsidP="004F2E64">
            <w:pPr>
              <w:spacing w:after="60"/>
            </w:pPr>
          </w:p>
        </w:tc>
        <w:tc>
          <w:tcPr>
            <w:tcW w:w="1985" w:type="dxa"/>
          </w:tcPr>
          <w:p w14:paraId="14B1FB17" w14:textId="27FBE9BE" w:rsidR="00AF6983" w:rsidRDefault="00AF6983" w:rsidP="004F2E64">
            <w:r>
              <w:t>No dose adjustment necessary up to adult max</w:t>
            </w:r>
          </w:p>
        </w:tc>
        <w:tc>
          <w:tcPr>
            <w:tcW w:w="1276" w:type="dxa"/>
          </w:tcPr>
          <w:p w14:paraId="4074449D" w14:textId="766B7D47" w:rsidR="00AF6983" w:rsidRDefault="00AF6983" w:rsidP="004F2E64">
            <w:r>
              <w:t>19</w:t>
            </w:r>
          </w:p>
        </w:tc>
      </w:tr>
    </w:tbl>
    <w:p w14:paraId="341E359E" w14:textId="4FC654D1" w:rsidR="00141E4D" w:rsidRDefault="00141E4D" w:rsidP="00324030">
      <w:proofErr w:type="spellStart"/>
      <w:r>
        <w:t>A</w:t>
      </w:r>
      <w:r w:rsidR="00687D92">
        <w:t>dj</w:t>
      </w:r>
      <w:r>
        <w:t>BW</w:t>
      </w:r>
      <w:proofErr w:type="spellEnd"/>
      <w:r>
        <w:t>, adjusted body weight</w:t>
      </w:r>
      <w:r w:rsidR="00864087">
        <w:t xml:space="preserve">; </w:t>
      </w:r>
      <w:r w:rsidR="001515F5" w:rsidRPr="001515F5">
        <w:t xml:space="preserve">IBW, ideal body weight </w:t>
      </w:r>
    </w:p>
    <w:p w14:paraId="6A1C46F3" w14:textId="79EE4312" w:rsidR="001B6525" w:rsidRPr="00D20CED" w:rsidRDefault="00DA66E5" w:rsidP="00324030">
      <w:pPr>
        <w:rPr>
          <w:rFonts w:cs="Arial"/>
          <w:szCs w:val="20"/>
        </w:rPr>
      </w:pPr>
      <w:r>
        <w:t>*Paediatric data</w:t>
      </w:r>
      <w:r w:rsidR="000B7FAB">
        <w:t xml:space="preserve"> available</w:t>
      </w:r>
      <w:r w:rsidR="00B87895">
        <w:br/>
      </w:r>
    </w:p>
    <w:p w14:paraId="22E25003" w14:textId="563A366C" w:rsidR="00427F92" w:rsidRDefault="00427F92" w:rsidP="00427F92">
      <w:pPr>
        <w:pStyle w:val="Heading2"/>
        <w:rPr>
          <w:rFonts w:cs="Arial"/>
        </w:rPr>
      </w:pPr>
      <w:r w:rsidRPr="009752DF">
        <w:rPr>
          <w:rFonts w:cs="Arial"/>
        </w:rPr>
        <w:t>Summary</w:t>
      </w:r>
      <w:r w:rsidR="00D6680A">
        <w:rPr>
          <w:rFonts w:cs="Arial"/>
        </w:rPr>
        <w:t xml:space="preserve"> </w:t>
      </w:r>
    </w:p>
    <w:p w14:paraId="75629ACF" w14:textId="1D160BCA" w:rsidR="00A67C14" w:rsidRPr="00A67C14" w:rsidRDefault="00A67C14" w:rsidP="00527249">
      <w:pPr>
        <w:pStyle w:val="ListParagraph"/>
        <w:numPr>
          <w:ilvl w:val="0"/>
          <w:numId w:val="17"/>
        </w:numPr>
        <w:autoSpaceDE w:val="0"/>
        <w:autoSpaceDN w:val="0"/>
        <w:adjustRightInd w:val="0"/>
        <w:spacing w:after="0"/>
        <w:ind w:left="714" w:hanging="357"/>
        <w:rPr>
          <w:rFonts w:eastAsiaTheme="minorHAnsi" w:cs="Arial"/>
          <w:color w:val="000000"/>
          <w:szCs w:val="20"/>
        </w:rPr>
      </w:pPr>
      <w:r w:rsidRPr="00A67C14">
        <w:rPr>
          <w:rFonts w:eastAsiaTheme="minorHAnsi" w:cs="Arial"/>
          <w:color w:val="000000"/>
          <w:szCs w:val="20"/>
        </w:rPr>
        <w:t xml:space="preserve">Obesity results in physiological changes that can affect the volume of distribution and the clearance of </w:t>
      </w:r>
      <w:r w:rsidR="00260041">
        <w:rPr>
          <w:rFonts w:eastAsiaTheme="minorHAnsi" w:cs="Arial"/>
          <w:color w:val="000000"/>
          <w:szCs w:val="20"/>
        </w:rPr>
        <w:t>drugs</w:t>
      </w:r>
      <w:r w:rsidRPr="00A67C14">
        <w:rPr>
          <w:rFonts w:eastAsiaTheme="minorHAnsi" w:cs="Arial"/>
          <w:color w:val="000000"/>
          <w:szCs w:val="20"/>
        </w:rPr>
        <w:t xml:space="preserve">. The extent of these changes is variable and depends upon </w:t>
      </w:r>
      <w:r w:rsidR="00FC1C09">
        <w:rPr>
          <w:rFonts w:eastAsiaTheme="minorHAnsi" w:cs="Arial"/>
          <w:color w:val="000000"/>
          <w:szCs w:val="20"/>
        </w:rPr>
        <w:t xml:space="preserve">both </w:t>
      </w:r>
      <w:r w:rsidRPr="00A67C14">
        <w:rPr>
          <w:rFonts w:eastAsiaTheme="minorHAnsi" w:cs="Arial"/>
          <w:color w:val="000000"/>
          <w:szCs w:val="20"/>
        </w:rPr>
        <w:t xml:space="preserve">patient </w:t>
      </w:r>
      <w:r w:rsidR="00A305C8">
        <w:rPr>
          <w:rFonts w:eastAsiaTheme="minorHAnsi" w:cs="Arial"/>
          <w:color w:val="000000"/>
          <w:szCs w:val="20"/>
        </w:rPr>
        <w:t xml:space="preserve">–specific factors </w:t>
      </w:r>
      <w:r w:rsidRPr="00A67C14">
        <w:rPr>
          <w:rFonts w:eastAsiaTheme="minorHAnsi" w:cs="Arial"/>
          <w:color w:val="000000"/>
          <w:szCs w:val="20"/>
        </w:rPr>
        <w:t xml:space="preserve">and the </w:t>
      </w:r>
      <w:proofErr w:type="spellStart"/>
      <w:r w:rsidR="00260041">
        <w:rPr>
          <w:rFonts w:eastAsiaTheme="minorHAnsi" w:cs="Arial"/>
          <w:color w:val="000000"/>
          <w:szCs w:val="20"/>
        </w:rPr>
        <w:t>physico</w:t>
      </w:r>
      <w:proofErr w:type="spellEnd"/>
      <w:r w:rsidR="00557267">
        <w:rPr>
          <w:rFonts w:eastAsiaTheme="minorHAnsi" w:cs="Arial"/>
          <w:color w:val="000000"/>
          <w:szCs w:val="20"/>
        </w:rPr>
        <w:t>-</w:t>
      </w:r>
      <w:r w:rsidRPr="00A67C14">
        <w:rPr>
          <w:rFonts w:eastAsiaTheme="minorHAnsi" w:cs="Arial"/>
          <w:color w:val="000000"/>
          <w:szCs w:val="20"/>
        </w:rPr>
        <w:t xml:space="preserve">chemical properties of the </w:t>
      </w:r>
      <w:r w:rsidR="00260041">
        <w:rPr>
          <w:rFonts w:eastAsiaTheme="minorHAnsi" w:cs="Arial"/>
          <w:color w:val="000000"/>
          <w:szCs w:val="20"/>
        </w:rPr>
        <w:t>drug</w:t>
      </w:r>
      <w:r w:rsidRPr="00A67C14">
        <w:rPr>
          <w:rFonts w:eastAsiaTheme="minorHAnsi" w:cs="Arial"/>
          <w:color w:val="000000"/>
          <w:szCs w:val="20"/>
        </w:rPr>
        <w:t xml:space="preserve">. </w:t>
      </w:r>
    </w:p>
    <w:p w14:paraId="756BCED0" w14:textId="12A90288" w:rsidR="00A67C14" w:rsidRPr="00A67C14" w:rsidRDefault="000B553D" w:rsidP="00527249">
      <w:pPr>
        <w:pStyle w:val="ListParagraph"/>
        <w:numPr>
          <w:ilvl w:val="0"/>
          <w:numId w:val="17"/>
        </w:numPr>
        <w:autoSpaceDE w:val="0"/>
        <w:autoSpaceDN w:val="0"/>
        <w:adjustRightInd w:val="0"/>
        <w:spacing w:after="0"/>
        <w:ind w:left="714" w:hanging="357"/>
        <w:rPr>
          <w:rFonts w:eastAsiaTheme="minorHAnsi" w:cs="Arial"/>
          <w:color w:val="000000"/>
          <w:szCs w:val="20"/>
        </w:rPr>
      </w:pPr>
      <w:r>
        <w:rPr>
          <w:rFonts w:eastAsiaTheme="minorHAnsi" w:cs="Arial"/>
          <w:color w:val="000000"/>
          <w:szCs w:val="20"/>
        </w:rPr>
        <w:t xml:space="preserve">There </w:t>
      </w:r>
      <w:proofErr w:type="gramStart"/>
      <w:r w:rsidR="00F828F1">
        <w:rPr>
          <w:rFonts w:eastAsiaTheme="minorHAnsi" w:cs="Arial"/>
          <w:color w:val="000000"/>
          <w:szCs w:val="20"/>
        </w:rPr>
        <w:t>are</w:t>
      </w:r>
      <w:proofErr w:type="gramEnd"/>
      <w:r>
        <w:rPr>
          <w:rFonts w:eastAsiaTheme="minorHAnsi" w:cs="Arial"/>
          <w:color w:val="000000"/>
          <w:szCs w:val="20"/>
        </w:rPr>
        <w:t xml:space="preserve"> a lack of pharmacokinetic data</w:t>
      </w:r>
      <w:r w:rsidR="00E11371">
        <w:rPr>
          <w:rFonts w:eastAsiaTheme="minorHAnsi" w:cs="Arial"/>
          <w:color w:val="000000"/>
          <w:szCs w:val="20"/>
        </w:rPr>
        <w:t xml:space="preserve"> </w:t>
      </w:r>
      <w:r w:rsidR="00E8410C">
        <w:rPr>
          <w:rFonts w:eastAsiaTheme="minorHAnsi" w:cs="Arial"/>
          <w:color w:val="000000"/>
          <w:szCs w:val="20"/>
        </w:rPr>
        <w:t>on the use of commonly used drugs in obese children</w:t>
      </w:r>
      <w:r w:rsidR="00181F96">
        <w:rPr>
          <w:rFonts w:eastAsiaTheme="minorHAnsi" w:cs="Arial"/>
          <w:color w:val="000000"/>
          <w:szCs w:val="20"/>
        </w:rPr>
        <w:t xml:space="preserve">, therefore knowledge of </w:t>
      </w:r>
      <w:r w:rsidR="009562A6">
        <w:rPr>
          <w:rFonts w:eastAsiaTheme="minorHAnsi" w:cs="Arial"/>
          <w:color w:val="000000"/>
          <w:szCs w:val="20"/>
        </w:rPr>
        <w:t>which</w:t>
      </w:r>
      <w:r>
        <w:rPr>
          <w:rFonts w:eastAsiaTheme="minorHAnsi" w:cs="Arial"/>
          <w:color w:val="000000"/>
          <w:szCs w:val="20"/>
        </w:rPr>
        <w:t xml:space="preserve"> size descriptor</w:t>
      </w:r>
      <w:r w:rsidR="009562A6">
        <w:rPr>
          <w:rFonts w:eastAsiaTheme="minorHAnsi" w:cs="Arial"/>
          <w:color w:val="000000"/>
          <w:szCs w:val="20"/>
        </w:rPr>
        <w:t xml:space="preserve"> to use in determining the optimum dose for this group of patients</w:t>
      </w:r>
      <w:r w:rsidR="00181F96">
        <w:rPr>
          <w:rFonts w:eastAsiaTheme="minorHAnsi" w:cs="Arial"/>
          <w:color w:val="000000"/>
          <w:szCs w:val="20"/>
        </w:rPr>
        <w:t xml:space="preserve"> is limited. </w:t>
      </w:r>
    </w:p>
    <w:p w14:paraId="0F253E1F" w14:textId="06B0B77C" w:rsidR="00A9248F" w:rsidRDefault="00A9248F" w:rsidP="00527249">
      <w:pPr>
        <w:pStyle w:val="ListParagraph"/>
        <w:numPr>
          <w:ilvl w:val="0"/>
          <w:numId w:val="17"/>
        </w:numPr>
        <w:ind w:left="714" w:hanging="357"/>
        <w:rPr>
          <w:lang w:val="en-US"/>
        </w:rPr>
      </w:pPr>
      <w:r>
        <w:rPr>
          <w:lang w:val="en-US"/>
        </w:rPr>
        <w:t xml:space="preserve">Drug-dosing guidelines </w:t>
      </w:r>
      <w:r w:rsidR="00260041">
        <w:rPr>
          <w:lang w:val="en-US"/>
        </w:rPr>
        <w:t xml:space="preserve">are </w:t>
      </w:r>
      <w:r>
        <w:rPr>
          <w:lang w:val="en-US"/>
        </w:rPr>
        <w:t>typically derived from available data in adults</w:t>
      </w:r>
      <w:r w:rsidR="009B5F4E">
        <w:rPr>
          <w:lang w:val="en-US"/>
        </w:rPr>
        <w:t xml:space="preserve"> who are obese</w:t>
      </w:r>
      <w:r>
        <w:rPr>
          <w:lang w:val="en-US"/>
        </w:rPr>
        <w:t xml:space="preserve">. </w:t>
      </w:r>
    </w:p>
    <w:p w14:paraId="6C58EA45" w14:textId="7153B45D" w:rsidR="00D6680A" w:rsidRPr="00A1261C" w:rsidRDefault="00260041" w:rsidP="00527249">
      <w:pPr>
        <w:pStyle w:val="ListParagraph"/>
        <w:numPr>
          <w:ilvl w:val="0"/>
          <w:numId w:val="17"/>
        </w:numPr>
        <w:ind w:left="714" w:hanging="357"/>
        <w:rPr>
          <w:lang w:val="en-US"/>
        </w:rPr>
      </w:pPr>
      <w:r>
        <w:rPr>
          <w:rFonts w:cs="Arial"/>
          <w:lang w:val="en-US"/>
        </w:rPr>
        <w:t>H</w:t>
      </w:r>
      <w:r w:rsidR="00D6680A">
        <w:rPr>
          <w:rFonts w:cs="Arial"/>
          <w:lang w:val="en-US"/>
        </w:rPr>
        <w:t xml:space="preserve">eight measurements </w:t>
      </w:r>
      <w:r>
        <w:rPr>
          <w:rFonts w:cs="Arial"/>
          <w:lang w:val="en-US"/>
        </w:rPr>
        <w:t xml:space="preserve">are needed on admission to hospital to identify obesity and to calculate doses based on the appropriate size descriptor. </w:t>
      </w:r>
    </w:p>
    <w:p w14:paraId="35BFE13B" w14:textId="78D2D998" w:rsidR="00355BA4" w:rsidRPr="00070903" w:rsidRDefault="005638C5" w:rsidP="00527249">
      <w:pPr>
        <w:pStyle w:val="ListParagraph"/>
        <w:numPr>
          <w:ilvl w:val="0"/>
          <w:numId w:val="17"/>
        </w:numPr>
        <w:ind w:left="714" w:hanging="357"/>
        <w:rPr>
          <w:lang w:val="en-US"/>
        </w:rPr>
      </w:pPr>
      <w:r>
        <w:rPr>
          <w:rFonts w:cs="Arial"/>
          <w:lang w:val="en-US"/>
        </w:rPr>
        <w:t>Evidence-based, l</w:t>
      </w:r>
      <w:r w:rsidR="00355BA4">
        <w:rPr>
          <w:rFonts w:cs="Arial"/>
          <w:lang w:val="en-US"/>
        </w:rPr>
        <w:t xml:space="preserve">ocally agreed </w:t>
      </w:r>
      <w:r w:rsidR="000B553D">
        <w:rPr>
          <w:rFonts w:cs="Arial"/>
          <w:lang w:val="en-US"/>
        </w:rPr>
        <w:t xml:space="preserve">guidance </w:t>
      </w:r>
      <w:r>
        <w:rPr>
          <w:rFonts w:cs="Arial"/>
          <w:lang w:val="en-US"/>
        </w:rPr>
        <w:t>is</w:t>
      </w:r>
      <w:r w:rsidR="000B553D">
        <w:rPr>
          <w:rFonts w:cs="Arial"/>
          <w:lang w:val="en-US"/>
        </w:rPr>
        <w:t xml:space="preserve"> required </w:t>
      </w:r>
      <w:r w:rsidR="00C95F4F">
        <w:rPr>
          <w:rFonts w:cs="Arial"/>
          <w:lang w:val="en-US"/>
        </w:rPr>
        <w:t xml:space="preserve">indicating which method </w:t>
      </w:r>
      <w:r w:rsidR="0071280A">
        <w:rPr>
          <w:rFonts w:cs="Arial"/>
          <w:lang w:val="en-US"/>
        </w:rPr>
        <w:t>to use</w:t>
      </w:r>
      <w:r w:rsidR="00C95F4F">
        <w:rPr>
          <w:rFonts w:cs="Arial"/>
          <w:lang w:val="en-US"/>
        </w:rPr>
        <w:t xml:space="preserve"> </w:t>
      </w:r>
      <w:r w:rsidR="0071280A">
        <w:rPr>
          <w:rFonts w:cs="Arial"/>
          <w:lang w:val="en-US"/>
        </w:rPr>
        <w:t>for IBW calculation</w:t>
      </w:r>
      <w:r w:rsidR="00C95F4F">
        <w:rPr>
          <w:rFonts w:cs="Arial"/>
          <w:lang w:val="en-US"/>
        </w:rPr>
        <w:t xml:space="preserve"> and which </w:t>
      </w:r>
      <w:r w:rsidR="00355BA4">
        <w:rPr>
          <w:rFonts w:cs="Arial"/>
          <w:lang w:val="en-US"/>
        </w:rPr>
        <w:t>size de</w:t>
      </w:r>
      <w:r w:rsidR="00260041">
        <w:rPr>
          <w:rFonts w:cs="Arial"/>
          <w:lang w:val="en-US"/>
        </w:rPr>
        <w:t xml:space="preserve">scriptor to use for </w:t>
      </w:r>
      <w:r w:rsidR="0071280A">
        <w:rPr>
          <w:rFonts w:cs="Arial"/>
          <w:lang w:val="en-US"/>
        </w:rPr>
        <w:t xml:space="preserve">commonly used </w:t>
      </w:r>
      <w:r w:rsidR="00260041">
        <w:rPr>
          <w:rFonts w:cs="Arial"/>
          <w:lang w:val="en-US"/>
        </w:rPr>
        <w:t>drug</w:t>
      </w:r>
      <w:r w:rsidR="0071280A">
        <w:rPr>
          <w:rFonts w:cs="Arial"/>
          <w:lang w:val="en-US"/>
        </w:rPr>
        <w:t>s in children</w:t>
      </w:r>
      <w:r>
        <w:rPr>
          <w:rFonts w:cs="Arial"/>
          <w:lang w:val="en-US"/>
        </w:rPr>
        <w:t xml:space="preserve"> to </w:t>
      </w:r>
      <w:r w:rsidR="005A6747">
        <w:rPr>
          <w:rFonts w:cs="Arial"/>
          <w:lang w:val="en-US"/>
        </w:rPr>
        <w:t xml:space="preserve">reduce variability and </w:t>
      </w:r>
      <w:r>
        <w:rPr>
          <w:rFonts w:cs="Arial"/>
          <w:lang w:val="en-US"/>
        </w:rPr>
        <w:t xml:space="preserve">ensure </w:t>
      </w:r>
      <w:r w:rsidR="003F1B9C">
        <w:rPr>
          <w:rFonts w:cs="Arial"/>
          <w:lang w:val="en-US"/>
        </w:rPr>
        <w:t xml:space="preserve">optimal </w:t>
      </w:r>
      <w:r>
        <w:rPr>
          <w:rFonts w:cs="Arial"/>
          <w:lang w:val="en-US"/>
        </w:rPr>
        <w:t>effectiveness and safety</w:t>
      </w:r>
      <w:r w:rsidR="00260041">
        <w:rPr>
          <w:rFonts w:cs="Arial"/>
          <w:lang w:val="en-US"/>
        </w:rPr>
        <w:t xml:space="preserve">. </w:t>
      </w:r>
    </w:p>
    <w:p w14:paraId="0455B659" w14:textId="2E88C58A" w:rsidR="00070903" w:rsidRPr="00944861" w:rsidRDefault="00070903" w:rsidP="00527249">
      <w:pPr>
        <w:pStyle w:val="ListParagraph"/>
        <w:numPr>
          <w:ilvl w:val="0"/>
          <w:numId w:val="17"/>
        </w:numPr>
        <w:ind w:left="714" w:hanging="357"/>
        <w:rPr>
          <w:lang w:val="en-US"/>
        </w:rPr>
      </w:pPr>
      <w:r>
        <w:rPr>
          <w:rFonts w:cs="Arial"/>
          <w:lang w:val="en-US"/>
        </w:rPr>
        <w:t>Although this information is provided to guide prescribers on dosing, each patient is individual and they should be</w:t>
      </w:r>
      <w:r w:rsidR="00CC47F4">
        <w:rPr>
          <w:rFonts w:cs="Arial"/>
          <w:lang w:val="en-US"/>
        </w:rPr>
        <w:t xml:space="preserve"> clinically</w:t>
      </w:r>
      <w:r>
        <w:rPr>
          <w:rFonts w:cs="Arial"/>
          <w:lang w:val="en-US"/>
        </w:rPr>
        <w:t xml:space="preserve"> monitored </w:t>
      </w:r>
      <w:r w:rsidR="00CC47F4">
        <w:rPr>
          <w:rFonts w:cs="Arial"/>
          <w:lang w:val="en-US"/>
        </w:rPr>
        <w:t>and regularly reviewed for side effects (</w:t>
      </w:r>
      <w:r>
        <w:rPr>
          <w:rFonts w:cs="Arial"/>
          <w:lang w:val="en-US"/>
        </w:rPr>
        <w:t>safety</w:t>
      </w:r>
      <w:r w:rsidR="00CC47F4">
        <w:rPr>
          <w:rFonts w:cs="Arial"/>
          <w:lang w:val="en-US"/>
        </w:rPr>
        <w:t>)</w:t>
      </w:r>
      <w:r>
        <w:rPr>
          <w:rFonts w:cs="Arial"/>
          <w:lang w:val="en-US"/>
        </w:rPr>
        <w:t xml:space="preserve"> and</w:t>
      </w:r>
      <w:r w:rsidR="00CC47F4">
        <w:rPr>
          <w:rFonts w:cs="Arial"/>
          <w:lang w:val="en-US"/>
        </w:rPr>
        <w:t xml:space="preserve"> treatment response (</w:t>
      </w:r>
      <w:r>
        <w:rPr>
          <w:rFonts w:cs="Arial"/>
          <w:lang w:val="en-US"/>
        </w:rPr>
        <w:t>efficacy</w:t>
      </w:r>
      <w:r w:rsidR="00CC47F4">
        <w:rPr>
          <w:rFonts w:cs="Arial"/>
          <w:lang w:val="en-US"/>
        </w:rPr>
        <w:t>)</w:t>
      </w:r>
      <w:r>
        <w:rPr>
          <w:rFonts w:cs="Arial"/>
          <w:lang w:val="en-US"/>
        </w:rPr>
        <w:t>.</w:t>
      </w:r>
    </w:p>
    <w:p w14:paraId="74F85406" w14:textId="75BC6429" w:rsidR="00944861" w:rsidRPr="00D6680A" w:rsidRDefault="00944861" w:rsidP="00527249">
      <w:pPr>
        <w:pStyle w:val="ListParagraph"/>
        <w:numPr>
          <w:ilvl w:val="0"/>
          <w:numId w:val="17"/>
        </w:numPr>
        <w:ind w:left="714" w:hanging="357"/>
        <w:rPr>
          <w:lang w:val="en-US"/>
        </w:rPr>
      </w:pPr>
      <w:r>
        <w:t>In an emergency setting, actual body weight (or estimated body weight) may be used to prevent delay of treatment</w:t>
      </w:r>
    </w:p>
    <w:p w14:paraId="37C29EA6" w14:textId="77777777" w:rsidR="00FA1E95" w:rsidRDefault="00427F92" w:rsidP="00F57690">
      <w:pPr>
        <w:spacing w:after="0" w:line="240" w:lineRule="auto"/>
        <w:rPr>
          <w:szCs w:val="20"/>
        </w:rPr>
      </w:pPr>
      <w:r w:rsidRPr="00B1695F">
        <w:rPr>
          <w:rStyle w:val="Heading3Char"/>
          <w:rFonts w:eastAsia="Calibri"/>
        </w:rPr>
        <w:t>Limitations</w:t>
      </w:r>
      <w:r w:rsidRPr="00B00B12">
        <w:rPr>
          <w:rFonts w:eastAsia="Times New Roman" w:cs="Arial"/>
          <w:b/>
          <w:color w:val="0000FF"/>
          <w:szCs w:val="20"/>
          <w:lang w:val="en-US"/>
        </w:rPr>
        <w:br/>
      </w:r>
    </w:p>
    <w:p w14:paraId="3571CFA5" w14:textId="07E89F8D" w:rsidR="00FA1E95" w:rsidRPr="00FA1E95" w:rsidRDefault="00FA1E95" w:rsidP="00527249">
      <w:pPr>
        <w:pStyle w:val="ListParagraph"/>
        <w:numPr>
          <w:ilvl w:val="0"/>
          <w:numId w:val="19"/>
        </w:numPr>
        <w:ind w:left="714" w:hanging="357"/>
      </w:pPr>
      <w:r>
        <w:rPr>
          <w:szCs w:val="20"/>
        </w:rPr>
        <w:t>T</w:t>
      </w:r>
      <w:r w:rsidR="00EB5E46" w:rsidRPr="00FA1E95">
        <w:rPr>
          <w:szCs w:val="20"/>
        </w:rPr>
        <w:t>he</w:t>
      </w:r>
      <w:r w:rsidR="00F872AA" w:rsidRPr="00FA1E95">
        <w:rPr>
          <w:szCs w:val="20"/>
        </w:rPr>
        <w:t xml:space="preserve"> </w:t>
      </w:r>
      <w:r w:rsidR="00EB5E46" w:rsidRPr="00FA1E95">
        <w:rPr>
          <w:szCs w:val="20"/>
        </w:rPr>
        <w:t>information in this Q&amp;A is based on</w:t>
      </w:r>
      <w:r w:rsidR="008E744D">
        <w:rPr>
          <w:szCs w:val="20"/>
        </w:rPr>
        <w:t xml:space="preserve"> very</w:t>
      </w:r>
      <w:r w:rsidR="00EB5E46" w:rsidRPr="00FA1E95">
        <w:rPr>
          <w:szCs w:val="20"/>
        </w:rPr>
        <w:t xml:space="preserve"> limited evidence</w:t>
      </w:r>
      <w:r w:rsidR="00F872AA" w:rsidRPr="00FA1E95">
        <w:rPr>
          <w:szCs w:val="20"/>
        </w:rPr>
        <w:t xml:space="preserve"> therefore further studies are needed before definite recommendations can be made</w:t>
      </w:r>
      <w:r w:rsidR="00EB5E46" w:rsidRPr="00FA1E95">
        <w:rPr>
          <w:szCs w:val="20"/>
        </w:rPr>
        <w:t xml:space="preserve">. </w:t>
      </w:r>
    </w:p>
    <w:p w14:paraId="1D27FB2D" w14:textId="447BD68E" w:rsidR="00FA1E95" w:rsidRPr="00FA1E95" w:rsidRDefault="00FA1E95" w:rsidP="00527249">
      <w:pPr>
        <w:pStyle w:val="ListParagraph"/>
        <w:numPr>
          <w:ilvl w:val="0"/>
          <w:numId w:val="19"/>
        </w:numPr>
        <w:ind w:left="714" w:hanging="357"/>
      </w:pPr>
      <w:r>
        <w:rPr>
          <w:szCs w:val="20"/>
        </w:rPr>
        <w:t>There are no data for most drugs in children</w:t>
      </w:r>
      <w:r w:rsidR="009B5F4E">
        <w:rPr>
          <w:szCs w:val="20"/>
        </w:rPr>
        <w:t xml:space="preserve"> who are obese</w:t>
      </w:r>
      <w:r>
        <w:rPr>
          <w:szCs w:val="20"/>
        </w:rPr>
        <w:t xml:space="preserve">. </w:t>
      </w:r>
    </w:p>
    <w:p w14:paraId="2FA70E23" w14:textId="5DE2DC80" w:rsidR="00FA1E95" w:rsidRPr="00FA1E95" w:rsidRDefault="00EB5E46" w:rsidP="00527249">
      <w:pPr>
        <w:pStyle w:val="ListParagraph"/>
        <w:numPr>
          <w:ilvl w:val="0"/>
          <w:numId w:val="19"/>
        </w:numPr>
        <w:ind w:left="714" w:hanging="357"/>
      </w:pPr>
      <w:r w:rsidRPr="00FA1E95">
        <w:rPr>
          <w:szCs w:val="20"/>
        </w:rPr>
        <w:t xml:space="preserve">Absence of a drug from Table </w:t>
      </w:r>
      <w:r w:rsidR="009A0914">
        <w:rPr>
          <w:szCs w:val="20"/>
        </w:rPr>
        <w:t>2</w:t>
      </w:r>
      <w:r w:rsidR="009A0914" w:rsidRPr="00FA1E95">
        <w:rPr>
          <w:szCs w:val="20"/>
        </w:rPr>
        <w:t xml:space="preserve"> </w:t>
      </w:r>
      <w:r w:rsidRPr="00FA1E95">
        <w:rPr>
          <w:szCs w:val="20"/>
        </w:rPr>
        <w:t xml:space="preserve">does not imply that no dose adjustment is necessary </w:t>
      </w:r>
      <w:r w:rsidR="00FA1E95">
        <w:rPr>
          <w:szCs w:val="20"/>
        </w:rPr>
        <w:t>in children</w:t>
      </w:r>
      <w:r w:rsidR="009B5F4E">
        <w:rPr>
          <w:szCs w:val="20"/>
        </w:rPr>
        <w:t xml:space="preserve"> who are obese</w:t>
      </w:r>
      <w:r w:rsidRPr="00FA1E95">
        <w:rPr>
          <w:szCs w:val="20"/>
        </w:rPr>
        <w:t xml:space="preserve">. </w:t>
      </w:r>
    </w:p>
    <w:p w14:paraId="7270A605" w14:textId="77777777" w:rsidR="00894538" w:rsidRPr="00894538" w:rsidRDefault="00EB5E46" w:rsidP="00894538">
      <w:pPr>
        <w:pStyle w:val="ListParagraph"/>
        <w:numPr>
          <w:ilvl w:val="0"/>
          <w:numId w:val="19"/>
        </w:numPr>
        <w:ind w:left="714" w:hanging="357"/>
        <w:rPr>
          <w:lang w:val="en-US"/>
        </w:rPr>
      </w:pPr>
      <w:r w:rsidRPr="00FA1E95">
        <w:rPr>
          <w:szCs w:val="20"/>
        </w:rPr>
        <w:t xml:space="preserve">A detailed discussion of the effect of obesity on the pharmacokinetics of drugs is beyond the scope of this Q&amp;A. </w:t>
      </w:r>
    </w:p>
    <w:p w14:paraId="6D8689A7" w14:textId="05E45BBD" w:rsidR="00894538" w:rsidRPr="00894538" w:rsidRDefault="00EB5E46" w:rsidP="00894538">
      <w:pPr>
        <w:pStyle w:val="ListParagraph"/>
        <w:numPr>
          <w:ilvl w:val="0"/>
          <w:numId w:val="19"/>
        </w:numPr>
        <w:ind w:left="714" w:hanging="357"/>
        <w:rPr>
          <w:lang w:val="en-US"/>
        </w:rPr>
      </w:pPr>
      <w:r w:rsidRPr="00FA1E95">
        <w:rPr>
          <w:szCs w:val="20"/>
        </w:rPr>
        <w:t xml:space="preserve">This Q&amp;A is intended for paediatric patients only. </w:t>
      </w:r>
      <w:r w:rsidR="0090156C">
        <w:rPr>
          <w:szCs w:val="20"/>
        </w:rPr>
        <w:t>Information is not applicable for children under the age of 2.</w:t>
      </w:r>
      <w:r w:rsidR="00B87895" w:rsidRPr="00D3565D">
        <w:rPr>
          <w:szCs w:val="20"/>
        </w:rPr>
        <w:br/>
      </w:r>
    </w:p>
    <w:p w14:paraId="32DE8AC4" w14:textId="5D5BB16B" w:rsidR="00F57690" w:rsidRPr="00B00B12" w:rsidRDefault="00F57690" w:rsidP="00F57690">
      <w:pPr>
        <w:pStyle w:val="Heading3"/>
        <w:rPr>
          <w:lang w:val="en-US"/>
        </w:rPr>
      </w:pPr>
      <w:r w:rsidRPr="00B00B12">
        <w:rPr>
          <w:lang w:val="en-US"/>
        </w:rPr>
        <w:t>References</w:t>
      </w:r>
    </w:p>
    <w:p w14:paraId="5C55F37E" w14:textId="77777777" w:rsidR="00C87143" w:rsidRDefault="00C87143" w:rsidP="00C87143">
      <w:pPr>
        <w:pStyle w:val="ListParagraph"/>
        <w:numPr>
          <w:ilvl w:val="0"/>
          <w:numId w:val="18"/>
        </w:numPr>
        <w:rPr>
          <w:rFonts w:cs="Arial"/>
        </w:rPr>
      </w:pPr>
      <w:r>
        <w:rPr>
          <w:rFonts w:cs="Arial"/>
        </w:rPr>
        <w:t xml:space="preserve">Collier H, Nasim M, Gandhi A. Prescribing in obese children: how good are paediatricians? Arch Dis Child. 2017; 102(1): 61-62. </w:t>
      </w:r>
    </w:p>
    <w:p w14:paraId="686B19C3" w14:textId="1D44C603" w:rsidR="00C87143" w:rsidRPr="0068479A" w:rsidRDefault="00C87143" w:rsidP="00C87143">
      <w:pPr>
        <w:pStyle w:val="ListParagraph"/>
        <w:numPr>
          <w:ilvl w:val="0"/>
          <w:numId w:val="18"/>
        </w:numPr>
        <w:rPr>
          <w:rFonts w:cs="Arial"/>
        </w:rPr>
      </w:pPr>
      <w:r w:rsidRPr="00F672BD">
        <w:rPr>
          <w:rFonts w:cs="Arial"/>
        </w:rPr>
        <w:lastRenderedPageBreak/>
        <w:t>National Institute for Health and Care Excellence. Obesity: identification, assessment and management. November 20</w:t>
      </w:r>
      <w:r>
        <w:rPr>
          <w:rFonts w:cs="Arial"/>
        </w:rPr>
        <w:t>14. NICE Clinical Guideline 189 [accessed 09/05/18].</w:t>
      </w:r>
      <w:r w:rsidRPr="00F672BD">
        <w:rPr>
          <w:rFonts w:cs="Arial"/>
        </w:rPr>
        <w:t xml:space="preserve"> Available </w:t>
      </w:r>
      <w:r>
        <w:rPr>
          <w:rFonts w:cs="Arial"/>
        </w:rPr>
        <w:t>from:</w:t>
      </w:r>
      <w:r w:rsidRPr="00F672BD">
        <w:rPr>
          <w:rFonts w:cs="Arial"/>
        </w:rPr>
        <w:t xml:space="preserve"> </w:t>
      </w:r>
      <w:hyperlink r:id="rId16" w:history="1">
        <w:r w:rsidRPr="00BB5004">
          <w:rPr>
            <w:rStyle w:val="Hyperlink"/>
            <w:rFonts w:cs="Arial"/>
          </w:rPr>
          <w:t>https://www.nice.org.uk/guidance/cg189</w:t>
        </w:r>
      </w:hyperlink>
      <w:r>
        <w:rPr>
          <w:rStyle w:val="Hyperlink"/>
          <w:rFonts w:cs="Arial"/>
        </w:rPr>
        <w:t>.</w:t>
      </w:r>
      <w:r>
        <w:rPr>
          <w:rFonts w:cs="Arial"/>
          <w:color w:val="0000FF"/>
        </w:rPr>
        <w:t xml:space="preserve"> </w:t>
      </w:r>
    </w:p>
    <w:p w14:paraId="726D2E90" w14:textId="4972579B" w:rsidR="008A6523" w:rsidRPr="00F672BD" w:rsidRDefault="002E1302" w:rsidP="00C87143">
      <w:pPr>
        <w:pStyle w:val="ListParagraph"/>
        <w:numPr>
          <w:ilvl w:val="0"/>
          <w:numId w:val="18"/>
        </w:numPr>
        <w:rPr>
          <w:rFonts w:cs="Arial"/>
        </w:rPr>
      </w:pPr>
      <w:r>
        <w:t xml:space="preserve">Public Health England. </w:t>
      </w:r>
      <w:r w:rsidRPr="00D06D5C">
        <w:t>Prevalence of overweight and obesity</w:t>
      </w:r>
      <w:r>
        <w:t xml:space="preserve"> </w:t>
      </w:r>
      <w:r w:rsidRPr="00D06D5C">
        <w:t>Health Survey for England 2017 and 2018</w:t>
      </w:r>
      <w:r w:rsidR="00FD6AA6">
        <w:t xml:space="preserve"> [accessed 15/1/21]</w:t>
      </w:r>
      <w:r>
        <w:t xml:space="preserve">. Available at: </w:t>
      </w:r>
      <w:hyperlink r:id="rId17" w:history="1">
        <w:r>
          <w:rPr>
            <w:rStyle w:val="Hyperlink"/>
          </w:rPr>
          <w:t>https://digital.nhs.uk/data-and-information/publications/statistical/national-child-measurement-programme/2019-20-school-year/other-data-sources</w:t>
        </w:r>
      </w:hyperlink>
    </w:p>
    <w:p w14:paraId="6FC84ABE" w14:textId="77777777" w:rsidR="00C87143" w:rsidRDefault="00C87143" w:rsidP="00C87143">
      <w:pPr>
        <w:pStyle w:val="ListParagraph"/>
        <w:numPr>
          <w:ilvl w:val="0"/>
          <w:numId w:val="18"/>
        </w:numPr>
        <w:rPr>
          <w:rFonts w:cs="Arial"/>
        </w:rPr>
      </w:pPr>
      <w:r w:rsidRPr="00254B0E">
        <w:rPr>
          <w:rFonts w:cs="Arial"/>
        </w:rPr>
        <w:t xml:space="preserve">Paediatric Formulary Committee. BNF for Children (online). London: BMJ Group, Pharmaceutical Press, and RCPCH Publications [accessed </w:t>
      </w:r>
      <w:r>
        <w:rPr>
          <w:rFonts w:cs="Arial"/>
        </w:rPr>
        <w:t>09/05/18]</w:t>
      </w:r>
      <w:r w:rsidRPr="00254B0E">
        <w:rPr>
          <w:rFonts w:cs="Arial"/>
        </w:rPr>
        <w:t xml:space="preserve">. Available from: </w:t>
      </w:r>
      <w:hyperlink r:id="rId18" w:history="1">
        <w:r w:rsidRPr="00A2706F">
          <w:rPr>
            <w:rStyle w:val="Hyperlink"/>
            <w:rFonts w:cs="Arial"/>
          </w:rPr>
          <w:t>http://www.medicinescomplete.com</w:t>
        </w:r>
      </w:hyperlink>
      <w:r>
        <w:rPr>
          <w:rStyle w:val="Hyperlink"/>
          <w:rFonts w:cs="Arial"/>
        </w:rPr>
        <w:t>.</w:t>
      </w:r>
      <w:r>
        <w:rPr>
          <w:rFonts w:cs="Arial"/>
        </w:rPr>
        <w:t xml:space="preserve"> </w:t>
      </w:r>
    </w:p>
    <w:p w14:paraId="71E8535B" w14:textId="77777777" w:rsidR="00C87143" w:rsidRPr="00DB546A" w:rsidRDefault="00C87143" w:rsidP="00C87143">
      <w:pPr>
        <w:pStyle w:val="ListParagraph"/>
        <w:numPr>
          <w:ilvl w:val="0"/>
          <w:numId w:val="18"/>
        </w:numPr>
        <w:rPr>
          <w:rFonts w:cs="Arial"/>
        </w:rPr>
      </w:pPr>
      <w:r w:rsidRPr="00687FD4">
        <w:rPr>
          <w:rFonts w:cs="Arial"/>
        </w:rPr>
        <w:t xml:space="preserve">Callaghan LC. Prescribing in paediatric obesity: methods to improve dosing safety in weight-based dose calculations. Arch Dis Child </w:t>
      </w:r>
      <w:proofErr w:type="spellStart"/>
      <w:r w:rsidRPr="00687FD4">
        <w:rPr>
          <w:rFonts w:cs="Arial"/>
        </w:rPr>
        <w:t>Educ</w:t>
      </w:r>
      <w:proofErr w:type="spellEnd"/>
      <w:r w:rsidRPr="00687FD4">
        <w:rPr>
          <w:rFonts w:cs="Arial"/>
        </w:rPr>
        <w:t xml:space="preserve"> </w:t>
      </w:r>
      <w:proofErr w:type="spellStart"/>
      <w:r w:rsidRPr="00687FD4">
        <w:rPr>
          <w:rFonts w:cs="Arial"/>
        </w:rPr>
        <w:t>Prac</w:t>
      </w:r>
      <w:r>
        <w:rPr>
          <w:rFonts w:cs="Arial"/>
        </w:rPr>
        <w:t>t</w:t>
      </w:r>
      <w:proofErr w:type="spellEnd"/>
      <w:r w:rsidRPr="00687FD4">
        <w:rPr>
          <w:rFonts w:cs="Arial"/>
        </w:rPr>
        <w:t xml:space="preserve"> Ed. </w:t>
      </w:r>
      <w:proofErr w:type="spellStart"/>
      <w:r>
        <w:rPr>
          <w:rFonts w:cs="Arial"/>
        </w:rPr>
        <w:t>Epub</w:t>
      </w:r>
      <w:proofErr w:type="spellEnd"/>
      <w:r>
        <w:rPr>
          <w:rFonts w:cs="Arial"/>
        </w:rPr>
        <w:t xml:space="preserve"> ahead of print: 27 Jan 2018. doi:</w:t>
      </w:r>
      <w:r>
        <w:t>10.1136/archdischild-2016-311491.</w:t>
      </w:r>
      <w:r w:rsidRPr="00DB546A" w:rsidDel="00DB546A">
        <w:rPr>
          <w:rFonts w:cs="Arial"/>
        </w:rPr>
        <w:t xml:space="preserve"> </w:t>
      </w:r>
    </w:p>
    <w:p w14:paraId="78D2BF78" w14:textId="77777777" w:rsidR="00C87143" w:rsidRPr="00B442E8" w:rsidRDefault="00C87143" w:rsidP="00C87143">
      <w:pPr>
        <w:pStyle w:val="ListParagraph"/>
        <w:numPr>
          <w:ilvl w:val="0"/>
          <w:numId w:val="18"/>
        </w:numPr>
        <w:rPr>
          <w:rFonts w:cs="Arial"/>
        </w:rPr>
      </w:pPr>
      <w:r w:rsidRPr="00DB546A">
        <w:rPr>
          <w:rFonts w:cs="Arial"/>
        </w:rPr>
        <w:t>Mulla H, Johnson TN. Dosing dilemmas in obese ch</w:t>
      </w:r>
      <w:r w:rsidRPr="00B442E8">
        <w:rPr>
          <w:rFonts w:cs="Arial"/>
        </w:rPr>
        <w:t xml:space="preserve">ildren. Arch Dis Child </w:t>
      </w:r>
      <w:proofErr w:type="spellStart"/>
      <w:r w:rsidRPr="00B442E8">
        <w:rPr>
          <w:rFonts w:cs="Arial"/>
        </w:rPr>
        <w:t>Educ</w:t>
      </w:r>
      <w:proofErr w:type="spellEnd"/>
      <w:r w:rsidRPr="00B442E8">
        <w:rPr>
          <w:rFonts w:cs="Arial"/>
        </w:rPr>
        <w:t xml:space="preserve"> </w:t>
      </w:r>
      <w:proofErr w:type="spellStart"/>
      <w:r w:rsidRPr="00B442E8">
        <w:rPr>
          <w:rFonts w:cs="Arial"/>
        </w:rPr>
        <w:t>Pract</w:t>
      </w:r>
      <w:proofErr w:type="spellEnd"/>
      <w:r w:rsidRPr="00B442E8">
        <w:rPr>
          <w:rFonts w:cs="Arial"/>
        </w:rPr>
        <w:t xml:space="preserve"> Ed. 2010; 95: 112-117. </w:t>
      </w:r>
    </w:p>
    <w:p w14:paraId="480850B6" w14:textId="77777777" w:rsidR="00C87143" w:rsidRPr="00B442E8" w:rsidRDefault="00C87143" w:rsidP="00C87143">
      <w:pPr>
        <w:pStyle w:val="ListParagraph"/>
        <w:numPr>
          <w:ilvl w:val="0"/>
          <w:numId w:val="18"/>
        </w:numPr>
        <w:rPr>
          <w:rFonts w:cs="Arial"/>
        </w:rPr>
      </w:pPr>
      <w:r w:rsidRPr="00B442E8">
        <w:rPr>
          <w:rFonts w:cs="Arial"/>
        </w:rPr>
        <w:t xml:space="preserve">Kendrick JG, </w:t>
      </w:r>
      <w:proofErr w:type="spellStart"/>
      <w:r w:rsidRPr="00B442E8">
        <w:rPr>
          <w:rFonts w:cs="Arial"/>
        </w:rPr>
        <w:t>Carr</w:t>
      </w:r>
      <w:proofErr w:type="spellEnd"/>
      <w:r w:rsidRPr="00B442E8">
        <w:rPr>
          <w:rFonts w:cs="Arial"/>
        </w:rPr>
        <w:t xml:space="preserve"> RR, </w:t>
      </w:r>
      <w:proofErr w:type="spellStart"/>
      <w:r w:rsidRPr="00B442E8">
        <w:rPr>
          <w:rFonts w:cs="Arial"/>
        </w:rPr>
        <w:t>Ensom</w:t>
      </w:r>
      <w:proofErr w:type="spellEnd"/>
      <w:r w:rsidRPr="00B442E8">
        <w:rPr>
          <w:rFonts w:cs="Arial"/>
        </w:rPr>
        <w:t xml:space="preserve"> MH. </w:t>
      </w:r>
      <w:proofErr w:type="spellStart"/>
      <w:r w:rsidRPr="00B442E8">
        <w:rPr>
          <w:rFonts w:cs="Arial"/>
        </w:rPr>
        <w:t>Pediatric</w:t>
      </w:r>
      <w:proofErr w:type="spellEnd"/>
      <w:r w:rsidRPr="00B442E8">
        <w:rPr>
          <w:rFonts w:cs="Arial"/>
        </w:rPr>
        <w:t xml:space="preserve"> Obesity: Pharmacokinetics and implic</w:t>
      </w:r>
      <w:r>
        <w:rPr>
          <w:rFonts w:cs="Arial"/>
        </w:rPr>
        <w:t xml:space="preserve">ations for drug dosing. Clin </w:t>
      </w:r>
      <w:proofErr w:type="spellStart"/>
      <w:r>
        <w:rPr>
          <w:rFonts w:cs="Arial"/>
        </w:rPr>
        <w:t>Ther</w:t>
      </w:r>
      <w:proofErr w:type="spellEnd"/>
      <w:r>
        <w:rPr>
          <w:rFonts w:cs="Arial"/>
        </w:rPr>
        <w:t>. 2015; 37(9): 1897-</w:t>
      </w:r>
      <w:r w:rsidRPr="00B442E8">
        <w:rPr>
          <w:rFonts w:cs="Arial"/>
        </w:rPr>
        <w:t xml:space="preserve">923. </w:t>
      </w:r>
    </w:p>
    <w:p w14:paraId="020D222C" w14:textId="77777777" w:rsidR="00C87143" w:rsidRPr="006929A0" w:rsidRDefault="00C87143" w:rsidP="00C87143">
      <w:pPr>
        <w:pStyle w:val="ListParagraph"/>
        <w:numPr>
          <w:ilvl w:val="0"/>
          <w:numId w:val="18"/>
        </w:numPr>
        <w:rPr>
          <w:rFonts w:cs="Arial"/>
        </w:rPr>
      </w:pPr>
      <w:r w:rsidRPr="006929A0">
        <w:rPr>
          <w:rFonts w:cs="Arial"/>
        </w:rPr>
        <w:t xml:space="preserve">Natale S, Bradley J, Nguyen WH, et al. </w:t>
      </w:r>
      <w:proofErr w:type="spellStart"/>
      <w:r w:rsidRPr="006929A0">
        <w:rPr>
          <w:rFonts w:cs="Arial"/>
        </w:rPr>
        <w:t>Pediatric</w:t>
      </w:r>
      <w:proofErr w:type="spellEnd"/>
      <w:r w:rsidRPr="006929A0">
        <w:rPr>
          <w:rFonts w:cs="Arial"/>
        </w:rPr>
        <w:t xml:space="preserve"> Obesity: Pharmacokinetic Alterations and Effects on Antimicrobial Dosing. Pharmacotherapy. 2017; 37: 361–378</w:t>
      </w:r>
      <w:r>
        <w:rPr>
          <w:rFonts w:cs="Arial"/>
        </w:rPr>
        <w:t>.</w:t>
      </w:r>
    </w:p>
    <w:p w14:paraId="4CE4B379" w14:textId="77777777" w:rsidR="00C87143" w:rsidRPr="006929A0" w:rsidRDefault="00C87143" w:rsidP="00C87143">
      <w:pPr>
        <w:pStyle w:val="ListParagraph"/>
        <w:numPr>
          <w:ilvl w:val="0"/>
          <w:numId w:val="18"/>
        </w:numPr>
        <w:rPr>
          <w:rFonts w:cs="Arial"/>
        </w:rPr>
      </w:pPr>
      <w:r w:rsidRPr="006929A0">
        <w:rPr>
          <w:rFonts w:cs="Arial"/>
        </w:rPr>
        <w:t>Burke CN, Voepel-Lewis T, Wagner D, et al. A retrospective description of anaesthetic medication dosing in overweight and obese children</w:t>
      </w:r>
      <w:r>
        <w:rPr>
          <w:rFonts w:cs="Arial"/>
        </w:rPr>
        <w:t>.</w:t>
      </w:r>
      <w:r w:rsidRPr="00E62A89">
        <w:t xml:space="preserve"> </w:t>
      </w:r>
      <w:proofErr w:type="spellStart"/>
      <w:r w:rsidRPr="00E62A89">
        <w:rPr>
          <w:rFonts w:cs="Arial"/>
        </w:rPr>
        <w:t>Paediatr</w:t>
      </w:r>
      <w:proofErr w:type="spellEnd"/>
      <w:r w:rsidRPr="00E62A89">
        <w:rPr>
          <w:rFonts w:cs="Arial"/>
        </w:rPr>
        <w:t xml:space="preserve"> </w:t>
      </w:r>
      <w:proofErr w:type="spellStart"/>
      <w:r w:rsidRPr="00E62A89">
        <w:rPr>
          <w:rFonts w:cs="Arial"/>
        </w:rPr>
        <w:t>Anaesth</w:t>
      </w:r>
      <w:proofErr w:type="spellEnd"/>
      <w:r w:rsidRPr="006929A0">
        <w:rPr>
          <w:rFonts w:cs="Arial"/>
        </w:rPr>
        <w:t>. 2014; 24</w:t>
      </w:r>
      <w:r>
        <w:rPr>
          <w:rFonts w:cs="Arial"/>
        </w:rPr>
        <w:t>(8): 857-</w:t>
      </w:r>
      <w:r w:rsidRPr="006929A0">
        <w:rPr>
          <w:rFonts w:cs="Arial"/>
        </w:rPr>
        <w:t>62.</w:t>
      </w:r>
    </w:p>
    <w:p w14:paraId="7CC5F95B" w14:textId="77777777" w:rsidR="00C87143" w:rsidRPr="006929A0" w:rsidRDefault="00C87143" w:rsidP="00C87143">
      <w:pPr>
        <w:pStyle w:val="ListParagraph"/>
        <w:numPr>
          <w:ilvl w:val="0"/>
          <w:numId w:val="18"/>
        </w:numPr>
        <w:rPr>
          <w:rFonts w:cs="Arial"/>
        </w:rPr>
      </w:pPr>
      <w:r w:rsidRPr="006929A0">
        <w:rPr>
          <w:rFonts w:cs="Arial"/>
        </w:rPr>
        <w:t xml:space="preserve">Bourne K, Russel H. Drug Dose Adjustments in Obese Patients. Hospital Guideline. Sheffield Children’s NHS Foundation Trust. June 2014, reviewed April 2017. </w:t>
      </w:r>
    </w:p>
    <w:p w14:paraId="51FC0514" w14:textId="77777777" w:rsidR="00C87143" w:rsidRPr="00611EE9" w:rsidRDefault="00C87143" w:rsidP="00C87143">
      <w:pPr>
        <w:pStyle w:val="ListParagraph"/>
        <w:numPr>
          <w:ilvl w:val="0"/>
          <w:numId w:val="18"/>
        </w:numPr>
        <w:rPr>
          <w:rFonts w:cs="Arial"/>
        </w:rPr>
      </w:pPr>
      <w:r>
        <w:rPr>
          <w:rFonts w:cs="Arial"/>
        </w:rPr>
        <w:t>Wells JC</w:t>
      </w:r>
      <w:r w:rsidRPr="00611EE9">
        <w:rPr>
          <w:rFonts w:cs="Arial"/>
        </w:rPr>
        <w:t xml:space="preserve">, </w:t>
      </w:r>
      <w:proofErr w:type="spellStart"/>
      <w:r w:rsidRPr="00611EE9">
        <w:rPr>
          <w:rFonts w:cs="Arial"/>
        </w:rPr>
        <w:t>Fewtrell</w:t>
      </w:r>
      <w:proofErr w:type="spellEnd"/>
      <w:r w:rsidRPr="00611EE9">
        <w:rPr>
          <w:rFonts w:cs="Arial"/>
        </w:rPr>
        <w:t xml:space="preserve"> MS, Williams JE, et al. Body composition in normal weight, overweight and obese children: matched case-control analyses of total and regional tissue masses, and body composition trends in r</w:t>
      </w:r>
      <w:r>
        <w:rPr>
          <w:rFonts w:cs="Arial"/>
        </w:rPr>
        <w:t>elation to relative weight. Int</w:t>
      </w:r>
      <w:r w:rsidRPr="00611EE9">
        <w:rPr>
          <w:rFonts w:cs="Arial"/>
        </w:rPr>
        <w:t xml:space="preserve"> J </w:t>
      </w:r>
      <w:proofErr w:type="spellStart"/>
      <w:r w:rsidRPr="00611EE9">
        <w:rPr>
          <w:rFonts w:cs="Arial"/>
        </w:rPr>
        <w:t>Obes</w:t>
      </w:r>
      <w:proofErr w:type="spellEnd"/>
      <w:r w:rsidRPr="00611EE9">
        <w:rPr>
          <w:rFonts w:cs="Arial"/>
        </w:rPr>
        <w:t>. 2006; 30</w:t>
      </w:r>
      <w:r>
        <w:rPr>
          <w:rFonts w:cs="Arial"/>
        </w:rPr>
        <w:t>(10): 1506-</w:t>
      </w:r>
      <w:r w:rsidRPr="00611EE9">
        <w:rPr>
          <w:rFonts w:cs="Arial"/>
        </w:rPr>
        <w:t xml:space="preserve">13. </w:t>
      </w:r>
    </w:p>
    <w:p w14:paraId="4C5BB532" w14:textId="77777777" w:rsidR="00C87143" w:rsidRDefault="00C87143" w:rsidP="00C87143">
      <w:pPr>
        <w:pStyle w:val="ListParagraph"/>
        <w:numPr>
          <w:ilvl w:val="0"/>
          <w:numId w:val="18"/>
        </w:numPr>
        <w:rPr>
          <w:rFonts w:cs="Arial"/>
        </w:rPr>
      </w:pPr>
      <w:proofErr w:type="spellStart"/>
      <w:r>
        <w:rPr>
          <w:rFonts w:cs="Arial"/>
        </w:rPr>
        <w:t>Xiong</w:t>
      </w:r>
      <w:proofErr w:type="spellEnd"/>
      <w:r>
        <w:rPr>
          <w:rFonts w:cs="Arial"/>
        </w:rPr>
        <w:t xml:space="preserve"> Y, Fukuda T, </w:t>
      </w:r>
      <w:proofErr w:type="spellStart"/>
      <w:r>
        <w:rPr>
          <w:rFonts w:cs="Arial"/>
        </w:rPr>
        <w:t>Knibble</w:t>
      </w:r>
      <w:proofErr w:type="spellEnd"/>
      <w:r>
        <w:rPr>
          <w:rFonts w:cs="Arial"/>
        </w:rPr>
        <w:t xml:space="preserve"> CAJ, et al. Drug dosing in Obese Children – Challenges and Evidence-Based Strategies. </w:t>
      </w:r>
      <w:proofErr w:type="spellStart"/>
      <w:r>
        <w:rPr>
          <w:rFonts w:cs="Arial"/>
        </w:rPr>
        <w:t>Pediatr</w:t>
      </w:r>
      <w:proofErr w:type="spellEnd"/>
      <w:r>
        <w:rPr>
          <w:rFonts w:cs="Arial"/>
        </w:rPr>
        <w:t xml:space="preserve"> Clin North Am. 2017; 64(6): 1417-38. </w:t>
      </w:r>
    </w:p>
    <w:p w14:paraId="75430C56" w14:textId="77777777" w:rsidR="00C87143" w:rsidRPr="006929A0" w:rsidRDefault="00C87143" w:rsidP="00C87143">
      <w:pPr>
        <w:pStyle w:val="ListParagraph"/>
        <w:numPr>
          <w:ilvl w:val="0"/>
          <w:numId w:val="18"/>
        </w:numPr>
        <w:rPr>
          <w:rFonts w:cs="Arial"/>
        </w:rPr>
      </w:pPr>
      <w:r w:rsidRPr="006929A0">
        <w:rPr>
          <w:rFonts w:cs="Arial"/>
        </w:rPr>
        <w:t xml:space="preserve">Kendrick JG, </w:t>
      </w:r>
      <w:proofErr w:type="spellStart"/>
      <w:r w:rsidRPr="006929A0">
        <w:rPr>
          <w:rFonts w:cs="Arial"/>
        </w:rPr>
        <w:t>Carr</w:t>
      </w:r>
      <w:proofErr w:type="spellEnd"/>
      <w:r w:rsidRPr="006929A0">
        <w:rPr>
          <w:rFonts w:cs="Arial"/>
        </w:rPr>
        <w:t xml:space="preserve"> RR, </w:t>
      </w:r>
      <w:proofErr w:type="spellStart"/>
      <w:r w:rsidRPr="006929A0">
        <w:rPr>
          <w:rFonts w:cs="Arial"/>
        </w:rPr>
        <w:t>Ensom</w:t>
      </w:r>
      <w:proofErr w:type="spellEnd"/>
      <w:r w:rsidRPr="006929A0">
        <w:rPr>
          <w:rFonts w:cs="Arial"/>
        </w:rPr>
        <w:t xml:space="preserve"> MH. Pharmacokinetics and drug dosing in obese children. J </w:t>
      </w:r>
      <w:proofErr w:type="spellStart"/>
      <w:r w:rsidRPr="006929A0">
        <w:rPr>
          <w:rFonts w:cs="Arial"/>
        </w:rPr>
        <w:t>Pediatr</w:t>
      </w:r>
      <w:proofErr w:type="spellEnd"/>
      <w:r w:rsidRPr="006929A0">
        <w:rPr>
          <w:rFonts w:cs="Arial"/>
        </w:rPr>
        <w:t xml:space="preserve"> </w:t>
      </w:r>
      <w:proofErr w:type="spellStart"/>
      <w:r w:rsidRPr="006929A0">
        <w:rPr>
          <w:rFonts w:cs="Arial"/>
        </w:rPr>
        <w:t>Pharmacol</w:t>
      </w:r>
      <w:proofErr w:type="spellEnd"/>
      <w:r w:rsidRPr="006929A0">
        <w:rPr>
          <w:rFonts w:cs="Arial"/>
        </w:rPr>
        <w:t xml:space="preserve"> </w:t>
      </w:r>
      <w:proofErr w:type="spellStart"/>
      <w:r w:rsidRPr="006929A0">
        <w:rPr>
          <w:rFonts w:cs="Arial"/>
        </w:rPr>
        <w:t>Ther</w:t>
      </w:r>
      <w:proofErr w:type="spellEnd"/>
      <w:r w:rsidRPr="006929A0">
        <w:rPr>
          <w:rFonts w:cs="Arial"/>
        </w:rPr>
        <w:t xml:space="preserve">. 2010; 15(2): 94-109. </w:t>
      </w:r>
    </w:p>
    <w:p w14:paraId="283D42E5" w14:textId="77777777" w:rsidR="00C87143" w:rsidRDefault="00C87143" w:rsidP="00C87143">
      <w:pPr>
        <w:pStyle w:val="ListParagraph"/>
        <w:numPr>
          <w:ilvl w:val="0"/>
          <w:numId w:val="18"/>
        </w:numPr>
        <w:rPr>
          <w:rFonts w:cs="Arial"/>
        </w:rPr>
      </w:pPr>
      <w:proofErr w:type="spellStart"/>
      <w:r>
        <w:rPr>
          <w:rFonts w:cs="Arial"/>
        </w:rPr>
        <w:t>Harskamp</w:t>
      </w:r>
      <w:proofErr w:type="spellEnd"/>
      <w:r>
        <w:rPr>
          <w:rFonts w:cs="Arial"/>
        </w:rPr>
        <w:t xml:space="preserve">-van </w:t>
      </w:r>
      <w:proofErr w:type="spellStart"/>
      <w:r>
        <w:rPr>
          <w:rFonts w:cs="Arial"/>
        </w:rPr>
        <w:t>Ginkel</w:t>
      </w:r>
      <w:proofErr w:type="spellEnd"/>
      <w:r>
        <w:rPr>
          <w:rFonts w:cs="Arial"/>
        </w:rPr>
        <w:t xml:space="preserve"> MW, Hill KD, Becker KC, et al. Drug Dosing and Pharmacokinetics in Children with Obesity – A Systematic Review. JAMA </w:t>
      </w:r>
      <w:proofErr w:type="spellStart"/>
      <w:r>
        <w:rPr>
          <w:rFonts w:cs="Arial"/>
        </w:rPr>
        <w:t>Pediatr</w:t>
      </w:r>
      <w:proofErr w:type="spellEnd"/>
      <w:r>
        <w:rPr>
          <w:rFonts w:cs="Arial"/>
        </w:rPr>
        <w:t xml:space="preserve">. 2015; 169(7): 678-85. </w:t>
      </w:r>
    </w:p>
    <w:p w14:paraId="513C0436" w14:textId="77777777" w:rsidR="00C87143" w:rsidRPr="006929A0" w:rsidRDefault="00C87143" w:rsidP="00C87143">
      <w:pPr>
        <w:pStyle w:val="ListParagraph"/>
        <w:numPr>
          <w:ilvl w:val="0"/>
          <w:numId w:val="18"/>
        </w:numPr>
        <w:rPr>
          <w:rFonts w:cs="Arial"/>
        </w:rPr>
      </w:pPr>
      <w:r w:rsidRPr="006929A0">
        <w:rPr>
          <w:rFonts w:cs="Arial"/>
          <w:bCs/>
          <w:szCs w:val="20"/>
        </w:rPr>
        <w:t>Sampson</w:t>
      </w:r>
      <w:r>
        <w:rPr>
          <w:rFonts w:cs="Arial"/>
          <w:bCs/>
          <w:szCs w:val="20"/>
        </w:rPr>
        <w:t xml:space="preserve"> MR</w:t>
      </w:r>
      <w:r w:rsidRPr="006929A0">
        <w:rPr>
          <w:rFonts w:cs="Arial"/>
          <w:bCs/>
          <w:szCs w:val="20"/>
        </w:rPr>
        <w:t>, Cohen-</w:t>
      </w:r>
      <w:proofErr w:type="spellStart"/>
      <w:r w:rsidRPr="006929A0">
        <w:rPr>
          <w:rFonts w:cs="Arial"/>
          <w:bCs/>
          <w:szCs w:val="20"/>
        </w:rPr>
        <w:t>Wolkowiez</w:t>
      </w:r>
      <w:proofErr w:type="spellEnd"/>
      <w:r>
        <w:rPr>
          <w:rFonts w:cs="Arial"/>
          <w:bCs/>
          <w:szCs w:val="20"/>
        </w:rPr>
        <w:t xml:space="preserve"> M</w:t>
      </w:r>
      <w:r w:rsidRPr="006929A0">
        <w:rPr>
          <w:rFonts w:cs="Arial"/>
          <w:bCs/>
          <w:szCs w:val="20"/>
        </w:rPr>
        <w:t>, Benjamin Jr.</w:t>
      </w:r>
      <w:r>
        <w:rPr>
          <w:rFonts w:cs="Arial"/>
          <w:bCs/>
          <w:szCs w:val="20"/>
        </w:rPr>
        <w:t xml:space="preserve"> DK</w:t>
      </w:r>
      <w:r w:rsidRPr="006929A0">
        <w:rPr>
          <w:rFonts w:cs="Arial"/>
          <w:bCs/>
          <w:szCs w:val="20"/>
        </w:rPr>
        <w:t>,</w:t>
      </w:r>
      <w:r>
        <w:rPr>
          <w:rFonts w:cs="Arial"/>
          <w:bCs/>
          <w:szCs w:val="20"/>
        </w:rPr>
        <w:t xml:space="preserve"> et al. </w:t>
      </w:r>
      <w:r w:rsidRPr="006929A0">
        <w:rPr>
          <w:rFonts w:cs="Arial"/>
          <w:bCs/>
          <w:szCs w:val="20"/>
        </w:rPr>
        <w:t>Pharmacokinetics of Antimicrobials in Obese Children</w:t>
      </w:r>
      <w:r>
        <w:rPr>
          <w:rFonts w:cs="Arial"/>
          <w:bCs/>
          <w:szCs w:val="20"/>
        </w:rPr>
        <w:t xml:space="preserve">. </w:t>
      </w:r>
      <w:proofErr w:type="spellStart"/>
      <w:r w:rsidRPr="006929A0">
        <w:rPr>
          <w:rFonts w:cs="Arial"/>
          <w:bCs/>
          <w:szCs w:val="20"/>
        </w:rPr>
        <w:t>GaB</w:t>
      </w:r>
      <w:r>
        <w:rPr>
          <w:rFonts w:cs="Arial"/>
          <w:bCs/>
          <w:szCs w:val="20"/>
        </w:rPr>
        <w:t>I</w:t>
      </w:r>
      <w:proofErr w:type="spellEnd"/>
      <w:r w:rsidRPr="006929A0">
        <w:rPr>
          <w:rFonts w:cs="Arial"/>
          <w:bCs/>
          <w:szCs w:val="20"/>
        </w:rPr>
        <w:t xml:space="preserve"> J</w:t>
      </w:r>
      <w:r>
        <w:rPr>
          <w:rFonts w:cs="Arial"/>
          <w:bCs/>
          <w:szCs w:val="20"/>
        </w:rPr>
        <w:t>. 2013</w:t>
      </w:r>
      <w:r w:rsidRPr="006929A0">
        <w:rPr>
          <w:rFonts w:cs="Arial"/>
          <w:bCs/>
          <w:szCs w:val="20"/>
        </w:rPr>
        <w:t>; 2(2): 76–81</w:t>
      </w:r>
      <w:r>
        <w:rPr>
          <w:rFonts w:cs="Arial"/>
          <w:bCs/>
          <w:szCs w:val="20"/>
        </w:rPr>
        <w:t>.</w:t>
      </w:r>
    </w:p>
    <w:p w14:paraId="067A6E3A" w14:textId="77777777" w:rsidR="00C87143" w:rsidRDefault="00C87143" w:rsidP="00C87143">
      <w:pPr>
        <w:pStyle w:val="ListParagraph"/>
        <w:numPr>
          <w:ilvl w:val="0"/>
          <w:numId w:val="18"/>
        </w:numPr>
        <w:rPr>
          <w:rFonts w:cs="Arial"/>
        </w:rPr>
      </w:pPr>
      <w:proofErr w:type="spellStart"/>
      <w:r>
        <w:rPr>
          <w:rFonts w:cs="Arial"/>
        </w:rPr>
        <w:t>Knibble</w:t>
      </w:r>
      <w:proofErr w:type="spellEnd"/>
      <w:r>
        <w:rPr>
          <w:rFonts w:cs="Arial"/>
        </w:rPr>
        <w:t xml:space="preserve"> CA, Brill MJ, van </w:t>
      </w:r>
      <w:proofErr w:type="spellStart"/>
      <w:r>
        <w:rPr>
          <w:rFonts w:cs="Arial"/>
        </w:rPr>
        <w:t>Rongen</w:t>
      </w:r>
      <w:proofErr w:type="spellEnd"/>
      <w:r>
        <w:rPr>
          <w:rFonts w:cs="Arial"/>
        </w:rPr>
        <w:t xml:space="preserve"> A, et al. Drug Disposition in Obesity: Towards Evidence-Based Dosing. </w:t>
      </w:r>
      <w:proofErr w:type="spellStart"/>
      <w:r>
        <w:rPr>
          <w:rFonts w:cs="Arial"/>
        </w:rPr>
        <w:t>Annu</w:t>
      </w:r>
      <w:proofErr w:type="spellEnd"/>
      <w:r>
        <w:rPr>
          <w:rFonts w:cs="Arial"/>
        </w:rPr>
        <w:t xml:space="preserve"> Rev </w:t>
      </w:r>
      <w:proofErr w:type="spellStart"/>
      <w:r>
        <w:rPr>
          <w:rFonts w:cs="Arial"/>
        </w:rPr>
        <w:t>Pharmacol</w:t>
      </w:r>
      <w:proofErr w:type="spellEnd"/>
      <w:r>
        <w:rPr>
          <w:rFonts w:cs="Arial"/>
        </w:rPr>
        <w:t xml:space="preserve"> </w:t>
      </w:r>
      <w:proofErr w:type="spellStart"/>
      <w:r>
        <w:rPr>
          <w:rFonts w:cs="Arial"/>
        </w:rPr>
        <w:t>Toxicol</w:t>
      </w:r>
      <w:proofErr w:type="spellEnd"/>
      <w:r>
        <w:rPr>
          <w:rFonts w:cs="Arial"/>
        </w:rPr>
        <w:t>. 2015; 55:149-67.</w:t>
      </w:r>
    </w:p>
    <w:p w14:paraId="21E35C0C" w14:textId="77777777" w:rsidR="00C87143" w:rsidRPr="006929A0" w:rsidRDefault="00C87143" w:rsidP="00C87143">
      <w:pPr>
        <w:pStyle w:val="ListParagraph"/>
        <w:numPr>
          <w:ilvl w:val="0"/>
          <w:numId w:val="18"/>
        </w:numPr>
        <w:rPr>
          <w:rFonts w:cs="Arial"/>
        </w:rPr>
      </w:pPr>
      <w:r w:rsidRPr="006929A0">
        <w:rPr>
          <w:rFonts w:cs="Arial"/>
        </w:rPr>
        <w:t xml:space="preserve">Brill MJ, </w:t>
      </w:r>
      <w:proofErr w:type="spellStart"/>
      <w:r w:rsidRPr="006929A0">
        <w:rPr>
          <w:rFonts w:cs="Arial"/>
        </w:rPr>
        <w:t>Diepstrate</w:t>
      </w:r>
      <w:r>
        <w:rPr>
          <w:rFonts w:cs="Arial"/>
        </w:rPr>
        <w:t>n</w:t>
      </w:r>
      <w:proofErr w:type="spellEnd"/>
      <w:r w:rsidRPr="006929A0">
        <w:rPr>
          <w:rFonts w:cs="Arial"/>
        </w:rPr>
        <w:t xml:space="preserve"> J, </w:t>
      </w:r>
      <w:r>
        <w:rPr>
          <w:rFonts w:cs="Arial"/>
        </w:rPr>
        <w:t xml:space="preserve">van </w:t>
      </w:r>
      <w:proofErr w:type="spellStart"/>
      <w:r>
        <w:rPr>
          <w:rFonts w:cs="Arial"/>
        </w:rPr>
        <w:t>Rongen</w:t>
      </w:r>
      <w:proofErr w:type="spellEnd"/>
      <w:r>
        <w:rPr>
          <w:rFonts w:cs="Arial"/>
        </w:rPr>
        <w:t xml:space="preserve"> A, et al. Impact of o</w:t>
      </w:r>
      <w:r w:rsidRPr="006929A0">
        <w:rPr>
          <w:rFonts w:cs="Arial"/>
        </w:rPr>
        <w:t xml:space="preserve">besity on </w:t>
      </w:r>
      <w:r>
        <w:rPr>
          <w:rFonts w:cs="Arial"/>
        </w:rPr>
        <w:t>d</w:t>
      </w:r>
      <w:r w:rsidRPr="006929A0">
        <w:rPr>
          <w:rFonts w:cs="Arial"/>
        </w:rPr>
        <w:t xml:space="preserve">rug </w:t>
      </w:r>
      <w:r>
        <w:rPr>
          <w:rFonts w:cs="Arial"/>
        </w:rPr>
        <w:t>m</w:t>
      </w:r>
      <w:r w:rsidRPr="006929A0">
        <w:rPr>
          <w:rFonts w:cs="Arial"/>
        </w:rPr>
        <w:t xml:space="preserve">etabolism and </w:t>
      </w:r>
      <w:r>
        <w:rPr>
          <w:rFonts w:cs="Arial"/>
        </w:rPr>
        <w:t>e</w:t>
      </w:r>
      <w:r w:rsidRPr="006929A0">
        <w:rPr>
          <w:rFonts w:cs="Arial"/>
        </w:rPr>
        <w:t xml:space="preserve">limination in </w:t>
      </w:r>
      <w:r>
        <w:rPr>
          <w:rFonts w:cs="Arial"/>
        </w:rPr>
        <w:t>a</w:t>
      </w:r>
      <w:r w:rsidRPr="006929A0">
        <w:rPr>
          <w:rFonts w:cs="Arial"/>
        </w:rPr>
        <w:t xml:space="preserve">dults and </w:t>
      </w:r>
      <w:r>
        <w:rPr>
          <w:rFonts w:cs="Arial"/>
        </w:rPr>
        <w:t xml:space="preserve">children. Clin </w:t>
      </w:r>
      <w:proofErr w:type="spellStart"/>
      <w:r>
        <w:rPr>
          <w:rFonts w:cs="Arial"/>
        </w:rPr>
        <w:t>Pharmacokinet</w:t>
      </w:r>
      <w:proofErr w:type="spellEnd"/>
      <w:r w:rsidRPr="006929A0">
        <w:rPr>
          <w:rFonts w:cs="Arial"/>
        </w:rPr>
        <w:t xml:space="preserve">. 2012; 51(5): 277-304. </w:t>
      </w:r>
    </w:p>
    <w:p w14:paraId="2A4EFBF2" w14:textId="77777777" w:rsidR="00C87143" w:rsidRPr="009105F7" w:rsidRDefault="00C87143" w:rsidP="00C87143">
      <w:pPr>
        <w:pStyle w:val="ListParagraph"/>
        <w:numPr>
          <w:ilvl w:val="0"/>
          <w:numId w:val="18"/>
        </w:numPr>
        <w:rPr>
          <w:rFonts w:cs="Arial"/>
        </w:rPr>
      </w:pPr>
      <w:r w:rsidRPr="009105F7">
        <w:rPr>
          <w:rFonts w:cs="Arial"/>
        </w:rPr>
        <w:t xml:space="preserve">How should antibiotics be dosed in obesity? Scottish Antimicrobial Prescribing Group. July 2017 [accessed 09/05/18]. Available from: </w:t>
      </w:r>
      <w:hyperlink r:id="rId19" w:history="1">
        <w:r w:rsidRPr="009105F7">
          <w:rPr>
            <w:rStyle w:val="Hyperlink"/>
            <w:rFonts w:cs="Arial"/>
          </w:rPr>
          <w:t>https://www.sps.nhs.uk</w:t>
        </w:r>
      </w:hyperlink>
      <w:r w:rsidRPr="009105F7">
        <w:rPr>
          <w:rStyle w:val="Hyperlink"/>
          <w:rFonts w:cs="Arial"/>
        </w:rPr>
        <w:t>.</w:t>
      </w:r>
      <w:r w:rsidRPr="009105F7">
        <w:rPr>
          <w:rFonts w:cs="Arial"/>
        </w:rPr>
        <w:t xml:space="preserve"> </w:t>
      </w:r>
    </w:p>
    <w:p w14:paraId="3324469C" w14:textId="77777777" w:rsidR="00C87143" w:rsidRPr="006929A0" w:rsidRDefault="00C87143" w:rsidP="00C87143">
      <w:pPr>
        <w:pStyle w:val="ListParagraph"/>
        <w:numPr>
          <w:ilvl w:val="0"/>
          <w:numId w:val="18"/>
        </w:numPr>
        <w:rPr>
          <w:rFonts w:cs="Arial"/>
        </w:rPr>
      </w:pPr>
      <w:r w:rsidRPr="006929A0">
        <w:rPr>
          <w:rFonts w:cs="Arial"/>
        </w:rPr>
        <w:t xml:space="preserve">Ross EL, Heizer J, Mixon MA, et al. Development of recommendations for dosing of commonly prescribed medications in critically </w:t>
      </w:r>
      <w:r>
        <w:rPr>
          <w:rFonts w:cs="Arial"/>
        </w:rPr>
        <w:t xml:space="preserve">ill obese children. Am J Health </w:t>
      </w:r>
      <w:proofErr w:type="spellStart"/>
      <w:r>
        <w:rPr>
          <w:rFonts w:cs="Arial"/>
        </w:rPr>
        <w:t>Syst</w:t>
      </w:r>
      <w:proofErr w:type="spellEnd"/>
      <w:r w:rsidRPr="006929A0">
        <w:rPr>
          <w:rFonts w:cs="Arial"/>
        </w:rPr>
        <w:t xml:space="preserve"> Pharm. 2015; 72</w:t>
      </w:r>
      <w:r>
        <w:rPr>
          <w:rFonts w:cs="Arial"/>
        </w:rPr>
        <w:t>(7): 542-</w:t>
      </w:r>
      <w:r w:rsidRPr="006929A0">
        <w:rPr>
          <w:rFonts w:cs="Arial"/>
        </w:rPr>
        <w:t xml:space="preserve">56. </w:t>
      </w:r>
    </w:p>
    <w:p w14:paraId="11B5A465" w14:textId="77777777" w:rsidR="00C87143" w:rsidRPr="006929A0" w:rsidRDefault="00C87143" w:rsidP="00C87143">
      <w:pPr>
        <w:pStyle w:val="ListParagraph"/>
        <w:numPr>
          <w:ilvl w:val="0"/>
          <w:numId w:val="18"/>
        </w:numPr>
        <w:rPr>
          <w:rFonts w:cs="Arial"/>
        </w:rPr>
      </w:pPr>
      <w:r w:rsidRPr="006929A0">
        <w:rPr>
          <w:rFonts w:cs="Arial"/>
        </w:rPr>
        <w:t xml:space="preserve">Phillips S, </w:t>
      </w:r>
      <w:proofErr w:type="spellStart"/>
      <w:r w:rsidRPr="006929A0">
        <w:rPr>
          <w:rFonts w:cs="Arial"/>
        </w:rPr>
        <w:t>Edlbeck</w:t>
      </w:r>
      <w:proofErr w:type="spellEnd"/>
      <w:r w:rsidRPr="006929A0">
        <w:rPr>
          <w:rFonts w:cs="Arial"/>
        </w:rPr>
        <w:t xml:space="preserve"> A, Kirby M, et al. Ideal Body Weight in Children. Nutrition in C</w:t>
      </w:r>
      <w:r>
        <w:rPr>
          <w:rFonts w:cs="Arial"/>
        </w:rPr>
        <w:t>linical Practice. 2007; 22:240-</w:t>
      </w:r>
      <w:r w:rsidRPr="006929A0">
        <w:rPr>
          <w:rFonts w:cs="Arial"/>
        </w:rPr>
        <w:t xml:space="preserve">45. </w:t>
      </w:r>
    </w:p>
    <w:p w14:paraId="00706261" w14:textId="5343D6BD" w:rsidR="00C87143" w:rsidRDefault="00B87895" w:rsidP="00C87143">
      <w:pPr>
        <w:pStyle w:val="ListParagraph"/>
        <w:numPr>
          <w:ilvl w:val="0"/>
          <w:numId w:val="18"/>
        </w:numPr>
        <w:rPr>
          <w:rFonts w:cs="Arial"/>
        </w:rPr>
      </w:pPr>
      <w:r>
        <w:rPr>
          <w:rFonts w:cs="Arial"/>
        </w:rPr>
        <w:t xml:space="preserve">Moore DJ, Durie PR, </w:t>
      </w:r>
      <w:proofErr w:type="spellStart"/>
      <w:r>
        <w:rPr>
          <w:rFonts w:cs="Arial"/>
        </w:rPr>
        <w:t>Forstner</w:t>
      </w:r>
      <w:proofErr w:type="spellEnd"/>
      <w:r>
        <w:rPr>
          <w:rFonts w:cs="Arial"/>
        </w:rPr>
        <w:t xml:space="preserve"> GG et al. The assessment of nutritional status in children. Nutritional Research. 1985;5: 797-799</w:t>
      </w:r>
      <w:r w:rsidR="00C87143">
        <w:rPr>
          <w:rFonts w:cs="Arial"/>
        </w:rPr>
        <w:t xml:space="preserve">. </w:t>
      </w:r>
    </w:p>
    <w:p w14:paraId="727AD2BD" w14:textId="77777777" w:rsidR="00C87143" w:rsidRDefault="00C87143" w:rsidP="00C87143">
      <w:pPr>
        <w:pStyle w:val="ListParagraph"/>
        <w:numPr>
          <w:ilvl w:val="0"/>
          <w:numId w:val="18"/>
        </w:numPr>
        <w:rPr>
          <w:rFonts w:cs="Arial"/>
        </w:rPr>
      </w:pPr>
      <w:r>
        <w:rPr>
          <w:rFonts w:cs="Arial"/>
        </w:rPr>
        <w:t xml:space="preserve">Child centile quick reference tables. Screening tool for the assessment of malnutrition in paediatrics. March 2011 [05/06/2020]. Available from: </w:t>
      </w:r>
      <w:hyperlink r:id="rId20" w:history="1">
        <w:r w:rsidRPr="006A3F5D">
          <w:rPr>
            <w:rStyle w:val="Hyperlink"/>
            <w:rFonts w:cs="Arial"/>
          </w:rPr>
          <w:t>https://stampscreeningtool.org</w:t>
        </w:r>
      </w:hyperlink>
      <w:r>
        <w:rPr>
          <w:rFonts w:cs="Arial"/>
        </w:rPr>
        <w:t xml:space="preserve">   </w:t>
      </w:r>
    </w:p>
    <w:p w14:paraId="6CF3A301" w14:textId="77777777" w:rsidR="00C87143" w:rsidRDefault="00C87143" w:rsidP="00C87143">
      <w:pPr>
        <w:pStyle w:val="ListParagraph"/>
        <w:numPr>
          <w:ilvl w:val="0"/>
          <w:numId w:val="18"/>
        </w:numPr>
        <w:rPr>
          <w:rFonts w:cs="Arial"/>
        </w:rPr>
      </w:pPr>
      <w:proofErr w:type="spellStart"/>
      <w:r w:rsidRPr="006929A0">
        <w:rPr>
          <w:rFonts w:cs="Arial"/>
        </w:rPr>
        <w:t>Carasco</w:t>
      </w:r>
      <w:proofErr w:type="spellEnd"/>
      <w:r w:rsidRPr="006929A0">
        <w:rPr>
          <w:rFonts w:cs="Arial"/>
        </w:rPr>
        <w:t xml:space="preserve"> C</w:t>
      </w:r>
      <w:r>
        <w:rPr>
          <w:rFonts w:cs="Arial"/>
        </w:rPr>
        <w:t>F</w:t>
      </w:r>
      <w:r w:rsidRPr="006929A0">
        <w:rPr>
          <w:rFonts w:cs="Arial"/>
        </w:rPr>
        <w:t xml:space="preserve">, Fletcher P, Maconochie I. Review of commonly used </w:t>
      </w:r>
      <w:proofErr w:type="gramStart"/>
      <w:r w:rsidRPr="006929A0">
        <w:rPr>
          <w:rFonts w:cs="Arial"/>
        </w:rPr>
        <w:t>age based</w:t>
      </w:r>
      <w:proofErr w:type="gramEnd"/>
      <w:r w:rsidRPr="006929A0">
        <w:rPr>
          <w:rFonts w:cs="Arial"/>
        </w:rPr>
        <w:t xml:space="preserve"> weight estimates for paediatric drug dosing in relation to the pharmacokinetic properties of resuscitation drugs. </w:t>
      </w:r>
      <w:r>
        <w:rPr>
          <w:rFonts w:cs="Arial"/>
        </w:rPr>
        <w:t xml:space="preserve">Br J Clin </w:t>
      </w:r>
      <w:proofErr w:type="spellStart"/>
      <w:r>
        <w:rPr>
          <w:rFonts w:cs="Arial"/>
        </w:rPr>
        <w:t>Pharmacol</w:t>
      </w:r>
      <w:proofErr w:type="spellEnd"/>
      <w:r w:rsidRPr="006929A0">
        <w:rPr>
          <w:rFonts w:cs="Arial"/>
        </w:rPr>
        <w:t>. 201</w:t>
      </w:r>
      <w:r>
        <w:rPr>
          <w:rFonts w:cs="Arial"/>
        </w:rPr>
        <w:t>6</w:t>
      </w:r>
      <w:r w:rsidRPr="006929A0">
        <w:rPr>
          <w:rFonts w:cs="Arial"/>
        </w:rPr>
        <w:t>;</w:t>
      </w:r>
      <w:r>
        <w:rPr>
          <w:rFonts w:cs="Arial"/>
        </w:rPr>
        <w:t xml:space="preserve"> 81(5)</w:t>
      </w:r>
      <w:r w:rsidRPr="006929A0">
        <w:rPr>
          <w:rFonts w:cs="Arial"/>
        </w:rPr>
        <w:t xml:space="preserve">: </w:t>
      </w:r>
      <w:r>
        <w:rPr>
          <w:rFonts w:cs="Arial"/>
        </w:rPr>
        <w:t>849-56</w:t>
      </w:r>
      <w:r w:rsidRPr="006929A0">
        <w:rPr>
          <w:rFonts w:cs="Arial"/>
        </w:rPr>
        <w:t xml:space="preserve">. </w:t>
      </w:r>
    </w:p>
    <w:p w14:paraId="6A185674" w14:textId="77777777" w:rsidR="00C87143" w:rsidRDefault="00C87143" w:rsidP="00C87143">
      <w:pPr>
        <w:pStyle w:val="ListParagraph"/>
        <w:numPr>
          <w:ilvl w:val="0"/>
          <w:numId w:val="18"/>
        </w:numPr>
        <w:rPr>
          <w:rFonts w:cs="Arial"/>
        </w:rPr>
      </w:pPr>
      <w:r w:rsidRPr="002A74E1">
        <w:rPr>
          <w:rFonts w:cs="Arial"/>
        </w:rPr>
        <w:lastRenderedPageBreak/>
        <w:t xml:space="preserve">Sydney Children’s Hospital.  Drug dosing for overweight and obese patients – </w:t>
      </w:r>
      <w:smartTag w:uri="urn:schemas-microsoft-com:office:smarttags" w:element="stockticker">
        <w:r w:rsidRPr="002A74E1">
          <w:rPr>
            <w:rFonts w:cs="Arial"/>
          </w:rPr>
          <w:t>SCH</w:t>
        </w:r>
      </w:smartTag>
      <w:r>
        <w:rPr>
          <w:rFonts w:cs="Arial"/>
        </w:rPr>
        <w:t xml:space="preserve">. Hospital Guideline, 2013 [accessed 09/05/18]. Available from: </w:t>
      </w:r>
      <w:hyperlink r:id="rId21" w:history="1">
        <w:r w:rsidRPr="005C57AF">
          <w:rPr>
            <w:rStyle w:val="Hyperlink"/>
            <w:rFonts w:cs="Arial"/>
          </w:rPr>
          <w:t>http://www.schn.health.nsw.gov.au/_policies/pdf/2013-7034.pdf</w:t>
        </w:r>
      </w:hyperlink>
      <w:r>
        <w:rPr>
          <w:rStyle w:val="Hyperlink"/>
          <w:rFonts w:cs="Arial"/>
        </w:rPr>
        <w:t>.</w:t>
      </w:r>
      <w:r>
        <w:rPr>
          <w:rFonts w:cs="Arial"/>
        </w:rPr>
        <w:t xml:space="preserve"> </w:t>
      </w:r>
    </w:p>
    <w:p w14:paraId="42B9A178" w14:textId="77777777" w:rsidR="00C87143" w:rsidRDefault="00C87143" w:rsidP="00C87143">
      <w:pPr>
        <w:pStyle w:val="ListParagraph"/>
        <w:numPr>
          <w:ilvl w:val="0"/>
          <w:numId w:val="18"/>
        </w:numPr>
        <w:rPr>
          <w:rFonts w:cs="Arial"/>
        </w:rPr>
      </w:pPr>
      <w:r>
        <w:rPr>
          <w:rFonts w:cs="Arial"/>
        </w:rPr>
        <w:t xml:space="preserve">Children. Medicines Learning Portal. 2017 [accessed 09/05/18]. Available from: </w:t>
      </w:r>
      <w:hyperlink r:id="rId22" w:history="1">
        <w:r w:rsidRPr="00012379">
          <w:rPr>
            <w:rStyle w:val="Hyperlink"/>
            <w:rFonts w:cs="Arial"/>
          </w:rPr>
          <w:t>www.MedicinesLearningPortal.org</w:t>
        </w:r>
      </w:hyperlink>
      <w:r>
        <w:rPr>
          <w:rStyle w:val="Hyperlink"/>
          <w:rFonts w:cs="Arial"/>
        </w:rPr>
        <w:t>.</w:t>
      </w:r>
      <w:r>
        <w:rPr>
          <w:rFonts w:cs="Arial"/>
        </w:rPr>
        <w:t xml:space="preserve"> </w:t>
      </w:r>
    </w:p>
    <w:p w14:paraId="2312D05D" w14:textId="77777777" w:rsidR="00C87143" w:rsidRDefault="00C87143" w:rsidP="00C87143">
      <w:pPr>
        <w:pStyle w:val="ListParagraph"/>
        <w:numPr>
          <w:ilvl w:val="0"/>
          <w:numId w:val="18"/>
        </w:numPr>
        <w:rPr>
          <w:rFonts w:cs="Arial"/>
        </w:rPr>
      </w:pPr>
      <w:r w:rsidRPr="00A92C7E">
        <w:rPr>
          <w:rFonts w:cs="Arial"/>
        </w:rPr>
        <w:t>United Kingdom Clinical Pharmacy Association. Drug Dosing in Extremes of Body Weight in critical</w:t>
      </w:r>
      <w:r>
        <w:rPr>
          <w:rFonts w:cs="Arial"/>
        </w:rPr>
        <w:t xml:space="preserve">ly ill patients, September 2013 [accessed 09/05/18]. Available from: </w:t>
      </w:r>
      <w:hyperlink r:id="rId23" w:history="1">
        <w:r w:rsidRPr="005C57AF">
          <w:rPr>
            <w:rStyle w:val="Hyperlink"/>
            <w:rFonts w:cs="Arial"/>
          </w:rPr>
          <w:t>https://www.scottishintensivecare.org.uk/uploads/2014-07-24-19-55-33-Drugdosingatextremesofbod-45662.pdf</w:t>
        </w:r>
      </w:hyperlink>
      <w:r>
        <w:rPr>
          <w:rFonts w:cs="Arial"/>
        </w:rPr>
        <w:t>.</w:t>
      </w:r>
    </w:p>
    <w:p w14:paraId="23D03D14" w14:textId="77777777" w:rsidR="00C87143" w:rsidRPr="00A92C7E" w:rsidRDefault="00C87143" w:rsidP="00C87143">
      <w:pPr>
        <w:pStyle w:val="ListParagraph"/>
        <w:numPr>
          <w:ilvl w:val="0"/>
          <w:numId w:val="18"/>
        </w:numPr>
        <w:rPr>
          <w:rFonts w:cs="Arial"/>
        </w:rPr>
      </w:pPr>
      <w:proofErr w:type="spellStart"/>
      <w:r w:rsidRPr="00A92C7E">
        <w:rPr>
          <w:rFonts w:cs="Arial"/>
        </w:rPr>
        <w:t>Koshida</w:t>
      </w:r>
      <w:proofErr w:type="spellEnd"/>
      <w:r w:rsidRPr="00A92C7E">
        <w:rPr>
          <w:rFonts w:cs="Arial"/>
        </w:rPr>
        <w:t xml:space="preserve"> R, Nakashima E, Taniguchi N, et al. Prediction of the Distribution of Cefazolin and Tobramycin in Obese Children based on physiological </w:t>
      </w:r>
      <w:r>
        <w:rPr>
          <w:rFonts w:cs="Arial"/>
        </w:rPr>
        <w:t>pharmacokinetic concepts. Pharm Res. 1989; 6(6): 486-</w:t>
      </w:r>
      <w:r w:rsidRPr="00A92C7E">
        <w:rPr>
          <w:rFonts w:cs="Arial"/>
        </w:rPr>
        <w:t xml:space="preserve">91. </w:t>
      </w:r>
    </w:p>
    <w:p w14:paraId="06C3F213" w14:textId="77777777" w:rsidR="00C87143" w:rsidRPr="00A92C7E" w:rsidRDefault="00C87143" w:rsidP="00C87143">
      <w:pPr>
        <w:pStyle w:val="ListParagraph"/>
        <w:numPr>
          <w:ilvl w:val="0"/>
          <w:numId w:val="18"/>
        </w:numPr>
        <w:rPr>
          <w:rFonts w:cs="Arial"/>
        </w:rPr>
      </w:pPr>
      <w:r w:rsidRPr="00A92C7E">
        <w:rPr>
          <w:rFonts w:cs="Arial"/>
        </w:rPr>
        <w:t>Smith MJ, Gonzalez D, Goldman J</w:t>
      </w:r>
      <w:r>
        <w:rPr>
          <w:rFonts w:cs="Arial"/>
        </w:rPr>
        <w:t>L</w:t>
      </w:r>
      <w:r w:rsidRPr="00A92C7E">
        <w:rPr>
          <w:rFonts w:cs="Arial"/>
        </w:rPr>
        <w:t>, et al. Pharmacokinetics of clindamycin in obese and n</w:t>
      </w:r>
      <w:r>
        <w:rPr>
          <w:rFonts w:cs="Arial"/>
        </w:rPr>
        <w:t xml:space="preserve">on-obese children. </w:t>
      </w:r>
      <w:proofErr w:type="spellStart"/>
      <w:r>
        <w:rPr>
          <w:rFonts w:cs="Arial"/>
        </w:rPr>
        <w:t>Antimicrob</w:t>
      </w:r>
      <w:proofErr w:type="spellEnd"/>
      <w:r>
        <w:rPr>
          <w:rFonts w:cs="Arial"/>
        </w:rPr>
        <w:t xml:space="preserve"> Agents Chemother</w:t>
      </w:r>
      <w:r w:rsidRPr="00A92C7E">
        <w:rPr>
          <w:rFonts w:cs="Arial"/>
        </w:rPr>
        <w:t xml:space="preserve">. 2017; 61(4): </w:t>
      </w:r>
      <w:proofErr w:type="spellStart"/>
      <w:r w:rsidRPr="006A7788">
        <w:rPr>
          <w:rFonts w:cs="Arial"/>
        </w:rPr>
        <w:t>pii</w:t>
      </w:r>
      <w:proofErr w:type="spellEnd"/>
      <w:r w:rsidRPr="006A7788">
        <w:rPr>
          <w:rFonts w:cs="Arial"/>
        </w:rPr>
        <w:t>: e02014-16</w:t>
      </w:r>
      <w:r w:rsidRPr="00A92C7E">
        <w:rPr>
          <w:rFonts w:cs="Arial"/>
        </w:rPr>
        <w:t xml:space="preserve">. </w:t>
      </w:r>
    </w:p>
    <w:p w14:paraId="262A7328" w14:textId="77777777" w:rsidR="00C87143" w:rsidRPr="00A92C7E" w:rsidRDefault="00C87143" w:rsidP="00C87143">
      <w:pPr>
        <w:pStyle w:val="ListParagraph"/>
        <w:numPr>
          <w:ilvl w:val="0"/>
          <w:numId w:val="18"/>
        </w:numPr>
        <w:rPr>
          <w:rFonts w:cs="Arial"/>
        </w:rPr>
      </w:pPr>
      <w:r w:rsidRPr="00A92C7E">
        <w:rPr>
          <w:rFonts w:cs="Arial"/>
        </w:rPr>
        <w:t xml:space="preserve">Choi JJ, Moffett BS, McDade EJ. Altered gentamicin serum concentrations in obese paediatric patients. </w:t>
      </w:r>
      <w:proofErr w:type="spellStart"/>
      <w:r>
        <w:rPr>
          <w:rFonts w:cs="Arial"/>
        </w:rPr>
        <w:t>Pediatr</w:t>
      </w:r>
      <w:proofErr w:type="spellEnd"/>
      <w:r>
        <w:rPr>
          <w:rFonts w:cs="Arial"/>
        </w:rPr>
        <w:t xml:space="preserve"> Infect Dis J. 2011; 30(4): 347-</w:t>
      </w:r>
      <w:r w:rsidRPr="00A92C7E">
        <w:rPr>
          <w:rFonts w:cs="Arial"/>
        </w:rPr>
        <w:t xml:space="preserve">9. </w:t>
      </w:r>
    </w:p>
    <w:p w14:paraId="45909E79" w14:textId="77777777" w:rsidR="00C87143" w:rsidRPr="003C40F8" w:rsidRDefault="00C87143" w:rsidP="00C87143">
      <w:pPr>
        <w:pStyle w:val="ListParagraph"/>
        <w:numPr>
          <w:ilvl w:val="0"/>
          <w:numId w:val="18"/>
        </w:numPr>
        <w:rPr>
          <w:rFonts w:cs="Arial"/>
        </w:rPr>
      </w:pPr>
      <w:r w:rsidRPr="0063337F">
        <w:rPr>
          <w:rFonts w:cs="Arial"/>
        </w:rPr>
        <w:t xml:space="preserve">Personal communication from Medical Information. </w:t>
      </w:r>
      <w:r>
        <w:rPr>
          <w:rFonts w:cs="Arial"/>
        </w:rPr>
        <w:t>Hospira UK Ltd</w:t>
      </w:r>
      <w:r w:rsidRPr="0063337F">
        <w:rPr>
          <w:rFonts w:cs="Arial"/>
        </w:rPr>
        <w:t>. Date (</w:t>
      </w:r>
      <w:r>
        <w:rPr>
          <w:rFonts w:cs="Arial"/>
        </w:rPr>
        <w:t>24/7/18</w:t>
      </w:r>
      <w:r w:rsidRPr="0063337F">
        <w:rPr>
          <w:rFonts w:cs="Arial"/>
        </w:rPr>
        <w:t>)</w:t>
      </w:r>
      <w:r>
        <w:rPr>
          <w:rFonts w:cs="Arial"/>
        </w:rPr>
        <w:t>.</w:t>
      </w:r>
    </w:p>
    <w:p w14:paraId="581C52BC" w14:textId="77777777" w:rsidR="00C87143" w:rsidRPr="00A92C7E" w:rsidRDefault="00C87143" w:rsidP="00C87143">
      <w:pPr>
        <w:pStyle w:val="ListParagraph"/>
        <w:numPr>
          <w:ilvl w:val="0"/>
          <w:numId w:val="18"/>
        </w:numPr>
        <w:rPr>
          <w:rFonts w:cs="Arial"/>
        </w:rPr>
      </w:pPr>
      <w:r w:rsidRPr="00A92C7E">
        <w:rPr>
          <w:rFonts w:cs="Arial"/>
        </w:rPr>
        <w:t>Miller M, Miller JL, Hagemann TM, et al. Va</w:t>
      </w:r>
      <w:r>
        <w:rPr>
          <w:rFonts w:cs="Arial"/>
        </w:rPr>
        <w:t>n</w:t>
      </w:r>
      <w:r w:rsidRPr="00A92C7E">
        <w:rPr>
          <w:rFonts w:cs="Arial"/>
        </w:rPr>
        <w:t xml:space="preserve">comycin dosage in overweight and </w:t>
      </w:r>
      <w:r>
        <w:rPr>
          <w:rFonts w:cs="Arial"/>
        </w:rPr>
        <w:t xml:space="preserve">obese children. Am J Health </w:t>
      </w:r>
      <w:proofErr w:type="spellStart"/>
      <w:r w:rsidRPr="00A92C7E">
        <w:rPr>
          <w:rFonts w:cs="Arial"/>
        </w:rPr>
        <w:t>Syst</w:t>
      </w:r>
      <w:proofErr w:type="spellEnd"/>
      <w:r w:rsidRPr="00A92C7E">
        <w:rPr>
          <w:rFonts w:cs="Arial"/>
        </w:rPr>
        <w:t xml:space="preserve"> Pharm. 2011; 68(</w:t>
      </w:r>
      <w:r>
        <w:rPr>
          <w:rFonts w:cs="Arial"/>
        </w:rPr>
        <w:t>21):  2062-</w:t>
      </w:r>
      <w:r w:rsidRPr="00A92C7E">
        <w:rPr>
          <w:rFonts w:cs="Arial"/>
        </w:rPr>
        <w:t xml:space="preserve">8. </w:t>
      </w:r>
    </w:p>
    <w:p w14:paraId="519EDAC6" w14:textId="77777777" w:rsidR="00C87143" w:rsidRPr="00A92C7E" w:rsidRDefault="00C87143" w:rsidP="00C87143">
      <w:pPr>
        <w:pStyle w:val="ListParagraph"/>
        <w:numPr>
          <w:ilvl w:val="0"/>
          <w:numId w:val="18"/>
        </w:numPr>
        <w:rPr>
          <w:rFonts w:cs="Arial"/>
        </w:rPr>
      </w:pPr>
      <w:proofErr w:type="spellStart"/>
      <w:r w:rsidRPr="00A92C7E">
        <w:rPr>
          <w:rFonts w:cs="Arial"/>
        </w:rPr>
        <w:t>Heble</w:t>
      </w:r>
      <w:proofErr w:type="spellEnd"/>
      <w:r w:rsidRPr="00A92C7E">
        <w:rPr>
          <w:rFonts w:cs="Arial"/>
        </w:rPr>
        <w:t xml:space="preserve"> DE, McPherson C, Nelson MP, et al. Vancomycin trough concentrations in overweight or obese paed</w:t>
      </w:r>
      <w:r>
        <w:rPr>
          <w:rFonts w:cs="Arial"/>
        </w:rPr>
        <w:t>iatric patients. Pharmacotherapy. 2013; 33(12): 1273-</w:t>
      </w:r>
      <w:r w:rsidRPr="00A92C7E">
        <w:rPr>
          <w:rFonts w:cs="Arial"/>
        </w:rPr>
        <w:t xml:space="preserve">77. </w:t>
      </w:r>
    </w:p>
    <w:p w14:paraId="563BCE05" w14:textId="77777777" w:rsidR="00C87143" w:rsidRPr="00A92C7E" w:rsidRDefault="00C87143" w:rsidP="00C87143">
      <w:pPr>
        <w:pStyle w:val="ListParagraph"/>
        <w:numPr>
          <w:ilvl w:val="0"/>
          <w:numId w:val="18"/>
        </w:numPr>
        <w:rPr>
          <w:rFonts w:cs="Arial"/>
        </w:rPr>
      </w:pPr>
      <w:r w:rsidRPr="00A92C7E">
        <w:rPr>
          <w:rFonts w:cs="Arial"/>
        </w:rPr>
        <w:t xml:space="preserve">Le J, </w:t>
      </w:r>
      <w:proofErr w:type="spellStart"/>
      <w:r w:rsidRPr="00A92C7E">
        <w:rPr>
          <w:rFonts w:cs="Arial"/>
        </w:rPr>
        <w:t>Capparelli</w:t>
      </w:r>
      <w:proofErr w:type="spellEnd"/>
      <w:r w:rsidRPr="00A92C7E">
        <w:rPr>
          <w:rFonts w:cs="Arial"/>
        </w:rPr>
        <w:t xml:space="preserve"> EV, Wahid U. Bayesian estimation of vancomycin pharmacokinetics in obese children: matc</w:t>
      </w:r>
      <w:r>
        <w:rPr>
          <w:rFonts w:cs="Arial"/>
        </w:rPr>
        <w:t xml:space="preserve">hed case-control study. Clin </w:t>
      </w:r>
      <w:proofErr w:type="spellStart"/>
      <w:r>
        <w:rPr>
          <w:rFonts w:cs="Arial"/>
        </w:rPr>
        <w:t>Ther</w:t>
      </w:r>
      <w:proofErr w:type="spellEnd"/>
      <w:r>
        <w:rPr>
          <w:rFonts w:cs="Arial"/>
        </w:rPr>
        <w:t>. 2015; 37(6): 1340-</w:t>
      </w:r>
      <w:r w:rsidRPr="00A92C7E">
        <w:rPr>
          <w:rFonts w:cs="Arial"/>
        </w:rPr>
        <w:t xml:space="preserve">51. </w:t>
      </w:r>
    </w:p>
    <w:p w14:paraId="4F5B8BD4" w14:textId="77777777" w:rsidR="00C87143" w:rsidRPr="00A92C7E" w:rsidRDefault="00C87143" w:rsidP="00C87143">
      <w:pPr>
        <w:pStyle w:val="ListParagraph"/>
        <w:numPr>
          <w:ilvl w:val="0"/>
          <w:numId w:val="18"/>
        </w:numPr>
        <w:rPr>
          <w:rFonts w:cs="Arial"/>
        </w:rPr>
      </w:pPr>
      <w:r w:rsidRPr="00A92C7E">
        <w:rPr>
          <w:rFonts w:cs="Arial"/>
        </w:rPr>
        <w:t xml:space="preserve">Moffett BS, Kim S, Edwards MS. Vancomycin dosing in obese paediatric patients. Clin </w:t>
      </w:r>
      <w:proofErr w:type="spellStart"/>
      <w:r w:rsidRPr="00A92C7E">
        <w:rPr>
          <w:rFonts w:cs="Arial"/>
        </w:rPr>
        <w:t>Pedriatr</w:t>
      </w:r>
      <w:proofErr w:type="spellEnd"/>
      <w:r>
        <w:rPr>
          <w:rFonts w:cs="Arial"/>
        </w:rPr>
        <w:t>. 2011; 50(5): 442-</w:t>
      </w:r>
      <w:r w:rsidRPr="00A92C7E">
        <w:rPr>
          <w:rFonts w:cs="Arial"/>
        </w:rPr>
        <w:t xml:space="preserve">46. </w:t>
      </w:r>
    </w:p>
    <w:p w14:paraId="06102115" w14:textId="77777777" w:rsidR="00C87143" w:rsidRPr="003C40F8" w:rsidRDefault="00C87143" w:rsidP="00C87143">
      <w:pPr>
        <w:pStyle w:val="ListParagraph"/>
        <w:numPr>
          <w:ilvl w:val="0"/>
          <w:numId w:val="18"/>
        </w:numPr>
        <w:rPr>
          <w:rFonts w:cs="Arial"/>
        </w:rPr>
      </w:pPr>
      <w:r w:rsidRPr="003C40F8">
        <w:rPr>
          <w:rFonts w:cs="Arial"/>
        </w:rPr>
        <w:t>Summary of Product Characteristics – Vancomycin Hydrochloride 500 mg and 1 g Powder for Concentra</w:t>
      </w:r>
      <w:r>
        <w:rPr>
          <w:rFonts w:cs="Arial"/>
        </w:rPr>
        <w:t>te for Infusion. Hospira UK Ltd [a</w:t>
      </w:r>
      <w:r w:rsidRPr="003C40F8">
        <w:rPr>
          <w:rFonts w:cs="Arial"/>
        </w:rPr>
        <w:t xml:space="preserve">ccessed </w:t>
      </w:r>
      <w:r>
        <w:rPr>
          <w:rFonts w:cs="Arial"/>
        </w:rPr>
        <w:t>09/05/18]. Available from:</w:t>
      </w:r>
      <w:r w:rsidRPr="003C40F8">
        <w:rPr>
          <w:rFonts w:cs="Arial"/>
        </w:rPr>
        <w:t xml:space="preserve"> </w:t>
      </w:r>
      <w:hyperlink r:id="rId24" w:history="1">
        <w:r w:rsidRPr="00F70CC2">
          <w:rPr>
            <w:rStyle w:val="Hyperlink"/>
            <w:rFonts w:cs="Arial"/>
          </w:rPr>
          <w:t>https://www.medicines.org.uk/emc/product/386</w:t>
        </w:r>
      </w:hyperlink>
      <w:r>
        <w:rPr>
          <w:rFonts w:cs="Arial"/>
        </w:rPr>
        <w:t xml:space="preserve"> </w:t>
      </w:r>
      <w:r w:rsidRPr="003C40F8">
        <w:rPr>
          <w:rFonts w:cs="Arial"/>
        </w:rPr>
        <w:t xml:space="preserve">[date of revision of the text Nov 2017]. </w:t>
      </w:r>
    </w:p>
    <w:p w14:paraId="33D1C6AC" w14:textId="77777777" w:rsidR="00C87143" w:rsidRPr="00A92C7E" w:rsidRDefault="00C87143" w:rsidP="00C87143">
      <w:pPr>
        <w:pStyle w:val="ListParagraph"/>
        <w:numPr>
          <w:ilvl w:val="0"/>
          <w:numId w:val="18"/>
        </w:numPr>
        <w:rPr>
          <w:rFonts w:cs="Arial"/>
        </w:rPr>
      </w:pPr>
      <w:proofErr w:type="spellStart"/>
      <w:r w:rsidRPr="00A92C7E">
        <w:rPr>
          <w:rFonts w:cs="Arial"/>
        </w:rPr>
        <w:t>Chidambaran</w:t>
      </w:r>
      <w:proofErr w:type="spellEnd"/>
      <w:r w:rsidRPr="00A92C7E">
        <w:rPr>
          <w:rFonts w:cs="Arial"/>
        </w:rPr>
        <w:t xml:space="preserve"> V, Tewari A, Mahmoud M. </w:t>
      </w:r>
      <w:proofErr w:type="spellStart"/>
      <w:r w:rsidRPr="00A92C7E">
        <w:rPr>
          <w:rFonts w:cs="Arial"/>
        </w:rPr>
        <w:t>Anesthetic</w:t>
      </w:r>
      <w:proofErr w:type="spellEnd"/>
      <w:r w:rsidRPr="00A92C7E">
        <w:rPr>
          <w:rFonts w:cs="Arial"/>
        </w:rPr>
        <w:t xml:space="preserve"> and pharmacologic considerations in perioperative care of obese children. J</w:t>
      </w:r>
      <w:r>
        <w:rPr>
          <w:rFonts w:cs="Arial"/>
        </w:rPr>
        <w:t xml:space="preserve"> Clin </w:t>
      </w:r>
      <w:proofErr w:type="spellStart"/>
      <w:r>
        <w:rPr>
          <w:rFonts w:cs="Arial"/>
        </w:rPr>
        <w:t>Anesth</w:t>
      </w:r>
      <w:proofErr w:type="spellEnd"/>
      <w:r>
        <w:rPr>
          <w:rFonts w:cs="Arial"/>
        </w:rPr>
        <w:t xml:space="preserve">. 2018; </w:t>
      </w:r>
      <w:r w:rsidRPr="00A92C7E">
        <w:rPr>
          <w:rFonts w:cs="Arial"/>
        </w:rPr>
        <w:t>45: 39-50.</w:t>
      </w:r>
    </w:p>
    <w:p w14:paraId="11BF7620" w14:textId="77777777" w:rsidR="00C87143" w:rsidRPr="00A92C7E" w:rsidRDefault="00C87143" w:rsidP="00C87143">
      <w:pPr>
        <w:pStyle w:val="ListParagraph"/>
        <w:numPr>
          <w:ilvl w:val="0"/>
          <w:numId w:val="18"/>
        </w:numPr>
        <w:rPr>
          <w:rFonts w:cs="Arial"/>
        </w:rPr>
      </w:pPr>
      <w:r w:rsidRPr="00A92C7E">
        <w:rPr>
          <w:rFonts w:cs="Arial"/>
        </w:rPr>
        <w:t xml:space="preserve">Van </w:t>
      </w:r>
      <w:proofErr w:type="spellStart"/>
      <w:r w:rsidRPr="00A92C7E">
        <w:rPr>
          <w:rFonts w:cs="Arial"/>
        </w:rPr>
        <w:t>Rongen</w:t>
      </w:r>
      <w:proofErr w:type="spellEnd"/>
      <w:r w:rsidRPr="00A92C7E">
        <w:rPr>
          <w:rFonts w:cs="Arial"/>
        </w:rPr>
        <w:t xml:space="preserve"> A, </w:t>
      </w:r>
      <w:proofErr w:type="spellStart"/>
      <w:r w:rsidRPr="00A92C7E">
        <w:rPr>
          <w:rFonts w:cs="Arial"/>
        </w:rPr>
        <w:t>Vaughns</w:t>
      </w:r>
      <w:proofErr w:type="spellEnd"/>
      <w:r w:rsidRPr="00A92C7E">
        <w:rPr>
          <w:rFonts w:cs="Arial"/>
        </w:rPr>
        <w:t xml:space="preserve"> JD, Moorthy GS, et al. Population pharmacokinetics of midazolam and its metabolites in overweight and obese adolescents. Br J </w:t>
      </w:r>
      <w:r>
        <w:rPr>
          <w:rFonts w:cs="Arial"/>
        </w:rPr>
        <w:t xml:space="preserve">Clin </w:t>
      </w:r>
      <w:proofErr w:type="spellStart"/>
      <w:r w:rsidRPr="00A92C7E">
        <w:rPr>
          <w:rFonts w:cs="Arial"/>
        </w:rPr>
        <w:t>Pharmacol</w:t>
      </w:r>
      <w:proofErr w:type="spellEnd"/>
      <w:r>
        <w:rPr>
          <w:rFonts w:cs="Arial"/>
        </w:rPr>
        <w:t>. 2015; 80(5): 1185-</w:t>
      </w:r>
      <w:r w:rsidRPr="00A92C7E">
        <w:rPr>
          <w:rFonts w:cs="Arial"/>
        </w:rPr>
        <w:t xml:space="preserve">96. </w:t>
      </w:r>
    </w:p>
    <w:p w14:paraId="79236198" w14:textId="77777777" w:rsidR="00C87143" w:rsidRPr="00A92C7E" w:rsidRDefault="00C87143" w:rsidP="00C87143">
      <w:pPr>
        <w:pStyle w:val="ListParagraph"/>
        <w:numPr>
          <w:ilvl w:val="0"/>
          <w:numId w:val="18"/>
        </w:numPr>
        <w:rPr>
          <w:rFonts w:cs="Arial"/>
        </w:rPr>
      </w:pPr>
      <w:proofErr w:type="spellStart"/>
      <w:r w:rsidRPr="00A92C7E">
        <w:rPr>
          <w:rFonts w:cs="Arial"/>
        </w:rPr>
        <w:t>Vaughns</w:t>
      </w:r>
      <w:proofErr w:type="spellEnd"/>
      <w:r w:rsidRPr="00A92C7E">
        <w:rPr>
          <w:rFonts w:cs="Arial"/>
        </w:rPr>
        <w:t xml:space="preserve"> JD, </w:t>
      </w:r>
      <w:proofErr w:type="spellStart"/>
      <w:r w:rsidRPr="00A92C7E">
        <w:rPr>
          <w:rFonts w:cs="Arial"/>
        </w:rPr>
        <w:t>Ziesenitz</w:t>
      </w:r>
      <w:proofErr w:type="spellEnd"/>
      <w:r w:rsidRPr="00A92C7E">
        <w:rPr>
          <w:rFonts w:cs="Arial"/>
        </w:rPr>
        <w:t xml:space="preserve"> VC, van den Anker JN. Clinical Pharmacology of frequently used intravenous drugs during bariatric surgery in adolescents. </w:t>
      </w:r>
      <w:proofErr w:type="spellStart"/>
      <w:r w:rsidRPr="00A92C7E">
        <w:rPr>
          <w:rFonts w:cs="Arial"/>
        </w:rPr>
        <w:t>Curr</w:t>
      </w:r>
      <w:proofErr w:type="spellEnd"/>
      <w:r w:rsidRPr="00A92C7E">
        <w:rPr>
          <w:rFonts w:cs="Arial"/>
        </w:rPr>
        <w:t xml:space="preserve"> Pharm Des. 2015; 21</w:t>
      </w:r>
      <w:r>
        <w:rPr>
          <w:rFonts w:cs="Arial"/>
        </w:rPr>
        <w:t>(39): 5650-</w:t>
      </w:r>
      <w:r w:rsidRPr="00A92C7E">
        <w:rPr>
          <w:rFonts w:cs="Arial"/>
        </w:rPr>
        <w:t xml:space="preserve">9. </w:t>
      </w:r>
    </w:p>
    <w:p w14:paraId="62C5ABC8" w14:textId="77777777" w:rsidR="00FD1FC8" w:rsidRPr="00A92C7E" w:rsidRDefault="00FD1FC8" w:rsidP="00FD1FC8">
      <w:pPr>
        <w:pStyle w:val="ListParagraph"/>
        <w:numPr>
          <w:ilvl w:val="0"/>
          <w:numId w:val="18"/>
        </w:numPr>
        <w:rPr>
          <w:rFonts w:cs="Arial"/>
        </w:rPr>
      </w:pPr>
      <w:proofErr w:type="spellStart"/>
      <w:r w:rsidRPr="00A92C7E">
        <w:rPr>
          <w:rFonts w:cs="Arial"/>
        </w:rPr>
        <w:t>Casati</w:t>
      </w:r>
      <w:proofErr w:type="spellEnd"/>
      <w:r w:rsidRPr="00A92C7E">
        <w:rPr>
          <w:rFonts w:cs="Arial"/>
        </w:rPr>
        <w:t xml:space="preserve"> A, </w:t>
      </w:r>
      <w:proofErr w:type="spellStart"/>
      <w:r w:rsidRPr="00A92C7E">
        <w:rPr>
          <w:rFonts w:cs="Arial"/>
        </w:rPr>
        <w:t>Putzu</w:t>
      </w:r>
      <w:proofErr w:type="spellEnd"/>
      <w:r w:rsidRPr="00A92C7E">
        <w:rPr>
          <w:rFonts w:cs="Arial"/>
        </w:rPr>
        <w:t xml:space="preserve"> M. </w:t>
      </w:r>
      <w:proofErr w:type="spellStart"/>
      <w:r w:rsidRPr="00A92C7E">
        <w:rPr>
          <w:rFonts w:cs="Arial"/>
        </w:rPr>
        <w:t>Anesthesia</w:t>
      </w:r>
      <w:proofErr w:type="spellEnd"/>
      <w:r w:rsidRPr="00A92C7E">
        <w:rPr>
          <w:rFonts w:cs="Arial"/>
        </w:rPr>
        <w:t xml:space="preserve"> in the obese patient: Pharmacokinetic considerations.</w:t>
      </w:r>
      <w:r>
        <w:rPr>
          <w:rFonts w:cs="Arial"/>
        </w:rPr>
        <w:t xml:space="preserve"> J Clin </w:t>
      </w:r>
      <w:proofErr w:type="spellStart"/>
      <w:r>
        <w:rPr>
          <w:rFonts w:cs="Arial"/>
        </w:rPr>
        <w:t>Anesth</w:t>
      </w:r>
      <w:proofErr w:type="spellEnd"/>
      <w:r>
        <w:rPr>
          <w:rFonts w:cs="Arial"/>
        </w:rPr>
        <w:t>.</w:t>
      </w:r>
      <w:r w:rsidRPr="00A92C7E">
        <w:rPr>
          <w:rFonts w:cs="Arial"/>
        </w:rPr>
        <w:t xml:space="preserve"> 2005; 17</w:t>
      </w:r>
      <w:r>
        <w:rPr>
          <w:rFonts w:cs="Arial"/>
        </w:rPr>
        <w:t>(2): 134-</w:t>
      </w:r>
      <w:r w:rsidRPr="00A92C7E">
        <w:rPr>
          <w:rFonts w:cs="Arial"/>
        </w:rPr>
        <w:t xml:space="preserve">45. </w:t>
      </w:r>
    </w:p>
    <w:p w14:paraId="4220E7F2" w14:textId="77777777" w:rsidR="00FD1FC8" w:rsidRDefault="00FD1FC8" w:rsidP="00FD1FC8">
      <w:pPr>
        <w:pStyle w:val="ListParagraph"/>
        <w:numPr>
          <w:ilvl w:val="0"/>
          <w:numId w:val="18"/>
        </w:numPr>
      </w:pPr>
      <w:proofErr w:type="spellStart"/>
      <w:r>
        <w:t>Gade</w:t>
      </w:r>
      <w:proofErr w:type="spellEnd"/>
      <w:r>
        <w:t xml:space="preserve"> C, </w:t>
      </w:r>
      <w:proofErr w:type="spellStart"/>
      <w:r>
        <w:t>Sverrisdottir</w:t>
      </w:r>
      <w:proofErr w:type="spellEnd"/>
      <w:r>
        <w:t xml:space="preserve"> E, Dalhoff K, </w:t>
      </w:r>
      <w:r>
        <w:rPr>
          <w:i/>
        </w:rPr>
        <w:t xml:space="preserve">et al. </w:t>
      </w:r>
      <w:r w:rsidRPr="00443311">
        <w:t>Midazolam</w:t>
      </w:r>
      <w:r>
        <w:t xml:space="preserve"> pharmacokinetics in Obese and Non-obese Children and Adolescents. Clin </w:t>
      </w:r>
      <w:proofErr w:type="spellStart"/>
      <w:r>
        <w:t>Pharmacokinet</w:t>
      </w:r>
      <w:proofErr w:type="spellEnd"/>
      <w:r>
        <w:t>. 2020; 59(5): 643-54</w:t>
      </w:r>
    </w:p>
    <w:p w14:paraId="21218571" w14:textId="77777777" w:rsidR="00FD1FC8" w:rsidRDefault="00FD1FC8" w:rsidP="00FD1FC8">
      <w:pPr>
        <w:pStyle w:val="ListParagraph"/>
        <w:numPr>
          <w:ilvl w:val="0"/>
          <w:numId w:val="18"/>
        </w:numPr>
      </w:pPr>
      <w:proofErr w:type="spellStart"/>
      <w:r>
        <w:t>Kyeler</w:t>
      </w:r>
      <w:proofErr w:type="spellEnd"/>
      <w:r>
        <w:t xml:space="preserve"> K, Wagner J, </w:t>
      </w:r>
      <w:proofErr w:type="spellStart"/>
      <w:r>
        <w:t>Hosery-Cojocari</w:t>
      </w:r>
      <w:proofErr w:type="spellEnd"/>
      <w:r>
        <w:t xml:space="preserve"> C, </w:t>
      </w:r>
      <w:r>
        <w:rPr>
          <w:i/>
        </w:rPr>
        <w:t>et al.</w:t>
      </w:r>
      <w:r>
        <w:t xml:space="preserve"> Drug Dose Selection in </w:t>
      </w:r>
      <w:proofErr w:type="spellStart"/>
      <w:r>
        <w:t>Pediatric</w:t>
      </w:r>
      <w:proofErr w:type="spellEnd"/>
      <w:r>
        <w:t xml:space="preserve"> Obesity: Available Information for the Most Commonly Prescribed Drugs to Children. </w:t>
      </w:r>
      <w:proofErr w:type="spellStart"/>
      <w:r>
        <w:t>Paediatr</w:t>
      </w:r>
      <w:proofErr w:type="spellEnd"/>
      <w:r>
        <w:t xml:space="preserve"> Drugs. 2019; 21(5): 357-69</w:t>
      </w:r>
      <w:r>
        <w:rPr>
          <w:i/>
        </w:rPr>
        <w:t xml:space="preserve"> </w:t>
      </w:r>
    </w:p>
    <w:p w14:paraId="30C6E219" w14:textId="77777777" w:rsidR="00FD1FC8" w:rsidRDefault="00FD1FC8" w:rsidP="00FD1FC8">
      <w:pPr>
        <w:pStyle w:val="ListParagraph"/>
        <w:numPr>
          <w:ilvl w:val="0"/>
          <w:numId w:val="18"/>
        </w:numPr>
        <w:rPr>
          <w:rFonts w:cs="Arial"/>
        </w:rPr>
      </w:pPr>
      <w:proofErr w:type="spellStart"/>
      <w:r w:rsidRPr="00A92C7E">
        <w:rPr>
          <w:rFonts w:cs="Arial"/>
        </w:rPr>
        <w:t>Cheymol</w:t>
      </w:r>
      <w:proofErr w:type="spellEnd"/>
      <w:r w:rsidRPr="00A92C7E">
        <w:rPr>
          <w:rFonts w:cs="Arial"/>
        </w:rPr>
        <w:t xml:space="preserve"> G. Effects of Obesity on Pharmacokinetics. Implications for Drug Therapy. </w:t>
      </w:r>
      <w:r>
        <w:rPr>
          <w:rFonts w:cs="Arial"/>
        </w:rPr>
        <w:t xml:space="preserve">Clin </w:t>
      </w:r>
      <w:proofErr w:type="spellStart"/>
      <w:r>
        <w:rPr>
          <w:rFonts w:cs="Arial"/>
        </w:rPr>
        <w:t>Pharmacokinet</w:t>
      </w:r>
      <w:proofErr w:type="spellEnd"/>
      <w:r>
        <w:rPr>
          <w:rFonts w:cs="Arial"/>
        </w:rPr>
        <w:t>. 2000; 39(3): 215-</w:t>
      </w:r>
      <w:r w:rsidRPr="00A92C7E">
        <w:rPr>
          <w:rFonts w:cs="Arial"/>
        </w:rPr>
        <w:t>31</w:t>
      </w:r>
      <w:r>
        <w:rPr>
          <w:rFonts w:cs="Arial"/>
        </w:rPr>
        <w:t>.</w:t>
      </w:r>
    </w:p>
    <w:p w14:paraId="5EB252C8" w14:textId="77777777" w:rsidR="00FD1FC8" w:rsidRPr="00A92C7E" w:rsidRDefault="00FD1FC8" w:rsidP="00FD1FC8">
      <w:pPr>
        <w:pStyle w:val="ListParagraph"/>
        <w:numPr>
          <w:ilvl w:val="0"/>
          <w:numId w:val="18"/>
        </w:numPr>
        <w:rPr>
          <w:rFonts w:cs="Arial"/>
        </w:rPr>
      </w:pPr>
      <w:proofErr w:type="spellStart"/>
      <w:r w:rsidRPr="00A92C7E">
        <w:rPr>
          <w:rFonts w:cs="Arial"/>
        </w:rPr>
        <w:t>Caraco</w:t>
      </w:r>
      <w:proofErr w:type="spellEnd"/>
      <w:r w:rsidRPr="00A92C7E">
        <w:rPr>
          <w:rFonts w:cs="Arial"/>
        </w:rPr>
        <w:t xml:space="preserve"> Y, Zylber-Katz E, Berry EM, et al. Carbamazepine pharmacokinetics in obese and </w:t>
      </w:r>
      <w:r>
        <w:rPr>
          <w:rFonts w:cs="Arial"/>
        </w:rPr>
        <w:t xml:space="preserve">lean subjects [abstract]. Ann </w:t>
      </w:r>
      <w:proofErr w:type="spellStart"/>
      <w:r>
        <w:rPr>
          <w:rFonts w:cs="Arial"/>
        </w:rPr>
        <w:t>Pharmacother</w:t>
      </w:r>
      <w:proofErr w:type="spellEnd"/>
      <w:r w:rsidRPr="00A92C7E">
        <w:rPr>
          <w:rFonts w:cs="Arial"/>
        </w:rPr>
        <w:t xml:space="preserve">. 1995; 29(9): 843-7.  </w:t>
      </w:r>
    </w:p>
    <w:p w14:paraId="5D63F85B" w14:textId="77777777" w:rsidR="00C87143" w:rsidRPr="00A92C7E" w:rsidRDefault="00C87143" w:rsidP="00C87143">
      <w:pPr>
        <w:pStyle w:val="ListParagraph"/>
        <w:numPr>
          <w:ilvl w:val="0"/>
          <w:numId w:val="18"/>
        </w:numPr>
        <w:rPr>
          <w:rFonts w:cs="Arial"/>
        </w:rPr>
      </w:pPr>
      <w:r w:rsidRPr="00A92C7E">
        <w:rPr>
          <w:rFonts w:cs="Arial"/>
        </w:rPr>
        <w:t xml:space="preserve">Mortensen A, Lenz K, </w:t>
      </w:r>
      <w:proofErr w:type="spellStart"/>
      <w:r w:rsidRPr="00A92C7E">
        <w:rPr>
          <w:rFonts w:cs="Arial"/>
        </w:rPr>
        <w:t>Abildstrøm</w:t>
      </w:r>
      <w:proofErr w:type="spellEnd"/>
      <w:r w:rsidRPr="00A92C7E">
        <w:rPr>
          <w:rFonts w:cs="Arial"/>
        </w:rPr>
        <w:t xml:space="preserve"> H, et al. Anesthet</w:t>
      </w:r>
      <w:r>
        <w:rPr>
          <w:rFonts w:cs="Arial"/>
        </w:rPr>
        <w:t xml:space="preserve">izing the obese child. </w:t>
      </w:r>
      <w:proofErr w:type="spellStart"/>
      <w:r>
        <w:rPr>
          <w:rFonts w:cs="Arial"/>
        </w:rPr>
        <w:t>Pediatr</w:t>
      </w:r>
      <w:proofErr w:type="spellEnd"/>
      <w:r>
        <w:rPr>
          <w:rFonts w:cs="Arial"/>
        </w:rPr>
        <w:t xml:space="preserve"> </w:t>
      </w:r>
      <w:proofErr w:type="spellStart"/>
      <w:r>
        <w:rPr>
          <w:rFonts w:cs="Arial"/>
        </w:rPr>
        <w:t>Anesth</w:t>
      </w:r>
      <w:proofErr w:type="spellEnd"/>
      <w:r w:rsidRPr="00A92C7E">
        <w:rPr>
          <w:rFonts w:cs="Arial"/>
        </w:rPr>
        <w:t>. 2011; 21</w:t>
      </w:r>
      <w:r>
        <w:rPr>
          <w:rFonts w:cs="Arial"/>
        </w:rPr>
        <w:t>(6): 623–</w:t>
      </w:r>
      <w:r w:rsidRPr="00A92C7E">
        <w:rPr>
          <w:rFonts w:cs="Arial"/>
        </w:rPr>
        <w:t>9.</w:t>
      </w:r>
    </w:p>
    <w:p w14:paraId="5808A9E2" w14:textId="77777777" w:rsidR="00EB3665" w:rsidRPr="00E21D9C" w:rsidRDefault="00EB3665" w:rsidP="00EB3665">
      <w:pPr>
        <w:pStyle w:val="ListParagraph"/>
        <w:numPr>
          <w:ilvl w:val="0"/>
          <w:numId w:val="18"/>
        </w:numPr>
      </w:pPr>
      <w:r w:rsidRPr="00E21D9C">
        <w:t>Anderson BJ, Holford NH. Getting the dose right for obese children. Arch Dis Child. 2017; 102(1):54-55.</w:t>
      </w:r>
    </w:p>
    <w:p w14:paraId="4E349422" w14:textId="77777777" w:rsidR="00EB3665" w:rsidRDefault="00EB3665" w:rsidP="00EB3665">
      <w:pPr>
        <w:pStyle w:val="ListParagraph"/>
        <w:numPr>
          <w:ilvl w:val="0"/>
          <w:numId w:val="18"/>
        </w:numPr>
      </w:pPr>
      <w:r>
        <w:lastRenderedPageBreak/>
        <w:t xml:space="preserve">Johnson PN, Miller JL, Hagemann TM, et al. Assessment of inpatient admissions and top 25 medications for obese </w:t>
      </w:r>
      <w:proofErr w:type="spellStart"/>
      <w:r>
        <w:t>pediatric</w:t>
      </w:r>
      <w:proofErr w:type="spellEnd"/>
      <w:r>
        <w:t xml:space="preserve"> patients at two academic hospitals. Am J Health </w:t>
      </w:r>
      <w:proofErr w:type="spellStart"/>
      <w:r>
        <w:t>Syst</w:t>
      </w:r>
      <w:proofErr w:type="spellEnd"/>
      <w:r>
        <w:t xml:space="preserve"> Pharm. 2016; 73(16): 1243-9.</w:t>
      </w:r>
    </w:p>
    <w:p w14:paraId="4AB07769" w14:textId="77777777" w:rsidR="00130A21" w:rsidRPr="00E21D9C" w:rsidRDefault="00130A21" w:rsidP="00130A21">
      <w:pPr>
        <w:pStyle w:val="ListParagraph"/>
        <w:numPr>
          <w:ilvl w:val="0"/>
          <w:numId w:val="18"/>
        </w:numPr>
        <w:rPr>
          <w:rFonts w:cs="Arial"/>
        </w:rPr>
      </w:pPr>
      <w:r w:rsidRPr="00E21D9C">
        <w:rPr>
          <w:rFonts w:cs="Arial"/>
        </w:rPr>
        <w:t>Richard AA, Kim S, Moffett BS, et al. Comparison of Anti-</w:t>
      </w:r>
      <w:proofErr w:type="spellStart"/>
      <w:r w:rsidRPr="00E21D9C">
        <w:rPr>
          <w:rFonts w:cs="Arial"/>
        </w:rPr>
        <w:t>Xa</w:t>
      </w:r>
      <w:proofErr w:type="spellEnd"/>
      <w:r w:rsidRPr="00E21D9C">
        <w:rPr>
          <w:rFonts w:cs="Arial"/>
        </w:rPr>
        <w:t xml:space="preserve"> Levels in Obese and Non-Obese </w:t>
      </w:r>
      <w:proofErr w:type="spellStart"/>
      <w:r w:rsidRPr="00E21D9C">
        <w:rPr>
          <w:rFonts w:cs="Arial"/>
        </w:rPr>
        <w:t>Pediatric</w:t>
      </w:r>
      <w:proofErr w:type="spellEnd"/>
      <w:r w:rsidRPr="00E21D9C">
        <w:rPr>
          <w:rFonts w:cs="Arial"/>
        </w:rPr>
        <w:t xml:space="preserve"> Patients Receiving Treatment Doses of Enoxaparin. J </w:t>
      </w:r>
      <w:proofErr w:type="spellStart"/>
      <w:r w:rsidRPr="00E21D9C">
        <w:rPr>
          <w:rFonts w:cs="Arial"/>
        </w:rPr>
        <w:t>Pediatr</w:t>
      </w:r>
      <w:proofErr w:type="spellEnd"/>
      <w:r w:rsidRPr="00E21D9C">
        <w:rPr>
          <w:rFonts w:cs="Arial"/>
        </w:rPr>
        <w:t>. 2013; 162</w:t>
      </w:r>
      <w:r>
        <w:rPr>
          <w:rFonts w:cs="Arial"/>
        </w:rPr>
        <w:t>(2)</w:t>
      </w:r>
      <w:r w:rsidRPr="00E21D9C">
        <w:rPr>
          <w:rFonts w:cs="Arial"/>
        </w:rPr>
        <w:t>:293-6.</w:t>
      </w:r>
    </w:p>
    <w:p w14:paraId="130AE3BE" w14:textId="77777777" w:rsidR="00C87143" w:rsidRPr="00E21D9C" w:rsidRDefault="00C87143" w:rsidP="00C87143">
      <w:pPr>
        <w:pStyle w:val="ListParagraph"/>
        <w:numPr>
          <w:ilvl w:val="0"/>
          <w:numId w:val="18"/>
        </w:numPr>
        <w:rPr>
          <w:rFonts w:cs="Arial"/>
        </w:rPr>
      </w:pPr>
      <w:r w:rsidRPr="00E21D9C">
        <w:rPr>
          <w:rFonts w:cs="Arial"/>
        </w:rPr>
        <w:t xml:space="preserve">Lewis TV, Johnson PN, </w:t>
      </w:r>
      <w:proofErr w:type="spellStart"/>
      <w:r w:rsidRPr="00E21D9C">
        <w:rPr>
          <w:rFonts w:cs="Arial"/>
        </w:rPr>
        <w:t>Nebbia</w:t>
      </w:r>
      <w:proofErr w:type="spellEnd"/>
      <w:r w:rsidRPr="00E21D9C">
        <w:rPr>
          <w:rFonts w:cs="Arial"/>
        </w:rPr>
        <w:t xml:space="preserve"> AM, et al. Increased Enoxaparin Dosing Is Required for Obese </w:t>
      </w:r>
      <w:r>
        <w:rPr>
          <w:rFonts w:cs="Arial"/>
        </w:rPr>
        <w:t xml:space="preserve">Children. </w:t>
      </w:r>
      <w:proofErr w:type="spellStart"/>
      <w:r>
        <w:rPr>
          <w:rFonts w:cs="Arial"/>
        </w:rPr>
        <w:t>Pediatrics</w:t>
      </w:r>
      <w:proofErr w:type="spellEnd"/>
      <w:r>
        <w:rPr>
          <w:rFonts w:cs="Arial"/>
        </w:rPr>
        <w:t>. 2011; 127(3): 787-</w:t>
      </w:r>
      <w:r w:rsidRPr="00E21D9C">
        <w:rPr>
          <w:rFonts w:cs="Arial"/>
        </w:rPr>
        <w:t xml:space="preserve">90. </w:t>
      </w:r>
    </w:p>
    <w:p w14:paraId="23CF9DF5" w14:textId="77777777" w:rsidR="00C87143" w:rsidRPr="00E21D9C" w:rsidRDefault="00C87143" w:rsidP="00C87143">
      <w:pPr>
        <w:pStyle w:val="ListParagraph"/>
        <w:numPr>
          <w:ilvl w:val="0"/>
          <w:numId w:val="18"/>
        </w:numPr>
        <w:rPr>
          <w:rFonts w:cs="Arial"/>
        </w:rPr>
      </w:pPr>
      <w:r w:rsidRPr="00E21D9C">
        <w:rPr>
          <w:rFonts w:cs="Arial"/>
        </w:rPr>
        <w:t xml:space="preserve">Moffett BS, </w:t>
      </w:r>
      <w:proofErr w:type="spellStart"/>
      <w:r w:rsidRPr="00E21D9C">
        <w:rPr>
          <w:rFonts w:cs="Arial"/>
        </w:rPr>
        <w:t>Teruya</w:t>
      </w:r>
      <w:proofErr w:type="spellEnd"/>
      <w:r w:rsidRPr="00E21D9C">
        <w:rPr>
          <w:rFonts w:cs="Arial"/>
        </w:rPr>
        <w:t xml:space="preserve"> J, Petit C. Heparin dosing in obese paediatric patients in the cardiac catheterization laboratory. Ann </w:t>
      </w:r>
      <w:proofErr w:type="spellStart"/>
      <w:r w:rsidRPr="00E21D9C">
        <w:rPr>
          <w:rFonts w:cs="Arial"/>
        </w:rPr>
        <w:t>Pharmacother</w:t>
      </w:r>
      <w:proofErr w:type="spellEnd"/>
      <w:r w:rsidRPr="00E21D9C">
        <w:rPr>
          <w:rFonts w:cs="Arial"/>
        </w:rPr>
        <w:t xml:space="preserve">. 2011; 45: 876-80. </w:t>
      </w:r>
    </w:p>
    <w:p w14:paraId="6EEB80BD" w14:textId="77777777" w:rsidR="00C87143" w:rsidRPr="00A92C7E" w:rsidRDefault="00C87143" w:rsidP="00C87143">
      <w:pPr>
        <w:pStyle w:val="ListParagraph"/>
        <w:numPr>
          <w:ilvl w:val="0"/>
          <w:numId w:val="18"/>
        </w:numPr>
        <w:rPr>
          <w:rFonts w:cs="Arial"/>
        </w:rPr>
      </w:pPr>
      <w:r>
        <w:rPr>
          <w:rFonts w:cs="Arial"/>
        </w:rPr>
        <w:t>Taylor BN, Bork SJ</w:t>
      </w:r>
      <w:r w:rsidRPr="00E21D9C">
        <w:rPr>
          <w:rFonts w:cs="Arial"/>
        </w:rPr>
        <w:t>, Kim S, et al.  Evaluation of Weight-Based Dosing of Unfractionated</w:t>
      </w:r>
      <w:r>
        <w:rPr>
          <w:rFonts w:cs="Arial"/>
        </w:rPr>
        <w:t xml:space="preserve"> Heparin in Obese Children. J </w:t>
      </w:r>
      <w:proofErr w:type="spellStart"/>
      <w:r>
        <w:rPr>
          <w:rFonts w:cs="Arial"/>
        </w:rPr>
        <w:t>Pediatr</w:t>
      </w:r>
      <w:proofErr w:type="spellEnd"/>
      <w:r>
        <w:rPr>
          <w:rFonts w:cs="Arial"/>
        </w:rPr>
        <w:t>. 2013; 163(1): 150-</w:t>
      </w:r>
      <w:r w:rsidRPr="00E21D9C">
        <w:rPr>
          <w:rFonts w:cs="Arial"/>
        </w:rPr>
        <w:t>53.</w:t>
      </w:r>
    </w:p>
    <w:p w14:paraId="42E9749A" w14:textId="77777777" w:rsidR="00130A21" w:rsidRDefault="00130A21" w:rsidP="00C87143">
      <w:pPr>
        <w:pStyle w:val="ListParagraph"/>
        <w:numPr>
          <w:ilvl w:val="0"/>
          <w:numId w:val="18"/>
        </w:numPr>
      </w:pPr>
      <w:r>
        <w:t xml:space="preserve">NPPG communication </w:t>
      </w:r>
    </w:p>
    <w:p w14:paraId="0F683E2C" w14:textId="167934C0" w:rsidR="00C87143" w:rsidRDefault="00C87143" w:rsidP="00C87143">
      <w:pPr>
        <w:pStyle w:val="ListParagraph"/>
        <w:numPr>
          <w:ilvl w:val="0"/>
          <w:numId w:val="18"/>
        </w:numPr>
      </w:pPr>
      <w:proofErr w:type="spellStart"/>
      <w:r>
        <w:t>Shakhnovich</w:t>
      </w:r>
      <w:proofErr w:type="spellEnd"/>
      <w:r>
        <w:t xml:space="preserve"> V, Smith PB, Guptill J, et al. Obese Children Require Lower Doses of Pantoprazole Than Nonobese Peers to Achieve Equal Systemic Drug Exposures. J </w:t>
      </w:r>
      <w:proofErr w:type="spellStart"/>
      <w:r>
        <w:t>Pediatr</w:t>
      </w:r>
      <w:proofErr w:type="spellEnd"/>
      <w:r>
        <w:t xml:space="preserve">. 2018; 193: 102-108. </w:t>
      </w:r>
    </w:p>
    <w:p w14:paraId="46C142EF" w14:textId="77777777" w:rsidR="002B6FD4" w:rsidRDefault="002B6FD4" w:rsidP="0068479A"/>
    <w:p w14:paraId="7583BF93" w14:textId="77777777" w:rsidR="00272522" w:rsidRDefault="00272522" w:rsidP="00427F92">
      <w:pPr>
        <w:pStyle w:val="Heading2"/>
      </w:pPr>
    </w:p>
    <w:p w14:paraId="1BFB9113" w14:textId="77777777" w:rsidR="00427F92" w:rsidRPr="00B1695F" w:rsidRDefault="00427F92" w:rsidP="00427F92">
      <w:pPr>
        <w:pStyle w:val="Heading2"/>
      </w:pPr>
      <w:r w:rsidRPr="00B00B12">
        <w:t xml:space="preserve">Quality Assurance </w:t>
      </w:r>
    </w:p>
    <w:p w14:paraId="1CF938B5" w14:textId="77777777" w:rsidR="00427F92" w:rsidRPr="00B00B12" w:rsidRDefault="00427F92" w:rsidP="00427F92">
      <w:pPr>
        <w:pStyle w:val="Heading3"/>
        <w:rPr>
          <w:lang w:val="en-US"/>
        </w:rPr>
      </w:pPr>
      <w:r w:rsidRPr="00B00B12">
        <w:rPr>
          <w:lang w:val="en-US"/>
        </w:rPr>
        <w:t>Prepared by</w:t>
      </w:r>
    </w:p>
    <w:p w14:paraId="20013114" w14:textId="67A23F75" w:rsidR="00427F92" w:rsidRDefault="00B565A0" w:rsidP="0059297E">
      <w:pPr>
        <w:spacing w:after="0"/>
        <w:rPr>
          <w:lang w:val="en-US"/>
        </w:rPr>
      </w:pPr>
      <w:r>
        <w:rPr>
          <w:lang w:val="en-US"/>
        </w:rPr>
        <w:t xml:space="preserve">Sana Junaid, Specialist Information Pharmacist, Welsh Medicines Information Centre (based on previous work by </w:t>
      </w:r>
      <w:r w:rsidR="00610DC9">
        <w:rPr>
          <w:lang w:val="en-US"/>
        </w:rPr>
        <w:t xml:space="preserve">Sara Arthur, </w:t>
      </w:r>
      <w:r w:rsidR="00757FF5">
        <w:rPr>
          <w:lang w:val="en-US"/>
        </w:rPr>
        <w:t>Specialist Information Pharmacist</w:t>
      </w:r>
      <w:r>
        <w:rPr>
          <w:lang w:val="en-US"/>
        </w:rPr>
        <w:t xml:space="preserve"> and Anna Burgess, NPPG Information Officer,</w:t>
      </w:r>
      <w:r w:rsidR="005D0001">
        <w:rPr>
          <w:lang w:val="en-US"/>
        </w:rPr>
        <w:t xml:space="preserve"> </w:t>
      </w:r>
      <w:r w:rsidR="00610DC9">
        <w:rPr>
          <w:lang w:val="en-US"/>
        </w:rPr>
        <w:t>Welsh Medicines Information Centre</w:t>
      </w:r>
      <w:r w:rsidR="00757FF5">
        <w:rPr>
          <w:lang w:val="en-US"/>
        </w:rPr>
        <w:t>, Cardiff</w:t>
      </w:r>
      <w:r>
        <w:rPr>
          <w:lang w:val="en-US"/>
        </w:rPr>
        <w:t>)</w:t>
      </w:r>
    </w:p>
    <w:p w14:paraId="68C47E04" w14:textId="77777777" w:rsidR="00427F92" w:rsidRPr="00B00B12" w:rsidRDefault="00427F92" w:rsidP="00427F92">
      <w:pPr>
        <w:pStyle w:val="Heading3"/>
        <w:rPr>
          <w:lang w:val="en-US"/>
        </w:rPr>
      </w:pPr>
      <w:r w:rsidRPr="00B00B12">
        <w:rPr>
          <w:lang w:val="en-US"/>
        </w:rPr>
        <w:t>Date Prepared</w:t>
      </w:r>
    </w:p>
    <w:p w14:paraId="1E7A5EA3" w14:textId="62675BB9" w:rsidR="00894538" w:rsidRDefault="00EC5C98" w:rsidP="007D6465">
      <w:pPr>
        <w:spacing w:after="0" w:line="240" w:lineRule="auto"/>
        <w:rPr>
          <w:lang w:val="en-US"/>
        </w:rPr>
      </w:pPr>
      <w:r>
        <w:rPr>
          <w:lang w:val="en-US"/>
        </w:rPr>
        <w:t>7</w:t>
      </w:r>
      <w:r w:rsidRPr="00551D7B">
        <w:rPr>
          <w:vertAlign w:val="superscript"/>
          <w:lang w:val="en-US"/>
        </w:rPr>
        <w:t>th</w:t>
      </w:r>
      <w:r>
        <w:rPr>
          <w:lang w:val="en-US"/>
        </w:rPr>
        <w:t xml:space="preserve"> May 2021</w:t>
      </w:r>
    </w:p>
    <w:p w14:paraId="65224056" w14:textId="77777777" w:rsidR="00894538" w:rsidRDefault="00894538" w:rsidP="007D6465">
      <w:pPr>
        <w:spacing w:after="0" w:line="240" w:lineRule="auto"/>
        <w:rPr>
          <w:lang w:val="en-US"/>
        </w:rPr>
      </w:pPr>
    </w:p>
    <w:p w14:paraId="160602AD" w14:textId="578D5C7E" w:rsidR="007D6465" w:rsidRDefault="00427F92" w:rsidP="007D6465">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7D6465">
        <w:rPr>
          <w:rFonts w:eastAsia="Times New Roman" w:cs="Arial"/>
          <w:szCs w:val="20"/>
          <w:lang w:val="en-US"/>
        </w:rPr>
        <w:t>Gail Woodland, Senior Information Pharmacist, Welsh Medicines Information Centre, Cardiff</w:t>
      </w:r>
    </w:p>
    <w:p w14:paraId="46DA9B91" w14:textId="0FBF7179" w:rsidR="00427F92" w:rsidRDefault="003D0A29" w:rsidP="00427F92">
      <w:pPr>
        <w:spacing w:after="0" w:line="240" w:lineRule="auto"/>
        <w:rPr>
          <w:rFonts w:eastAsia="Times New Roman" w:cs="Arial"/>
          <w:szCs w:val="20"/>
          <w:lang w:val="en-US"/>
        </w:rPr>
      </w:pPr>
      <w:r>
        <w:rPr>
          <w:rFonts w:eastAsia="Times New Roman" w:cs="Arial"/>
          <w:szCs w:val="20"/>
          <w:lang w:val="en-US"/>
        </w:rPr>
        <w:t xml:space="preserve">Anna Burgess, </w:t>
      </w:r>
      <w:r w:rsidR="00160DA7">
        <w:rPr>
          <w:rFonts w:eastAsia="Times New Roman" w:cs="Arial"/>
          <w:szCs w:val="20"/>
          <w:lang w:val="en-US"/>
        </w:rPr>
        <w:t>NPPG Information Officer</w:t>
      </w:r>
      <w:r w:rsidR="00757FF5">
        <w:rPr>
          <w:rFonts w:eastAsia="Times New Roman" w:cs="Arial"/>
          <w:szCs w:val="20"/>
          <w:lang w:val="en-US"/>
        </w:rPr>
        <w:t xml:space="preserve">, </w:t>
      </w:r>
      <w:r>
        <w:rPr>
          <w:rFonts w:eastAsia="Times New Roman" w:cs="Arial"/>
          <w:szCs w:val="20"/>
          <w:lang w:val="en-US"/>
        </w:rPr>
        <w:t xml:space="preserve">Welsh Medicines </w:t>
      </w:r>
      <w:r w:rsidR="004702A7">
        <w:rPr>
          <w:rFonts w:eastAsia="Times New Roman" w:cs="Arial"/>
          <w:szCs w:val="20"/>
          <w:lang w:val="en-US"/>
        </w:rPr>
        <w:t xml:space="preserve">Information </w:t>
      </w:r>
      <w:r>
        <w:rPr>
          <w:rFonts w:eastAsia="Times New Roman" w:cs="Arial"/>
          <w:szCs w:val="20"/>
          <w:lang w:val="en-US"/>
        </w:rPr>
        <w:t>Centre</w:t>
      </w:r>
      <w:r w:rsidR="00757FF5">
        <w:rPr>
          <w:rFonts w:eastAsia="Times New Roman" w:cs="Arial"/>
          <w:szCs w:val="20"/>
          <w:lang w:val="en-US"/>
        </w:rPr>
        <w:t>, Cardiff</w:t>
      </w:r>
    </w:p>
    <w:p w14:paraId="4B8EF5A6" w14:textId="5FAF7907" w:rsidR="00427F92" w:rsidRPr="00B1695F" w:rsidRDefault="00427F92" w:rsidP="00427F92">
      <w:pPr>
        <w:pStyle w:val="Heading3"/>
        <w:rPr>
          <w:rFonts w:cs="Arial"/>
          <w:lang w:val="en-US"/>
        </w:rPr>
      </w:pPr>
      <w:r w:rsidRPr="00B00B12">
        <w:rPr>
          <w:lang w:val="en-US"/>
        </w:rPr>
        <w:t>Date of chec</w:t>
      </w:r>
      <w:r>
        <w:rPr>
          <w:lang w:val="en-US"/>
        </w:rPr>
        <w:t>k</w:t>
      </w:r>
    </w:p>
    <w:p w14:paraId="7FC42B52" w14:textId="0F28EF00" w:rsidR="00894538" w:rsidRPr="000E549F" w:rsidRDefault="000E549F" w:rsidP="00427F92">
      <w:pPr>
        <w:pStyle w:val="Heading3"/>
        <w:rPr>
          <w:b w:val="0"/>
          <w:color w:val="auto"/>
          <w:lang w:val="en-US"/>
        </w:rPr>
      </w:pPr>
      <w:r>
        <w:rPr>
          <w:b w:val="0"/>
          <w:color w:val="auto"/>
          <w:lang w:val="en-US"/>
        </w:rPr>
        <w:t>28</w:t>
      </w:r>
      <w:r w:rsidR="00EC5C98" w:rsidRPr="000E549F">
        <w:rPr>
          <w:b w:val="0"/>
          <w:color w:val="auto"/>
          <w:lang w:val="en-US"/>
        </w:rPr>
        <w:t>th May</w:t>
      </w:r>
      <w:r w:rsidR="004D7CDD" w:rsidRPr="000E549F">
        <w:rPr>
          <w:b w:val="0"/>
          <w:color w:val="auto"/>
          <w:lang w:val="en-US"/>
        </w:rPr>
        <w:t xml:space="preserve"> 2021</w:t>
      </w:r>
    </w:p>
    <w:p w14:paraId="3909BD0E" w14:textId="77777777" w:rsidR="00427F92" w:rsidRPr="00B00B12" w:rsidRDefault="00427F92" w:rsidP="00427F92">
      <w:pPr>
        <w:pStyle w:val="Heading3"/>
        <w:rPr>
          <w:lang w:val="en-US"/>
        </w:rPr>
      </w:pPr>
      <w:r w:rsidRPr="00B00B12">
        <w:rPr>
          <w:lang w:val="en-US"/>
        </w:rPr>
        <w:t>Search strategy</w:t>
      </w:r>
    </w:p>
    <w:p w14:paraId="45A69E3F" w14:textId="6555B3AA" w:rsidR="002346B7" w:rsidRDefault="00464129" w:rsidP="002346B7">
      <w:pPr>
        <w:autoSpaceDE w:val="0"/>
        <w:autoSpaceDN w:val="0"/>
        <w:adjustRightInd w:val="0"/>
        <w:spacing w:after="0" w:line="240" w:lineRule="auto"/>
        <w:rPr>
          <w:rFonts w:eastAsiaTheme="minorHAnsi" w:cs="Arial"/>
          <w:color w:val="000000"/>
          <w:szCs w:val="20"/>
        </w:rPr>
      </w:pPr>
      <w:r w:rsidRPr="00F26D92">
        <w:rPr>
          <w:rFonts w:eastAsiaTheme="minorHAnsi" w:cs="Arial"/>
          <w:color w:val="000000"/>
          <w:szCs w:val="20"/>
          <w:u w:val="single"/>
        </w:rPr>
        <w:t xml:space="preserve">General </w:t>
      </w:r>
      <w:proofErr w:type="spellStart"/>
      <w:r w:rsidR="002346B7" w:rsidRPr="00F26D92">
        <w:rPr>
          <w:rFonts w:eastAsiaTheme="minorHAnsi" w:cs="Arial"/>
          <w:color w:val="000000"/>
          <w:szCs w:val="20"/>
          <w:u w:val="single"/>
        </w:rPr>
        <w:t>Embase</w:t>
      </w:r>
      <w:proofErr w:type="spellEnd"/>
      <w:r w:rsidRPr="00F26D92">
        <w:rPr>
          <w:rFonts w:eastAsiaTheme="minorHAnsi" w:cs="Arial"/>
          <w:color w:val="000000"/>
          <w:szCs w:val="20"/>
          <w:u w:val="single"/>
        </w:rPr>
        <w:t xml:space="preserve"> search</w:t>
      </w:r>
      <w:r w:rsidR="002346B7" w:rsidRPr="002346B7">
        <w:rPr>
          <w:rFonts w:eastAsiaTheme="minorHAnsi" w:cs="Arial"/>
          <w:color w:val="000000"/>
          <w:szCs w:val="20"/>
        </w:rPr>
        <w:t>: [*WEIGHT OR *BODY WEIGHT OR*OBESITY</w:t>
      </w:r>
      <w:r w:rsidR="00005267">
        <w:rPr>
          <w:rFonts w:eastAsiaTheme="minorHAnsi" w:cs="Arial"/>
          <w:color w:val="000000"/>
          <w:szCs w:val="20"/>
        </w:rPr>
        <w:t xml:space="preserve"> OR *ADOLESCENT OBESITY OR *CHILDHOOD OBESITY</w:t>
      </w:r>
      <w:r w:rsidR="002346B7" w:rsidRPr="002346B7">
        <w:rPr>
          <w:rFonts w:eastAsiaTheme="minorHAnsi" w:cs="Arial"/>
          <w:color w:val="000000"/>
          <w:szCs w:val="20"/>
        </w:rPr>
        <w:t>]</w:t>
      </w:r>
      <w:r w:rsidR="00005267">
        <w:rPr>
          <w:rFonts w:eastAsiaTheme="minorHAnsi" w:cs="Arial"/>
          <w:color w:val="000000"/>
          <w:szCs w:val="20"/>
        </w:rPr>
        <w:t xml:space="preserve"> AND [DOSE CALCULATION OR DRUG DOSE OR PHARMACOKINETICS]</w:t>
      </w:r>
      <w:r w:rsidR="002346B7" w:rsidRPr="002346B7">
        <w:rPr>
          <w:rFonts w:eastAsiaTheme="minorHAnsi" w:cs="Arial"/>
          <w:color w:val="000000"/>
          <w:szCs w:val="20"/>
        </w:rPr>
        <w:t xml:space="preserve"> Limit to: Human and (</w:t>
      </w:r>
      <w:r w:rsidR="00005267">
        <w:rPr>
          <w:rFonts w:eastAsiaTheme="minorHAnsi" w:cs="Arial"/>
          <w:color w:val="000000"/>
          <w:szCs w:val="20"/>
        </w:rPr>
        <w:t>child &lt;unspecified age&gt;</w:t>
      </w:r>
      <w:r w:rsidR="002346B7" w:rsidRPr="002346B7">
        <w:rPr>
          <w:rFonts w:eastAsiaTheme="minorHAnsi" w:cs="Arial"/>
          <w:color w:val="000000"/>
          <w:szCs w:val="20"/>
        </w:rPr>
        <w:t xml:space="preserve">) and English Language </w:t>
      </w:r>
    </w:p>
    <w:p w14:paraId="52ED338E" w14:textId="77777777" w:rsidR="001C2308" w:rsidRDefault="001C2308" w:rsidP="002346B7">
      <w:pPr>
        <w:autoSpaceDE w:val="0"/>
        <w:autoSpaceDN w:val="0"/>
        <w:adjustRightInd w:val="0"/>
        <w:spacing w:after="0" w:line="240" w:lineRule="auto"/>
        <w:rPr>
          <w:rFonts w:eastAsiaTheme="minorHAnsi" w:cs="Arial"/>
          <w:color w:val="000000"/>
          <w:szCs w:val="20"/>
        </w:rPr>
      </w:pPr>
    </w:p>
    <w:p w14:paraId="0DB7D487" w14:textId="046C9129" w:rsidR="00464129" w:rsidRDefault="00464129" w:rsidP="002346B7">
      <w:pPr>
        <w:autoSpaceDE w:val="0"/>
        <w:autoSpaceDN w:val="0"/>
        <w:adjustRightInd w:val="0"/>
        <w:spacing w:after="0" w:line="240" w:lineRule="auto"/>
        <w:rPr>
          <w:rFonts w:eastAsiaTheme="minorHAnsi" w:cs="Arial"/>
          <w:color w:val="000000"/>
          <w:szCs w:val="20"/>
        </w:rPr>
      </w:pPr>
      <w:r w:rsidRPr="00F26D92">
        <w:rPr>
          <w:rFonts w:eastAsiaTheme="minorHAnsi" w:cs="Arial"/>
          <w:color w:val="000000"/>
          <w:szCs w:val="20"/>
          <w:u w:val="single"/>
        </w:rPr>
        <w:t xml:space="preserve">Specific </w:t>
      </w:r>
      <w:proofErr w:type="spellStart"/>
      <w:r w:rsidRPr="00F26D92">
        <w:rPr>
          <w:rFonts w:eastAsiaTheme="minorHAnsi" w:cs="Arial"/>
          <w:color w:val="000000"/>
          <w:szCs w:val="20"/>
          <w:u w:val="single"/>
        </w:rPr>
        <w:t>Embase</w:t>
      </w:r>
      <w:proofErr w:type="spellEnd"/>
      <w:r w:rsidRPr="00F26D92">
        <w:rPr>
          <w:rFonts w:eastAsiaTheme="minorHAnsi" w:cs="Arial"/>
          <w:color w:val="000000"/>
          <w:szCs w:val="20"/>
          <w:u w:val="single"/>
        </w:rPr>
        <w:t xml:space="preserve"> search</w:t>
      </w:r>
      <w:r>
        <w:rPr>
          <w:rFonts w:eastAsiaTheme="minorHAnsi" w:cs="Arial"/>
          <w:color w:val="000000"/>
          <w:szCs w:val="20"/>
        </w:rPr>
        <w:t xml:space="preserve">: </w:t>
      </w:r>
    </w:p>
    <w:p w14:paraId="006B325D" w14:textId="32C85B84" w:rsidR="00464129" w:rsidRPr="00464129" w:rsidRDefault="00464129" w:rsidP="00464129">
      <w:pPr>
        <w:autoSpaceDE w:val="0"/>
        <w:autoSpaceDN w:val="0"/>
        <w:adjustRightInd w:val="0"/>
        <w:spacing w:after="0" w:line="240" w:lineRule="auto"/>
        <w:rPr>
          <w:rFonts w:eastAsiaTheme="minorHAnsi" w:cs="Arial"/>
          <w:color w:val="000000"/>
          <w:szCs w:val="20"/>
        </w:rPr>
      </w:pPr>
      <w:r w:rsidRPr="00464129">
        <w:rPr>
          <w:rFonts w:eastAsiaTheme="minorHAnsi" w:cs="Arial"/>
          <w:color w:val="000000"/>
          <w:szCs w:val="20"/>
        </w:rPr>
        <w:t>1</w:t>
      </w:r>
      <w:r w:rsidR="005100A5">
        <w:rPr>
          <w:rFonts w:eastAsiaTheme="minorHAnsi" w:cs="Arial"/>
          <w:color w:val="000000"/>
          <w:szCs w:val="20"/>
        </w:rPr>
        <w:t>.</w:t>
      </w:r>
      <w:r w:rsidRPr="00464129">
        <w:rPr>
          <w:rFonts w:eastAsiaTheme="minorHAnsi" w:cs="Arial"/>
          <w:color w:val="000000"/>
          <w:szCs w:val="20"/>
        </w:rPr>
        <w:t xml:space="preserve"> </w:t>
      </w:r>
      <w:r w:rsidR="0079700C">
        <w:rPr>
          <w:rFonts w:eastAsiaTheme="minorHAnsi" w:cs="Arial"/>
          <w:color w:val="000000"/>
          <w:szCs w:val="20"/>
        </w:rPr>
        <w:t>[</w:t>
      </w:r>
      <w:r w:rsidRPr="00464129">
        <w:rPr>
          <w:rFonts w:eastAsiaTheme="minorHAnsi" w:cs="Arial"/>
          <w:color w:val="000000"/>
          <w:szCs w:val="20"/>
        </w:rPr>
        <w:t>pharmacokinetics.mp. or exp *pharmacokinetics/</w:t>
      </w:r>
      <w:r w:rsidR="0079700C">
        <w:rPr>
          <w:rFonts w:eastAsiaTheme="minorHAnsi" w:cs="Arial"/>
          <w:color w:val="000000"/>
          <w:szCs w:val="20"/>
        </w:rPr>
        <w:t>] or [</w:t>
      </w:r>
      <w:r w:rsidRPr="00464129">
        <w:rPr>
          <w:rFonts w:eastAsiaTheme="minorHAnsi" w:cs="Arial"/>
          <w:color w:val="000000"/>
          <w:szCs w:val="20"/>
        </w:rPr>
        <w:t>tissue distribution.mp. or *tissue distribution/</w:t>
      </w:r>
      <w:r w:rsidR="0079700C">
        <w:rPr>
          <w:rFonts w:eastAsiaTheme="minorHAnsi" w:cs="Arial"/>
          <w:color w:val="000000"/>
          <w:szCs w:val="20"/>
        </w:rPr>
        <w:t>] or [</w:t>
      </w:r>
      <w:r w:rsidRPr="00464129">
        <w:rPr>
          <w:rFonts w:eastAsiaTheme="minorHAnsi" w:cs="Arial"/>
          <w:color w:val="000000"/>
          <w:szCs w:val="20"/>
        </w:rPr>
        <w:t>*bioavailability/</w:t>
      </w:r>
      <w:r w:rsidR="0079700C">
        <w:rPr>
          <w:rFonts w:eastAsiaTheme="minorHAnsi" w:cs="Arial"/>
          <w:color w:val="000000"/>
          <w:szCs w:val="20"/>
        </w:rPr>
        <w:t>] or [</w:t>
      </w:r>
      <w:r w:rsidRPr="00464129">
        <w:rPr>
          <w:rFonts w:eastAsiaTheme="minorHAnsi" w:cs="Arial"/>
          <w:color w:val="000000"/>
          <w:szCs w:val="20"/>
        </w:rPr>
        <w:t>exp *drug dose/</w:t>
      </w:r>
      <w:r w:rsidR="0079700C">
        <w:rPr>
          <w:rFonts w:eastAsiaTheme="minorHAnsi" w:cs="Arial"/>
          <w:color w:val="000000"/>
          <w:szCs w:val="20"/>
        </w:rPr>
        <w:t>] or [</w:t>
      </w:r>
      <w:r w:rsidRPr="00464129">
        <w:rPr>
          <w:rFonts w:eastAsiaTheme="minorHAnsi" w:cs="Arial"/>
          <w:color w:val="000000"/>
          <w:szCs w:val="20"/>
        </w:rPr>
        <w:t>*dose calculation/</w:t>
      </w:r>
      <w:r w:rsidR="0079700C">
        <w:rPr>
          <w:rFonts w:eastAsiaTheme="minorHAnsi" w:cs="Arial"/>
          <w:color w:val="000000"/>
          <w:szCs w:val="20"/>
        </w:rPr>
        <w:t>]</w:t>
      </w:r>
      <w:r w:rsidRPr="00464129">
        <w:rPr>
          <w:rFonts w:eastAsiaTheme="minorHAnsi" w:cs="Arial"/>
          <w:color w:val="000000"/>
          <w:szCs w:val="20"/>
        </w:rPr>
        <w:t xml:space="preserve"> </w:t>
      </w:r>
    </w:p>
    <w:p w14:paraId="2C4B78FF" w14:textId="4B6B936B" w:rsidR="00464129" w:rsidRPr="00464129" w:rsidRDefault="0079700C" w:rsidP="00464129">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2</w:t>
      </w:r>
      <w:r w:rsidR="005100A5">
        <w:rPr>
          <w:rFonts w:eastAsiaTheme="minorHAnsi" w:cs="Arial"/>
          <w:color w:val="000000"/>
          <w:szCs w:val="20"/>
        </w:rPr>
        <w:t>.</w:t>
      </w:r>
      <w:r>
        <w:rPr>
          <w:rFonts w:eastAsiaTheme="minorHAnsi" w:cs="Arial"/>
          <w:color w:val="000000"/>
          <w:szCs w:val="20"/>
        </w:rPr>
        <w:t xml:space="preserve"> [</w:t>
      </w:r>
      <w:r w:rsidR="00464129" w:rsidRPr="00464129">
        <w:rPr>
          <w:rFonts w:eastAsiaTheme="minorHAnsi" w:cs="Arial"/>
          <w:color w:val="000000"/>
          <w:szCs w:val="20"/>
        </w:rPr>
        <w:t>*adolescent obesity/</w:t>
      </w:r>
      <w:r>
        <w:rPr>
          <w:rFonts w:eastAsiaTheme="minorHAnsi" w:cs="Arial"/>
          <w:color w:val="000000"/>
          <w:szCs w:val="20"/>
        </w:rPr>
        <w:t>]</w:t>
      </w:r>
      <w:r w:rsidR="00464129" w:rsidRPr="00464129">
        <w:rPr>
          <w:rFonts w:eastAsiaTheme="minorHAnsi" w:cs="Arial"/>
          <w:color w:val="000000"/>
          <w:szCs w:val="20"/>
        </w:rPr>
        <w:t xml:space="preserve"> or </w:t>
      </w:r>
      <w:r>
        <w:rPr>
          <w:rFonts w:eastAsiaTheme="minorHAnsi" w:cs="Arial"/>
          <w:color w:val="000000"/>
          <w:szCs w:val="20"/>
        </w:rPr>
        <w:t>[</w:t>
      </w:r>
      <w:r w:rsidR="00464129" w:rsidRPr="00464129">
        <w:rPr>
          <w:rFonts w:eastAsiaTheme="minorHAnsi" w:cs="Arial"/>
          <w:color w:val="000000"/>
          <w:szCs w:val="20"/>
        </w:rPr>
        <w:t>*obesity/</w:t>
      </w:r>
      <w:r>
        <w:rPr>
          <w:rFonts w:eastAsiaTheme="minorHAnsi" w:cs="Arial"/>
          <w:color w:val="000000"/>
          <w:szCs w:val="20"/>
        </w:rPr>
        <w:t>]</w:t>
      </w:r>
      <w:r w:rsidR="00464129" w:rsidRPr="00464129">
        <w:rPr>
          <w:rFonts w:eastAsiaTheme="minorHAnsi" w:cs="Arial"/>
          <w:color w:val="000000"/>
          <w:szCs w:val="20"/>
        </w:rPr>
        <w:t xml:space="preserve"> or </w:t>
      </w:r>
      <w:r>
        <w:rPr>
          <w:rFonts w:eastAsiaTheme="minorHAnsi" w:cs="Arial"/>
          <w:color w:val="000000"/>
          <w:szCs w:val="20"/>
        </w:rPr>
        <w:t>[</w:t>
      </w:r>
      <w:r w:rsidR="00464129" w:rsidRPr="00464129">
        <w:rPr>
          <w:rFonts w:eastAsiaTheme="minorHAnsi" w:cs="Arial"/>
          <w:color w:val="000000"/>
          <w:szCs w:val="20"/>
        </w:rPr>
        <w:t>*childhood obesity/</w:t>
      </w:r>
      <w:r>
        <w:rPr>
          <w:rFonts w:eastAsiaTheme="minorHAnsi" w:cs="Arial"/>
          <w:color w:val="000000"/>
          <w:szCs w:val="20"/>
        </w:rPr>
        <w:t>] or [</w:t>
      </w:r>
      <w:r w:rsidR="00464129" w:rsidRPr="00464129">
        <w:rPr>
          <w:rFonts w:eastAsiaTheme="minorHAnsi" w:cs="Arial"/>
          <w:color w:val="000000"/>
          <w:szCs w:val="20"/>
        </w:rPr>
        <w:t>exp *body weight/</w:t>
      </w:r>
      <w:r>
        <w:rPr>
          <w:rFonts w:eastAsiaTheme="minorHAnsi" w:cs="Arial"/>
          <w:color w:val="000000"/>
          <w:szCs w:val="20"/>
        </w:rPr>
        <w:t>]</w:t>
      </w:r>
      <w:r w:rsidR="00464129" w:rsidRPr="00464129">
        <w:rPr>
          <w:rFonts w:eastAsiaTheme="minorHAnsi" w:cs="Arial"/>
          <w:color w:val="000000"/>
          <w:szCs w:val="20"/>
        </w:rPr>
        <w:t xml:space="preserve"> </w:t>
      </w:r>
    </w:p>
    <w:p w14:paraId="666D96E7" w14:textId="7903601C" w:rsidR="00464129" w:rsidRPr="00464129" w:rsidRDefault="0079700C" w:rsidP="00464129">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3</w:t>
      </w:r>
      <w:r w:rsidR="005100A5">
        <w:rPr>
          <w:rFonts w:eastAsiaTheme="minorHAnsi" w:cs="Arial"/>
          <w:color w:val="000000"/>
          <w:szCs w:val="20"/>
        </w:rPr>
        <w:t>.</w:t>
      </w:r>
      <w:r w:rsidR="00464129" w:rsidRPr="00464129">
        <w:rPr>
          <w:rFonts w:eastAsiaTheme="minorHAnsi" w:cs="Arial"/>
          <w:color w:val="000000"/>
          <w:szCs w:val="20"/>
        </w:rPr>
        <w:t xml:space="preserve"> </w:t>
      </w:r>
      <w:r>
        <w:rPr>
          <w:rFonts w:eastAsiaTheme="minorHAnsi" w:cs="Arial"/>
          <w:color w:val="000000"/>
          <w:szCs w:val="20"/>
        </w:rPr>
        <w:t>1 and 2</w:t>
      </w:r>
    </w:p>
    <w:p w14:paraId="03E46F85" w14:textId="23BEE566" w:rsidR="00464129" w:rsidRDefault="0079700C" w:rsidP="00464129">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4</w:t>
      </w:r>
      <w:r w:rsidR="005100A5">
        <w:rPr>
          <w:rFonts w:eastAsiaTheme="minorHAnsi" w:cs="Arial"/>
          <w:color w:val="000000"/>
          <w:szCs w:val="20"/>
        </w:rPr>
        <w:t>.</w:t>
      </w:r>
      <w:r w:rsidR="00365BF4">
        <w:rPr>
          <w:rFonts w:eastAsiaTheme="minorHAnsi" w:cs="Arial"/>
          <w:color w:val="000000"/>
          <w:szCs w:val="20"/>
        </w:rPr>
        <w:t xml:space="preserve"> </w:t>
      </w:r>
      <w:r w:rsidR="003567D4">
        <w:rPr>
          <w:rFonts w:eastAsiaTheme="minorHAnsi" w:cs="Arial"/>
          <w:color w:val="000000"/>
          <w:szCs w:val="20"/>
        </w:rPr>
        <w:t>[</w:t>
      </w:r>
      <w:r w:rsidR="00464129" w:rsidRPr="00464129">
        <w:rPr>
          <w:rFonts w:eastAsiaTheme="minorHAnsi" w:cs="Arial"/>
          <w:color w:val="000000"/>
          <w:szCs w:val="20"/>
        </w:rPr>
        <w:t>*analgesic agent/</w:t>
      </w:r>
      <w:r w:rsidR="003567D4">
        <w:rPr>
          <w:rFonts w:eastAsiaTheme="minorHAnsi" w:cs="Arial"/>
          <w:color w:val="000000"/>
          <w:szCs w:val="20"/>
        </w:rPr>
        <w:t>] or [</w:t>
      </w:r>
      <w:r w:rsidR="00464129" w:rsidRPr="00464129">
        <w:rPr>
          <w:rFonts w:eastAsiaTheme="minorHAnsi" w:cs="Arial"/>
          <w:color w:val="000000"/>
          <w:szCs w:val="20"/>
        </w:rPr>
        <w:t>*narcot</w:t>
      </w:r>
      <w:r w:rsidR="003567D4">
        <w:rPr>
          <w:rFonts w:eastAsiaTheme="minorHAnsi" w:cs="Arial"/>
          <w:color w:val="000000"/>
          <w:szCs w:val="20"/>
        </w:rPr>
        <w:t>ic analgesic agent] or [</w:t>
      </w:r>
      <w:r w:rsidR="00464129" w:rsidRPr="00464129">
        <w:rPr>
          <w:rFonts w:eastAsiaTheme="minorHAnsi" w:cs="Arial"/>
          <w:color w:val="000000"/>
          <w:szCs w:val="20"/>
        </w:rPr>
        <w:t>nsaid.mp. or *</w:t>
      </w:r>
      <w:proofErr w:type="spellStart"/>
      <w:r w:rsidR="00464129" w:rsidRPr="00464129">
        <w:rPr>
          <w:rFonts w:eastAsiaTheme="minorHAnsi" w:cs="Arial"/>
          <w:color w:val="000000"/>
          <w:szCs w:val="20"/>
        </w:rPr>
        <w:t>no</w:t>
      </w:r>
      <w:r w:rsidR="003567D4">
        <w:rPr>
          <w:rFonts w:eastAsiaTheme="minorHAnsi" w:cs="Arial"/>
          <w:color w:val="000000"/>
          <w:szCs w:val="20"/>
        </w:rPr>
        <w:t>nsteroid</w:t>
      </w:r>
      <w:proofErr w:type="spellEnd"/>
      <w:r w:rsidR="003567D4">
        <w:rPr>
          <w:rFonts w:eastAsiaTheme="minorHAnsi" w:cs="Arial"/>
          <w:color w:val="000000"/>
          <w:szCs w:val="20"/>
        </w:rPr>
        <w:t xml:space="preserve"> </w:t>
      </w:r>
      <w:proofErr w:type="spellStart"/>
      <w:r w:rsidR="003567D4">
        <w:rPr>
          <w:rFonts w:eastAsiaTheme="minorHAnsi" w:cs="Arial"/>
          <w:color w:val="000000"/>
          <w:szCs w:val="20"/>
        </w:rPr>
        <w:t>antiinflammatory</w:t>
      </w:r>
      <w:proofErr w:type="spellEnd"/>
      <w:r w:rsidR="003567D4">
        <w:rPr>
          <w:rFonts w:eastAsiaTheme="minorHAnsi" w:cs="Arial"/>
          <w:color w:val="000000"/>
          <w:szCs w:val="20"/>
        </w:rPr>
        <w:t xml:space="preserve"> agent] or [p</w:t>
      </w:r>
      <w:r w:rsidR="00464129" w:rsidRPr="00464129">
        <w:rPr>
          <w:rFonts w:eastAsiaTheme="minorHAnsi" w:cs="Arial"/>
          <w:color w:val="000000"/>
          <w:szCs w:val="20"/>
        </w:rPr>
        <w:t>aracetamol.mp. or paracetamol/</w:t>
      </w:r>
      <w:r w:rsidR="003567D4">
        <w:rPr>
          <w:rFonts w:eastAsiaTheme="minorHAnsi" w:cs="Arial"/>
          <w:color w:val="000000"/>
          <w:szCs w:val="20"/>
        </w:rPr>
        <w:t>] or [</w:t>
      </w:r>
      <w:r w:rsidR="00464129" w:rsidRPr="00464129">
        <w:rPr>
          <w:rFonts w:eastAsiaTheme="minorHAnsi" w:cs="Arial"/>
          <w:color w:val="000000"/>
          <w:szCs w:val="20"/>
        </w:rPr>
        <w:t>ibuprofen.mp. or ibuprofen</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diclofenac/ or diclofenac.mp.</w:t>
      </w:r>
      <w:r w:rsidR="003567D4">
        <w:rPr>
          <w:rFonts w:eastAsiaTheme="minorHAnsi" w:cs="Arial"/>
          <w:color w:val="000000"/>
          <w:szCs w:val="20"/>
        </w:rPr>
        <w:t>] or [naproxen/ or naproxen.mp] or [</w:t>
      </w:r>
      <w:r w:rsidR="00464129" w:rsidRPr="00464129">
        <w:rPr>
          <w:rFonts w:eastAsiaTheme="minorHAnsi" w:cs="Arial"/>
          <w:color w:val="000000"/>
          <w:szCs w:val="20"/>
        </w:rPr>
        <w:t>opiate agonist/</w:t>
      </w:r>
      <w:r w:rsidR="003567D4">
        <w:rPr>
          <w:rFonts w:eastAsiaTheme="minorHAnsi" w:cs="Arial"/>
          <w:color w:val="000000"/>
          <w:szCs w:val="20"/>
        </w:rPr>
        <w:t>] or [</w:t>
      </w:r>
      <w:r w:rsidR="00464129" w:rsidRPr="00464129">
        <w:rPr>
          <w:rFonts w:eastAsiaTheme="minorHAnsi" w:cs="Arial"/>
          <w:color w:val="000000"/>
          <w:szCs w:val="20"/>
        </w:rPr>
        <w:t xml:space="preserve">morphine </w:t>
      </w:r>
      <w:proofErr w:type="spellStart"/>
      <w:r w:rsidR="00464129" w:rsidRPr="00464129">
        <w:rPr>
          <w:rFonts w:eastAsiaTheme="minorHAnsi" w:cs="Arial"/>
          <w:color w:val="000000"/>
          <w:szCs w:val="20"/>
        </w:rPr>
        <w:t>sulfate</w:t>
      </w:r>
      <w:proofErr w:type="spellEnd"/>
      <w:r w:rsidR="00464129" w:rsidRPr="00464129">
        <w:rPr>
          <w:rFonts w:eastAsiaTheme="minorHAnsi" w:cs="Arial"/>
          <w:color w:val="000000"/>
          <w:szCs w:val="20"/>
        </w:rPr>
        <w:t>/ or morphin</w:t>
      </w:r>
      <w:r w:rsidR="003567D4">
        <w:rPr>
          <w:rFonts w:eastAsiaTheme="minorHAnsi" w:cs="Arial"/>
          <w:color w:val="000000"/>
          <w:szCs w:val="20"/>
        </w:rPr>
        <w:t>e.mp] or [</w:t>
      </w:r>
      <w:r w:rsidR="00464129" w:rsidRPr="00464129">
        <w:rPr>
          <w:rFonts w:eastAsiaTheme="minorHAnsi" w:cs="Arial"/>
          <w:color w:val="000000"/>
          <w:szCs w:val="20"/>
        </w:rPr>
        <w:t>buprenorphine/ or buprenorphine.mp.</w:t>
      </w:r>
      <w:r w:rsidR="003567D4">
        <w:rPr>
          <w:rFonts w:eastAsiaTheme="minorHAnsi" w:cs="Arial"/>
          <w:color w:val="000000"/>
          <w:szCs w:val="20"/>
        </w:rPr>
        <w:t>] or [</w:t>
      </w:r>
      <w:r w:rsidR="00464129" w:rsidRPr="00464129">
        <w:rPr>
          <w:rFonts w:eastAsiaTheme="minorHAnsi" w:cs="Arial"/>
          <w:color w:val="000000"/>
          <w:szCs w:val="20"/>
        </w:rPr>
        <w:t>fentanyl.mp. or fentanyl/</w:t>
      </w:r>
      <w:r w:rsidR="003567D4">
        <w:rPr>
          <w:rFonts w:eastAsiaTheme="minorHAnsi" w:cs="Arial"/>
          <w:color w:val="000000"/>
          <w:szCs w:val="20"/>
        </w:rPr>
        <w:t>] or [</w:t>
      </w:r>
      <w:r w:rsidR="00464129" w:rsidRPr="00464129">
        <w:rPr>
          <w:rFonts w:eastAsiaTheme="minorHAnsi" w:cs="Arial"/>
          <w:color w:val="000000"/>
          <w:szCs w:val="20"/>
        </w:rPr>
        <w:t>oxycodone.mp. or oxycodone/</w:t>
      </w:r>
      <w:r w:rsidR="003567D4">
        <w:rPr>
          <w:rFonts w:eastAsiaTheme="minorHAnsi" w:cs="Arial"/>
          <w:color w:val="000000"/>
          <w:szCs w:val="20"/>
        </w:rPr>
        <w:t>] or [a</w:t>
      </w:r>
      <w:r w:rsidR="00464129" w:rsidRPr="00464129">
        <w:rPr>
          <w:rFonts w:eastAsiaTheme="minorHAnsi" w:cs="Arial"/>
          <w:color w:val="000000"/>
          <w:szCs w:val="20"/>
        </w:rPr>
        <w:t>nticonvulsant.mp. or *anticonvulsive agent/</w:t>
      </w:r>
      <w:r w:rsidR="003567D4">
        <w:rPr>
          <w:rFonts w:eastAsiaTheme="minorHAnsi" w:cs="Arial"/>
          <w:color w:val="000000"/>
          <w:szCs w:val="20"/>
        </w:rPr>
        <w:t>] or [</w:t>
      </w:r>
      <w:r w:rsidR="00464129" w:rsidRPr="00464129">
        <w:rPr>
          <w:rFonts w:eastAsiaTheme="minorHAnsi" w:cs="Arial"/>
          <w:color w:val="000000"/>
          <w:szCs w:val="20"/>
        </w:rPr>
        <w:t>*hypnotic sedative agent/</w:t>
      </w:r>
      <w:r w:rsidR="003567D4">
        <w:rPr>
          <w:rFonts w:eastAsiaTheme="minorHAnsi" w:cs="Arial"/>
          <w:color w:val="000000"/>
          <w:szCs w:val="20"/>
        </w:rPr>
        <w:t>] or [*</w:t>
      </w:r>
      <w:r w:rsidR="00464129" w:rsidRPr="00464129">
        <w:rPr>
          <w:rFonts w:eastAsiaTheme="minorHAnsi" w:cs="Arial"/>
          <w:color w:val="000000"/>
          <w:szCs w:val="20"/>
        </w:rPr>
        <w:t>benzodiazepine derivative/</w:t>
      </w:r>
      <w:r w:rsidR="003567D4">
        <w:rPr>
          <w:rFonts w:eastAsiaTheme="minorHAnsi" w:cs="Arial"/>
          <w:color w:val="000000"/>
          <w:szCs w:val="20"/>
        </w:rPr>
        <w:t>] or [</w:t>
      </w:r>
      <w:r w:rsidR="00464129" w:rsidRPr="00464129">
        <w:rPr>
          <w:rFonts w:eastAsiaTheme="minorHAnsi" w:cs="Arial"/>
          <w:color w:val="000000"/>
          <w:szCs w:val="20"/>
        </w:rPr>
        <w:t>carbamazepine/ or carbamazepine.mp.</w:t>
      </w:r>
      <w:r w:rsidR="003567D4">
        <w:rPr>
          <w:rFonts w:eastAsiaTheme="minorHAnsi" w:cs="Arial"/>
          <w:color w:val="000000"/>
          <w:szCs w:val="20"/>
        </w:rPr>
        <w:t>] or [</w:t>
      </w:r>
      <w:r w:rsidR="00464129" w:rsidRPr="00464129">
        <w:rPr>
          <w:rFonts w:eastAsiaTheme="minorHAnsi" w:cs="Arial"/>
          <w:color w:val="000000"/>
          <w:szCs w:val="20"/>
        </w:rPr>
        <w:t>levetiracetam.mp. or levetiracetam/</w:t>
      </w:r>
      <w:r w:rsidR="003567D4">
        <w:rPr>
          <w:rFonts w:eastAsiaTheme="minorHAnsi" w:cs="Arial"/>
          <w:color w:val="000000"/>
          <w:szCs w:val="20"/>
        </w:rPr>
        <w:t>] or [</w:t>
      </w:r>
      <w:r w:rsidR="00464129" w:rsidRPr="00464129">
        <w:rPr>
          <w:rFonts w:eastAsiaTheme="minorHAnsi" w:cs="Arial"/>
          <w:color w:val="000000"/>
          <w:szCs w:val="20"/>
        </w:rPr>
        <w:t>phenytoin/ or phenyotin.mp.</w:t>
      </w:r>
      <w:r w:rsidR="003567D4">
        <w:rPr>
          <w:rFonts w:eastAsiaTheme="minorHAnsi" w:cs="Arial"/>
          <w:color w:val="000000"/>
          <w:szCs w:val="20"/>
        </w:rPr>
        <w:t>] or [p</w:t>
      </w:r>
      <w:r w:rsidR="00464129" w:rsidRPr="00464129">
        <w:rPr>
          <w:rFonts w:eastAsiaTheme="minorHAnsi" w:cs="Arial"/>
          <w:color w:val="000000"/>
          <w:szCs w:val="20"/>
        </w:rPr>
        <w:t>henobarbital.mp. or phenobarbital/</w:t>
      </w:r>
      <w:r w:rsidR="003567D4">
        <w:rPr>
          <w:rFonts w:eastAsiaTheme="minorHAnsi" w:cs="Arial"/>
          <w:color w:val="000000"/>
          <w:szCs w:val="20"/>
        </w:rPr>
        <w:t>] or</w:t>
      </w:r>
      <w:r w:rsidR="00464129" w:rsidRPr="00464129">
        <w:rPr>
          <w:rFonts w:eastAsiaTheme="minorHAnsi" w:cs="Arial"/>
          <w:color w:val="000000"/>
          <w:szCs w:val="20"/>
        </w:rPr>
        <w:t xml:space="preserve"> </w:t>
      </w:r>
      <w:r w:rsidR="003567D4">
        <w:rPr>
          <w:rFonts w:eastAsiaTheme="minorHAnsi" w:cs="Arial"/>
          <w:color w:val="000000"/>
          <w:szCs w:val="20"/>
        </w:rPr>
        <w:t>[</w:t>
      </w:r>
      <w:r w:rsidR="00464129" w:rsidRPr="00464129">
        <w:rPr>
          <w:rFonts w:eastAsiaTheme="minorHAnsi" w:cs="Arial"/>
          <w:color w:val="000000"/>
          <w:szCs w:val="20"/>
        </w:rPr>
        <w:t>sodium valproate.mp. or valproic acid/</w:t>
      </w:r>
      <w:r w:rsidR="003567D4">
        <w:rPr>
          <w:rFonts w:eastAsiaTheme="minorHAnsi" w:cs="Arial"/>
          <w:color w:val="000000"/>
          <w:szCs w:val="20"/>
        </w:rPr>
        <w:t>] or [</w:t>
      </w:r>
      <w:r w:rsidR="00464129" w:rsidRPr="00464129">
        <w:rPr>
          <w:rFonts w:eastAsiaTheme="minorHAnsi" w:cs="Arial"/>
          <w:color w:val="000000"/>
          <w:szCs w:val="20"/>
        </w:rPr>
        <w:t>clobazam.mp. or clobazam/</w:t>
      </w:r>
      <w:r w:rsidR="003567D4">
        <w:rPr>
          <w:rFonts w:eastAsiaTheme="minorHAnsi" w:cs="Arial"/>
          <w:color w:val="000000"/>
          <w:szCs w:val="20"/>
        </w:rPr>
        <w:t>] or [</w:t>
      </w:r>
      <w:r w:rsidR="00464129" w:rsidRPr="00464129">
        <w:rPr>
          <w:rFonts w:eastAsiaTheme="minorHAnsi" w:cs="Arial"/>
          <w:color w:val="000000"/>
          <w:szCs w:val="20"/>
        </w:rPr>
        <w:t>clonazepam/ or clonazepam.mp.</w:t>
      </w:r>
      <w:r w:rsidR="003567D4">
        <w:rPr>
          <w:rFonts w:eastAsiaTheme="minorHAnsi" w:cs="Arial"/>
          <w:color w:val="000000"/>
          <w:szCs w:val="20"/>
        </w:rPr>
        <w:t>] or [</w:t>
      </w:r>
      <w:r w:rsidR="00464129" w:rsidRPr="00464129">
        <w:rPr>
          <w:rFonts w:eastAsiaTheme="minorHAnsi" w:cs="Arial"/>
          <w:color w:val="000000"/>
          <w:szCs w:val="20"/>
        </w:rPr>
        <w:t>diazepam.mp. or diazepam</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lorazepam.mp. or lorazepam/</w:t>
      </w:r>
      <w:r w:rsidR="003567D4">
        <w:rPr>
          <w:rFonts w:eastAsiaTheme="minorHAnsi" w:cs="Arial"/>
          <w:color w:val="000000"/>
          <w:szCs w:val="20"/>
        </w:rPr>
        <w:t>] or [</w:t>
      </w:r>
      <w:r w:rsidR="00464129" w:rsidRPr="00464129">
        <w:rPr>
          <w:rFonts w:eastAsiaTheme="minorHAnsi" w:cs="Arial"/>
          <w:color w:val="000000"/>
          <w:szCs w:val="20"/>
        </w:rPr>
        <w:t>midazolam/ or midazolam.mp.</w:t>
      </w:r>
      <w:r w:rsidR="003567D4">
        <w:rPr>
          <w:rFonts w:eastAsiaTheme="minorHAnsi" w:cs="Arial"/>
          <w:color w:val="000000"/>
          <w:szCs w:val="20"/>
        </w:rPr>
        <w:t>] or [</w:t>
      </w:r>
      <w:r w:rsidR="00464129" w:rsidRPr="00464129">
        <w:rPr>
          <w:rFonts w:eastAsiaTheme="minorHAnsi" w:cs="Arial"/>
          <w:color w:val="000000"/>
          <w:szCs w:val="20"/>
        </w:rPr>
        <w:t>antibacterial.mp. or *</w:t>
      </w:r>
      <w:proofErr w:type="spellStart"/>
      <w:r w:rsidR="00464129" w:rsidRPr="00464129">
        <w:rPr>
          <w:rFonts w:eastAsiaTheme="minorHAnsi" w:cs="Arial"/>
          <w:color w:val="000000"/>
          <w:szCs w:val="20"/>
        </w:rPr>
        <w:t>antiinfective</w:t>
      </w:r>
      <w:proofErr w:type="spellEnd"/>
      <w:r w:rsidR="00464129" w:rsidRPr="00464129">
        <w:rPr>
          <w:rFonts w:eastAsiaTheme="minorHAnsi" w:cs="Arial"/>
          <w:color w:val="000000"/>
          <w:szCs w:val="20"/>
        </w:rPr>
        <w:t xml:space="preserve"> agent/</w:t>
      </w:r>
      <w:r w:rsidR="003567D4">
        <w:rPr>
          <w:rFonts w:eastAsiaTheme="minorHAnsi" w:cs="Arial"/>
          <w:color w:val="000000"/>
          <w:szCs w:val="20"/>
        </w:rPr>
        <w:t>] or [</w:t>
      </w:r>
      <w:r w:rsidR="00464129" w:rsidRPr="00464129">
        <w:rPr>
          <w:rFonts w:eastAsiaTheme="minorHAnsi" w:cs="Arial"/>
          <w:color w:val="000000"/>
          <w:szCs w:val="20"/>
        </w:rPr>
        <w:t>*antifungal agent</w:t>
      </w:r>
      <w:r w:rsidR="00464129">
        <w:rPr>
          <w:rFonts w:eastAsiaTheme="minorHAnsi" w:cs="Arial"/>
          <w:color w:val="000000"/>
          <w:szCs w:val="20"/>
        </w:rPr>
        <w:t>/</w:t>
      </w:r>
      <w:r w:rsidR="003567D4">
        <w:rPr>
          <w:rFonts w:eastAsiaTheme="minorHAnsi" w:cs="Arial"/>
          <w:color w:val="000000"/>
          <w:szCs w:val="20"/>
        </w:rPr>
        <w:t xml:space="preserve">] </w:t>
      </w:r>
      <w:r w:rsidR="003567D4">
        <w:rPr>
          <w:rFonts w:eastAsiaTheme="minorHAnsi" w:cs="Arial"/>
          <w:color w:val="000000"/>
          <w:szCs w:val="20"/>
        </w:rPr>
        <w:lastRenderedPageBreak/>
        <w:t>or [</w:t>
      </w:r>
      <w:r w:rsidR="00464129" w:rsidRPr="00464129">
        <w:rPr>
          <w:rFonts w:eastAsiaTheme="minorHAnsi" w:cs="Arial"/>
          <w:color w:val="000000"/>
          <w:szCs w:val="20"/>
        </w:rPr>
        <w:t>*antivirus agent/</w:t>
      </w:r>
      <w:r w:rsidR="003567D4">
        <w:rPr>
          <w:rFonts w:eastAsiaTheme="minorHAnsi" w:cs="Arial"/>
          <w:color w:val="000000"/>
          <w:szCs w:val="20"/>
        </w:rPr>
        <w:t>] or [</w:t>
      </w:r>
      <w:r w:rsidR="00464129" w:rsidRPr="00464129">
        <w:rPr>
          <w:rFonts w:eastAsiaTheme="minorHAnsi" w:cs="Arial"/>
          <w:color w:val="000000"/>
          <w:szCs w:val="20"/>
        </w:rPr>
        <w:t>*antibiotic agent/</w:t>
      </w:r>
      <w:r w:rsidR="003567D4">
        <w:rPr>
          <w:rFonts w:eastAsiaTheme="minorHAnsi" w:cs="Arial"/>
          <w:color w:val="000000"/>
          <w:szCs w:val="20"/>
        </w:rPr>
        <w:t>] or [</w:t>
      </w:r>
      <w:r w:rsidR="00464129" w:rsidRPr="00464129">
        <w:rPr>
          <w:rFonts w:eastAsiaTheme="minorHAnsi" w:cs="Arial"/>
          <w:color w:val="000000"/>
          <w:szCs w:val="20"/>
        </w:rPr>
        <w:t>*aminoglycoside antibiotic agent/</w:t>
      </w:r>
      <w:r w:rsidR="003567D4">
        <w:rPr>
          <w:rFonts w:eastAsiaTheme="minorHAnsi" w:cs="Arial"/>
          <w:color w:val="000000"/>
          <w:szCs w:val="20"/>
        </w:rPr>
        <w:t>] or [</w:t>
      </w:r>
      <w:r w:rsidR="00464129" w:rsidRPr="00464129">
        <w:rPr>
          <w:rFonts w:eastAsiaTheme="minorHAnsi" w:cs="Arial"/>
          <w:color w:val="000000"/>
          <w:szCs w:val="20"/>
        </w:rPr>
        <w:t>*beta lactam antibiotic/</w:t>
      </w:r>
      <w:r w:rsidR="003567D4">
        <w:rPr>
          <w:rFonts w:eastAsiaTheme="minorHAnsi" w:cs="Arial"/>
          <w:color w:val="000000"/>
          <w:szCs w:val="20"/>
        </w:rPr>
        <w:t>] or [</w:t>
      </w:r>
      <w:r w:rsidR="00464129" w:rsidRPr="00464129">
        <w:rPr>
          <w:rFonts w:eastAsiaTheme="minorHAnsi" w:cs="Arial"/>
          <w:color w:val="000000"/>
          <w:szCs w:val="20"/>
        </w:rPr>
        <w:t>*carbapenem/</w:t>
      </w:r>
      <w:r w:rsidR="003567D4">
        <w:rPr>
          <w:rFonts w:eastAsiaTheme="minorHAnsi" w:cs="Arial"/>
          <w:color w:val="000000"/>
          <w:szCs w:val="20"/>
        </w:rPr>
        <w:t>] or [</w:t>
      </w:r>
      <w:r w:rsidR="00464129" w:rsidRPr="00464129">
        <w:rPr>
          <w:rFonts w:eastAsiaTheme="minorHAnsi" w:cs="Arial"/>
          <w:color w:val="000000"/>
          <w:szCs w:val="20"/>
        </w:rPr>
        <w:t>*cephalosporin/</w:t>
      </w:r>
      <w:r w:rsidR="003567D4">
        <w:rPr>
          <w:rFonts w:eastAsiaTheme="minorHAnsi" w:cs="Arial"/>
          <w:color w:val="000000"/>
          <w:szCs w:val="20"/>
        </w:rPr>
        <w:t>] or [</w:t>
      </w:r>
      <w:r w:rsidR="00464129" w:rsidRPr="00464129">
        <w:rPr>
          <w:rFonts w:eastAsiaTheme="minorHAnsi" w:cs="Arial"/>
          <w:color w:val="000000"/>
          <w:szCs w:val="20"/>
        </w:rPr>
        <w:t>*polypeptide antibiotic agent/</w:t>
      </w:r>
      <w:r w:rsidR="003567D4">
        <w:rPr>
          <w:rFonts w:eastAsiaTheme="minorHAnsi" w:cs="Arial"/>
          <w:color w:val="000000"/>
          <w:szCs w:val="20"/>
        </w:rPr>
        <w:t>] or [g</w:t>
      </w:r>
      <w:r w:rsidR="00464129" w:rsidRPr="00464129">
        <w:rPr>
          <w:rFonts w:eastAsiaTheme="minorHAnsi" w:cs="Arial"/>
          <w:color w:val="000000"/>
          <w:szCs w:val="20"/>
        </w:rPr>
        <w:t>lycopeptide.mp.</w:t>
      </w:r>
      <w:r w:rsidR="003567D4">
        <w:rPr>
          <w:rFonts w:eastAsiaTheme="minorHAnsi" w:cs="Arial"/>
          <w:color w:val="000000"/>
          <w:szCs w:val="20"/>
        </w:rPr>
        <w:t>] or [</w:t>
      </w:r>
      <w:r w:rsidR="00464129">
        <w:rPr>
          <w:rFonts w:eastAsiaTheme="minorHAnsi" w:cs="Arial"/>
          <w:color w:val="000000"/>
          <w:szCs w:val="20"/>
        </w:rPr>
        <w:t>*macrolide/</w:t>
      </w:r>
      <w:r w:rsidR="003567D4">
        <w:rPr>
          <w:rFonts w:eastAsiaTheme="minorHAnsi" w:cs="Arial"/>
          <w:color w:val="000000"/>
          <w:szCs w:val="20"/>
        </w:rPr>
        <w:t>] or [</w:t>
      </w:r>
      <w:r w:rsidR="00464129" w:rsidRPr="00464129">
        <w:rPr>
          <w:rFonts w:eastAsiaTheme="minorHAnsi" w:cs="Arial"/>
          <w:color w:val="000000"/>
          <w:szCs w:val="20"/>
        </w:rPr>
        <w:t>*penicillin derivative/</w:t>
      </w:r>
      <w:r w:rsidR="003567D4">
        <w:rPr>
          <w:rFonts w:eastAsiaTheme="minorHAnsi" w:cs="Arial"/>
          <w:color w:val="000000"/>
          <w:szCs w:val="20"/>
        </w:rPr>
        <w:t>] or [</w:t>
      </w:r>
      <w:r w:rsidR="00464129" w:rsidRPr="00464129">
        <w:rPr>
          <w:rFonts w:eastAsiaTheme="minorHAnsi" w:cs="Arial"/>
          <w:color w:val="000000"/>
          <w:szCs w:val="20"/>
        </w:rPr>
        <w:t>*quinolone derivative/</w:t>
      </w:r>
      <w:r w:rsidR="003567D4">
        <w:rPr>
          <w:rFonts w:eastAsiaTheme="minorHAnsi" w:cs="Arial"/>
          <w:color w:val="000000"/>
          <w:szCs w:val="20"/>
        </w:rPr>
        <w:t>] or [a</w:t>
      </w:r>
      <w:r w:rsidR="00464129" w:rsidRPr="00464129">
        <w:rPr>
          <w:rFonts w:eastAsiaTheme="minorHAnsi" w:cs="Arial"/>
          <w:color w:val="000000"/>
          <w:szCs w:val="20"/>
        </w:rPr>
        <w:t xml:space="preserve">ciclovir.mp. or </w:t>
      </w:r>
      <w:proofErr w:type="spellStart"/>
      <w:r w:rsidR="00464129" w:rsidRPr="00464129">
        <w:rPr>
          <w:rFonts w:eastAsiaTheme="minorHAnsi" w:cs="Arial"/>
          <w:color w:val="000000"/>
          <w:szCs w:val="20"/>
        </w:rPr>
        <w:t>aciclovir</w:t>
      </w:r>
      <w:proofErr w:type="spellEnd"/>
      <w:r w:rsidR="00464129" w:rsidRP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azithromycin/ or azithromycin.mp</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ciprofloxacin.mp. or ciprofloxacin/</w:t>
      </w:r>
      <w:r w:rsidR="003567D4">
        <w:rPr>
          <w:rFonts w:eastAsiaTheme="minorHAnsi" w:cs="Arial"/>
          <w:color w:val="000000"/>
          <w:szCs w:val="20"/>
        </w:rPr>
        <w:t>] or [</w:t>
      </w:r>
      <w:r w:rsidR="00464129" w:rsidRPr="00464129">
        <w:rPr>
          <w:rFonts w:eastAsiaTheme="minorHAnsi" w:cs="Arial"/>
          <w:color w:val="000000"/>
          <w:szCs w:val="20"/>
        </w:rPr>
        <w:t>clindamycin/ or clindamycin.mp.</w:t>
      </w:r>
      <w:r w:rsidR="003567D4">
        <w:rPr>
          <w:rFonts w:eastAsiaTheme="minorHAnsi" w:cs="Arial"/>
          <w:color w:val="000000"/>
          <w:szCs w:val="20"/>
        </w:rPr>
        <w:t>] or [</w:t>
      </w:r>
      <w:r w:rsidR="00464129" w:rsidRPr="00464129">
        <w:rPr>
          <w:rFonts w:eastAsiaTheme="minorHAnsi" w:cs="Arial"/>
          <w:color w:val="000000"/>
          <w:szCs w:val="20"/>
        </w:rPr>
        <w:t>gentamicin.mp. or gentamicin/</w:t>
      </w:r>
      <w:r w:rsidR="003567D4">
        <w:rPr>
          <w:rFonts w:eastAsiaTheme="minorHAnsi" w:cs="Arial"/>
          <w:color w:val="000000"/>
          <w:szCs w:val="20"/>
        </w:rPr>
        <w:t>] or [c</w:t>
      </w:r>
      <w:r w:rsidR="00464129" w:rsidRPr="00464129">
        <w:rPr>
          <w:rFonts w:eastAsiaTheme="minorHAnsi" w:cs="Arial"/>
          <w:color w:val="000000"/>
          <w:szCs w:val="20"/>
        </w:rPr>
        <w:t>larithromycin.mp. or clarithromycin/</w:t>
      </w:r>
      <w:r w:rsidR="003567D4">
        <w:rPr>
          <w:rFonts w:eastAsiaTheme="minorHAnsi" w:cs="Arial"/>
          <w:color w:val="000000"/>
          <w:szCs w:val="20"/>
        </w:rPr>
        <w:t>] or [</w:t>
      </w:r>
      <w:r w:rsidR="00464129" w:rsidRPr="00464129">
        <w:rPr>
          <w:rFonts w:eastAsiaTheme="minorHAnsi" w:cs="Arial"/>
          <w:color w:val="000000"/>
          <w:szCs w:val="20"/>
        </w:rPr>
        <w:t>erythromycin/ or erythromycin.mp.</w:t>
      </w:r>
      <w:r w:rsidR="003567D4">
        <w:rPr>
          <w:rFonts w:eastAsiaTheme="minorHAnsi" w:cs="Arial"/>
          <w:color w:val="000000"/>
          <w:szCs w:val="20"/>
        </w:rPr>
        <w:t>] or [</w:t>
      </w:r>
      <w:r w:rsidR="00464129" w:rsidRPr="00464129">
        <w:rPr>
          <w:rFonts w:eastAsiaTheme="minorHAnsi" w:cs="Arial"/>
          <w:color w:val="000000"/>
          <w:szCs w:val="20"/>
        </w:rPr>
        <w:t>metronidazole/ or metronidazole.mp.</w:t>
      </w:r>
      <w:r w:rsidR="003567D4">
        <w:rPr>
          <w:rFonts w:eastAsiaTheme="minorHAnsi" w:cs="Arial"/>
          <w:color w:val="000000"/>
          <w:szCs w:val="20"/>
        </w:rPr>
        <w:t>] or [</w:t>
      </w:r>
      <w:r w:rsidR="00464129" w:rsidRPr="00464129">
        <w:rPr>
          <w:rFonts w:eastAsiaTheme="minorHAnsi" w:cs="Arial"/>
          <w:color w:val="000000"/>
          <w:szCs w:val="20"/>
        </w:rPr>
        <w:t>penicillin.mp. or penicillin derivative/</w:t>
      </w:r>
      <w:r w:rsidR="003567D4">
        <w:rPr>
          <w:rFonts w:eastAsiaTheme="minorHAnsi" w:cs="Arial"/>
          <w:color w:val="000000"/>
          <w:szCs w:val="20"/>
        </w:rPr>
        <w:t>] or [</w:t>
      </w:r>
      <w:r w:rsidR="00464129" w:rsidRPr="00464129">
        <w:rPr>
          <w:rFonts w:eastAsiaTheme="minorHAnsi" w:cs="Arial"/>
          <w:color w:val="000000"/>
          <w:szCs w:val="20"/>
        </w:rPr>
        <w:t>rifampicin.mp. or rifampicin/</w:t>
      </w:r>
      <w:r w:rsidR="003567D4">
        <w:rPr>
          <w:rFonts w:eastAsiaTheme="minorHAnsi" w:cs="Arial"/>
          <w:color w:val="000000"/>
          <w:szCs w:val="20"/>
        </w:rPr>
        <w:t>] or [</w:t>
      </w:r>
      <w:r w:rsidR="00464129" w:rsidRPr="00464129">
        <w:rPr>
          <w:rFonts w:eastAsiaTheme="minorHAnsi" w:cs="Arial"/>
          <w:color w:val="000000"/>
          <w:szCs w:val="20"/>
        </w:rPr>
        <w:t>tobramycin/ or tobramycin.mp.</w:t>
      </w:r>
      <w:r w:rsidR="003567D4">
        <w:rPr>
          <w:rFonts w:eastAsiaTheme="minorHAnsi" w:cs="Arial"/>
          <w:color w:val="000000"/>
          <w:szCs w:val="20"/>
        </w:rPr>
        <w:t>] or [</w:t>
      </w:r>
      <w:r w:rsidR="00464129" w:rsidRPr="00464129">
        <w:rPr>
          <w:rFonts w:eastAsiaTheme="minorHAnsi" w:cs="Arial"/>
          <w:color w:val="000000"/>
          <w:szCs w:val="20"/>
        </w:rPr>
        <w:t>vancomycin.mp. or vancomycin/</w:t>
      </w:r>
      <w:r w:rsidR="003567D4">
        <w:rPr>
          <w:rFonts w:eastAsiaTheme="minorHAnsi" w:cs="Arial"/>
          <w:color w:val="000000"/>
          <w:szCs w:val="20"/>
        </w:rPr>
        <w:t>] or [</w:t>
      </w:r>
      <w:r w:rsidR="00464129" w:rsidRPr="00464129">
        <w:rPr>
          <w:rFonts w:eastAsiaTheme="minorHAnsi" w:cs="Arial"/>
          <w:color w:val="000000"/>
          <w:szCs w:val="20"/>
        </w:rPr>
        <w:t>nitrofuranotin.mp. or nitrofurantoin/</w:t>
      </w:r>
      <w:r w:rsidR="003567D4">
        <w:rPr>
          <w:rFonts w:eastAsiaTheme="minorHAnsi" w:cs="Arial"/>
          <w:color w:val="000000"/>
          <w:szCs w:val="20"/>
        </w:rPr>
        <w:t>] or [</w:t>
      </w:r>
      <w:r w:rsidR="00464129" w:rsidRPr="00464129">
        <w:rPr>
          <w:rFonts w:eastAsiaTheme="minorHAnsi" w:cs="Arial"/>
          <w:color w:val="000000"/>
          <w:szCs w:val="20"/>
        </w:rPr>
        <w:t>trimethoprim/ or trimethoprim.mp.</w:t>
      </w:r>
      <w:r w:rsidR="003567D4">
        <w:rPr>
          <w:rFonts w:eastAsiaTheme="minorHAnsi" w:cs="Arial"/>
          <w:color w:val="000000"/>
          <w:szCs w:val="20"/>
        </w:rPr>
        <w:t>] or [</w:t>
      </w:r>
      <w:r w:rsidR="00464129" w:rsidRPr="00464129">
        <w:rPr>
          <w:rFonts w:eastAsiaTheme="minorHAnsi" w:cs="Arial"/>
          <w:color w:val="000000"/>
          <w:szCs w:val="20"/>
        </w:rPr>
        <w:t>anticoagulan</w:t>
      </w:r>
      <w:r w:rsidR="00464129">
        <w:rPr>
          <w:rFonts w:eastAsiaTheme="minorHAnsi" w:cs="Arial"/>
          <w:color w:val="000000"/>
          <w:szCs w:val="20"/>
        </w:rPr>
        <w:t>t.mp. or *anticoagulant agent/</w:t>
      </w:r>
      <w:r w:rsidR="003567D4">
        <w:rPr>
          <w:rFonts w:eastAsiaTheme="minorHAnsi" w:cs="Arial"/>
          <w:color w:val="000000"/>
          <w:szCs w:val="20"/>
        </w:rPr>
        <w:t>] or [</w:t>
      </w:r>
      <w:r w:rsidR="00464129" w:rsidRPr="00464129">
        <w:rPr>
          <w:rFonts w:eastAsiaTheme="minorHAnsi" w:cs="Arial"/>
          <w:color w:val="000000"/>
          <w:szCs w:val="20"/>
        </w:rPr>
        <w:t>*low molecular weight heparin/ or *heparin/ or heparin.mp</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enoxaparin.mp. or enoxaparin/</w:t>
      </w:r>
      <w:r w:rsidR="003567D4">
        <w:rPr>
          <w:rFonts w:eastAsiaTheme="minorHAnsi" w:cs="Arial"/>
          <w:color w:val="000000"/>
          <w:szCs w:val="20"/>
        </w:rPr>
        <w:t>] or [</w:t>
      </w:r>
      <w:r w:rsidR="00464129" w:rsidRPr="00464129">
        <w:rPr>
          <w:rFonts w:eastAsiaTheme="minorHAnsi" w:cs="Arial"/>
          <w:color w:val="000000"/>
          <w:szCs w:val="20"/>
        </w:rPr>
        <w:t>glucocorticoid.mp. or *glucocorticoid/</w:t>
      </w:r>
      <w:r w:rsidR="003567D4">
        <w:rPr>
          <w:rFonts w:eastAsiaTheme="minorHAnsi" w:cs="Arial"/>
          <w:color w:val="000000"/>
          <w:szCs w:val="20"/>
        </w:rPr>
        <w:t>] or [</w:t>
      </w:r>
      <w:r w:rsidR="00464129" w:rsidRPr="00464129">
        <w:rPr>
          <w:rFonts w:eastAsiaTheme="minorHAnsi" w:cs="Arial"/>
          <w:color w:val="000000"/>
          <w:szCs w:val="20"/>
        </w:rPr>
        <w:t>corticosteroid.mp. or *corticosteroid/</w:t>
      </w:r>
      <w:r w:rsidR="003567D4">
        <w:rPr>
          <w:rFonts w:eastAsiaTheme="minorHAnsi" w:cs="Arial"/>
          <w:color w:val="000000"/>
          <w:szCs w:val="20"/>
        </w:rPr>
        <w:t>] or [</w:t>
      </w:r>
      <w:r w:rsidR="00464129" w:rsidRPr="00464129">
        <w:rPr>
          <w:rFonts w:eastAsiaTheme="minorHAnsi" w:cs="Arial"/>
          <w:color w:val="000000"/>
          <w:szCs w:val="20"/>
        </w:rPr>
        <w:t>*</w:t>
      </w:r>
      <w:proofErr w:type="spellStart"/>
      <w:r w:rsidR="00464129" w:rsidRPr="00464129">
        <w:rPr>
          <w:rFonts w:eastAsiaTheme="minorHAnsi" w:cs="Arial"/>
          <w:color w:val="000000"/>
          <w:szCs w:val="20"/>
        </w:rPr>
        <w:t>antiinflammatory</w:t>
      </w:r>
      <w:proofErr w:type="spellEnd"/>
      <w:r w:rsidR="00464129" w:rsidRPr="00464129">
        <w:rPr>
          <w:rFonts w:eastAsiaTheme="minorHAnsi" w:cs="Arial"/>
          <w:color w:val="000000"/>
          <w:szCs w:val="20"/>
        </w:rPr>
        <w:t xml:space="preserve"> agent/</w:t>
      </w:r>
      <w:r w:rsidR="003567D4">
        <w:rPr>
          <w:rFonts w:eastAsiaTheme="minorHAnsi" w:cs="Arial"/>
          <w:color w:val="000000"/>
          <w:szCs w:val="20"/>
        </w:rPr>
        <w:t>] or [</w:t>
      </w:r>
      <w:r w:rsidR="00464129" w:rsidRPr="00464129">
        <w:rPr>
          <w:rFonts w:eastAsiaTheme="minorHAnsi" w:cs="Arial"/>
          <w:color w:val="000000"/>
          <w:szCs w:val="20"/>
        </w:rPr>
        <w:t>dexam</w:t>
      </w:r>
      <w:r w:rsidR="00464129">
        <w:rPr>
          <w:rFonts w:eastAsiaTheme="minorHAnsi" w:cs="Arial"/>
          <w:color w:val="000000"/>
          <w:szCs w:val="20"/>
        </w:rPr>
        <w:t>ethasone/ or dexamethasone.mp.</w:t>
      </w:r>
      <w:r w:rsidR="003567D4">
        <w:rPr>
          <w:rFonts w:eastAsiaTheme="minorHAnsi" w:cs="Arial"/>
          <w:color w:val="000000"/>
          <w:szCs w:val="20"/>
        </w:rPr>
        <w:t>] or [</w:t>
      </w:r>
      <w:r w:rsidR="00464129" w:rsidRPr="00464129">
        <w:rPr>
          <w:rFonts w:eastAsiaTheme="minorHAnsi" w:cs="Arial"/>
          <w:color w:val="000000"/>
          <w:szCs w:val="20"/>
        </w:rPr>
        <w:t>hydrocortisone.mp. or hydrocortisone/</w:t>
      </w:r>
      <w:r w:rsidR="003567D4">
        <w:rPr>
          <w:rFonts w:eastAsiaTheme="minorHAnsi" w:cs="Arial"/>
          <w:color w:val="000000"/>
          <w:szCs w:val="20"/>
        </w:rPr>
        <w:t>] or [</w:t>
      </w:r>
      <w:r w:rsidR="00464129" w:rsidRPr="00464129">
        <w:rPr>
          <w:rFonts w:eastAsiaTheme="minorHAnsi" w:cs="Arial"/>
          <w:color w:val="000000"/>
          <w:szCs w:val="20"/>
        </w:rPr>
        <w:t>p</w:t>
      </w:r>
      <w:r w:rsidR="00464129">
        <w:rPr>
          <w:rFonts w:eastAsiaTheme="minorHAnsi" w:cs="Arial"/>
          <w:color w:val="000000"/>
          <w:szCs w:val="20"/>
        </w:rPr>
        <w:t>rednisolone.mp. or prednisolone/</w:t>
      </w:r>
      <w:r w:rsidR="003567D4">
        <w:rPr>
          <w:rFonts w:eastAsiaTheme="minorHAnsi" w:cs="Arial"/>
          <w:color w:val="000000"/>
          <w:szCs w:val="20"/>
        </w:rPr>
        <w:t>] or [</w:t>
      </w:r>
      <w:r w:rsidR="00464129" w:rsidRPr="00464129">
        <w:rPr>
          <w:rFonts w:eastAsiaTheme="minorHAnsi" w:cs="Arial"/>
          <w:color w:val="000000"/>
          <w:szCs w:val="20"/>
        </w:rPr>
        <w:t>antiulcer.mp. or *antiulcer agent</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*proton pump inhibitor</w:t>
      </w:r>
      <w:r w:rsidR="00464129">
        <w:rPr>
          <w:rFonts w:eastAsiaTheme="minorHAnsi" w:cs="Arial"/>
          <w:color w:val="000000"/>
          <w:szCs w:val="20"/>
        </w:rPr>
        <w:t>/</w:t>
      </w:r>
      <w:r w:rsidR="003567D4">
        <w:rPr>
          <w:rFonts w:eastAsiaTheme="minorHAnsi" w:cs="Arial"/>
          <w:color w:val="000000"/>
          <w:szCs w:val="20"/>
        </w:rPr>
        <w:t>] or [</w:t>
      </w:r>
      <w:r w:rsidR="00464129" w:rsidRPr="00464129">
        <w:rPr>
          <w:rFonts w:eastAsiaTheme="minorHAnsi" w:cs="Arial"/>
          <w:color w:val="000000"/>
          <w:szCs w:val="20"/>
        </w:rPr>
        <w:t>*histamine H2 receptor antagonist/</w:t>
      </w:r>
      <w:r w:rsidR="003567D4">
        <w:rPr>
          <w:rFonts w:eastAsiaTheme="minorHAnsi" w:cs="Arial"/>
          <w:color w:val="000000"/>
          <w:szCs w:val="20"/>
        </w:rPr>
        <w:t>] or [</w:t>
      </w:r>
      <w:r w:rsidR="00464129">
        <w:rPr>
          <w:rFonts w:eastAsiaTheme="minorHAnsi" w:cs="Arial"/>
          <w:color w:val="000000"/>
          <w:szCs w:val="20"/>
        </w:rPr>
        <w:t>omeprazole.mp. or omeprazole/</w:t>
      </w:r>
      <w:r w:rsidR="003567D4">
        <w:rPr>
          <w:rFonts w:eastAsiaTheme="minorHAnsi" w:cs="Arial"/>
          <w:color w:val="000000"/>
          <w:szCs w:val="20"/>
        </w:rPr>
        <w:t>] or [</w:t>
      </w:r>
      <w:r w:rsidR="00464129" w:rsidRPr="00464129">
        <w:rPr>
          <w:rFonts w:eastAsiaTheme="minorHAnsi" w:cs="Arial"/>
          <w:color w:val="000000"/>
          <w:szCs w:val="20"/>
        </w:rPr>
        <w:t>lansoprazole/ or lanso</w:t>
      </w:r>
      <w:r w:rsidR="00464129">
        <w:rPr>
          <w:rFonts w:eastAsiaTheme="minorHAnsi" w:cs="Arial"/>
          <w:color w:val="000000"/>
          <w:szCs w:val="20"/>
        </w:rPr>
        <w:t>prazole.mp.</w:t>
      </w:r>
      <w:r w:rsidR="003567D4">
        <w:rPr>
          <w:rFonts w:eastAsiaTheme="minorHAnsi" w:cs="Arial"/>
          <w:color w:val="000000"/>
          <w:szCs w:val="20"/>
        </w:rPr>
        <w:t>]</w:t>
      </w:r>
      <w:r w:rsidR="00464129">
        <w:rPr>
          <w:rFonts w:eastAsiaTheme="minorHAnsi" w:cs="Arial"/>
          <w:color w:val="000000"/>
          <w:szCs w:val="20"/>
        </w:rPr>
        <w:t xml:space="preserve"> </w:t>
      </w:r>
      <w:r w:rsidR="003567D4">
        <w:rPr>
          <w:rFonts w:eastAsiaTheme="minorHAnsi" w:cs="Arial"/>
          <w:color w:val="000000"/>
          <w:szCs w:val="20"/>
        </w:rPr>
        <w:t>or [</w:t>
      </w:r>
      <w:r w:rsidR="00464129" w:rsidRPr="00464129">
        <w:rPr>
          <w:rFonts w:eastAsiaTheme="minorHAnsi" w:cs="Arial"/>
          <w:color w:val="000000"/>
          <w:szCs w:val="20"/>
        </w:rPr>
        <w:t>ranitidine/ or ranitidine.mp.</w:t>
      </w:r>
      <w:r w:rsidR="003567D4">
        <w:rPr>
          <w:rFonts w:eastAsiaTheme="minorHAnsi" w:cs="Arial"/>
          <w:color w:val="000000"/>
          <w:szCs w:val="20"/>
        </w:rPr>
        <w:t>] or [</w:t>
      </w:r>
      <w:r w:rsidR="00464129" w:rsidRPr="00464129">
        <w:rPr>
          <w:rFonts w:eastAsiaTheme="minorHAnsi" w:cs="Arial"/>
          <w:color w:val="000000"/>
          <w:szCs w:val="20"/>
        </w:rPr>
        <w:t>esomeprazole.mp. or esomeprazole/</w:t>
      </w:r>
      <w:r w:rsidR="00894538">
        <w:rPr>
          <w:rFonts w:eastAsiaTheme="minorHAnsi" w:cs="Arial"/>
          <w:color w:val="000000"/>
          <w:szCs w:val="20"/>
        </w:rPr>
        <w:t xml:space="preserve"> or teicoplanin</w:t>
      </w:r>
      <w:r w:rsidR="003567D4">
        <w:rPr>
          <w:rFonts w:eastAsiaTheme="minorHAnsi" w:cs="Arial"/>
          <w:color w:val="000000"/>
          <w:szCs w:val="20"/>
        </w:rPr>
        <w:t>]</w:t>
      </w:r>
      <w:r w:rsidR="00464129" w:rsidRPr="00464129">
        <w:rPr>
          <w:rFonts w:eastAsiaTheme="minorHAnsi" w:cs="Arial"/>
          <w:color w:val="000000"/>
          <w:szCs w:val="20"/>
        </w:rPr>
        <w:t xml:space="preserve"> </w:t>
      </w:r>
    </w:p>
    <w:p w14:paraId="505256AA" w14:textId="1FDC7828" w:rsidR="004317B3" w:rsidRDefault="0079700C" w:rsidP="00464129">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5</w:t>
      </w:r>
      <w:r w:rsidR="005100A5">
        <w:rPr>
          <w:rFonts w:eastAsiaTheme="minorHAnsi" w:cs="Arial"/>
          <w:color w:val="000000"/>
          <w:szCs w:val="20"/>
        </w:rPr>
        <w:t>.</w:t>
      </w:r>
      <w:r w:rsidR="00365BF4">
        <w:rPr>
          <w:rFonts w:eastAsiaTheme="minorHAnsi" w:cs="Arial"/>
          <w:color w:val="000000"/>
          <w:szCs w:val="20"/>
        </w:rPr>
        <w:t xml:space="preserve"> </w:t>
      </w:r>
      <w:r>
        <w:rPr>
          <w:rFonts w:eastAsiaTheme="minorHAnsi" w:cs="Arial"/>
          <w:color w:val="000000"/>
          <w:szCs w:val="20"/>
        </w:rPr>
        <w:t>3</w:t>
      </w:r>
      <w:r w:rsidR="00365BF4">
        <w:rPr>
          <w:rFonts w:eastAsiaTheme="minorHAnsi" w:cs="Arial"/>
          <w:color w:val="000000"/>
          <w:szCs w:val="20"/>
        </w:rPr>
        <w:t xml:space="preserve"> and </w:t>
      </w:r>
      <w:r>
        <w:rPr>
          <w:rFonts w:eastAsiaTheme="minorHAnsi" w:cs="Arial"/>
          <w:color w:val="000000"/>
          <w:szCs w:val="20"/>
        </w:rPr>
        <w:t>4</w:t>
      </w:r>
    </w:p>
    <w:p w14:paraId="04D11175" w14:textId="0BB2A72C" w:rsidR="004317B3" w:rsidRDefault="004317B3" w:rsidP="00464129">
      <w:pPr>
        <w:autoSpaceDE w:val="0"/>
        <w:autoSpaceDN w:val="0"/>
        <w:adjustRightInd w:val="0"/>
        <w:spacing w:after="0" w:line="240" w:lineRule="auto"/>
        <w:rPr>
          <w:rFonts w:eastAsiaTheme="minorHAnsi" w:cs="Arial"/>
          <w:color w:val="000000"/>
          <w:szCs w:val="20"/>
        </w:rPr>
      </w:pPr>
      <w:r w:rsidRPr="004317B3">
        <w:rPr>
          <w:rFonts w:eastAsiaTheme="minorHAnsi" w:cs="Arial"/>
          <w:color w:val="000000"/>
          <w:szCs w:val="20"/>
        </w:rPr>
        <w:t xml:space="preserve">Limit </w:t>
      </w:r>
      <w:r w:rsidR="0079700C">
        <w:rPr>
          <w:rFonts w:eastAsiaTheme="minorHAnsi" w:cs="Arial"/>
          <w:color w:val="000000"/>
          <w:szCs w:val="20"/>
        </w:rPr>
        <w:t xml:space="preserve">5 </w:t>
      </w:r>
      <w:r w:rsidRPr="004317B3">
        <w:rPr>
          <w:rFonts w:eastAsiaTheme="minorHAnsi" w:cs="Arial"/>
          <w:color w:val="000000"/>
          <w:szCs w:val="20"/>
        </w:rPr>
        <w:t xml:space="preserve">to: Human and English Language </w:t>
      </w:r>
    </w:p>
    <w:p w14:paraId="3682C1E1" w14:textId="77777777" w:rsidR="00464129" w:rsidRDefault="00464129" w:rsidP="002346B7">
      <w:pPr>
        <w:autoSpaceDE w:val="0"/>
        <w:autoSpaceDN w:val="0"/>
        <w:adjustRightInd w:val="0"/>
        <w:spacing w:after="0" w:line="240" w:lineRule="auto"/>
        <w:rPr>
          <w:rFonts w:eastAsiaTheme="minorHAnsi" w:cs="Arial"/>
          <w:color w:val="000000"/>
          <w:szCs w:val="20"/>
        </w:rPr>
      </w:pPr>
    </w:p>
    <w:p w14:paraId="581CC591" w14:textId="7993F867" w:rsidR="00005267" w:rsidRDefault="00D50D5A" w:rsidP="002346B7">
      <w:pPr>
        <w:autoSpaceDE w:val="0"/>
        <w:autoSpaceDN w:val="0"/>
        <w:adjustRightInd w:val="0"/>
        <w:spacing w:after="0" w:line="240" w:lineRule="auto"/>
        <w:rPr>
          <w:rFonts w:eastAsiaTheme="minorHAnsi" w:cs="Arial"/>
          <w:color w:val="000000"/>
          <w:szCs w:val="20"/>
        </w:rPr>
      </w:pPr>
      <w:r w:rsidRPr="00F26D92">
        <w:rPr>
          <w:rFonts w:eastAsiaTheme="minorHAnsi" w:cs="Arial"/>
          <w:color w:val="000000"/>
          <w:szCs w:val="20"/>
          <w:u w:val="single"/>
        </w:rPr>
        <w:t xml:space="preserve">General </w:t>
      </w:r>
      <w:r w:rsidR="002346B7" w:rsidRPr="00F26D92">
        <w:rPr>
          <w:rFonts w:eastAsiaTheme="minorHAnsi" w:cs="Arial"/>
          <w:color w:val="000000"/>
          <w:szCs w:val="20"/>
          <w:u w:val="single"/>
        </w:rPr>
        <w:t>Medline</w:t>
      </w:r>
      <w:r w:rsidRPr="00F26D92">
        <w:rPr>
          <w:rFonts w:eastAsiaTheme="minorHAnsi" w:cs="Arial"/>
          <w:color w:val="000000"/>
          <w:szCs w:val="20"/>
          <w:u w:val="single"/>
        </w:rPr>
        <w:t xml:space="preserve"> search</w:t>
      </w:r>
      <w:r w:rsidR="002346B7">
        <w:rPr>
          <w:rFonts w:eastAsiaTheme="minorHAnsi" w:cs="Arial"/>
          <w:color w:val="000000"/>
          <w:szCs w:val="20"/>
        </w:rPr>
        <w:t xml:space="preserve">: [PEDIATRIC OBESITY </w:t>
      </w:r>
      <w:r w:rsidR="002346B7" w:rsidRPr="002346B7">
        <w:rPr>
          <w:rFonts w:eastAsiaTheme="minorHAnsi" w:cs="Arial"/>
          <w:color w:val="000000"/>
          <w:szCs w:val="20"/>
        </w:rPr>
        <w:t>OR</w:t>
      </w:r>
      <w:r w:rsidR="002346B7">
        <w:rPr>
          <w:rFonts w:eastAsiaTheme="minorHAnsi" w:cs="Arial"/>
          <w:color w:val="000000"/>
          <w:szCs w:val="20"/>
        </w:rPr>
        <w:t xml:space="preserve"> </w:t>
      </w:r>
      <w:r w:rsidR="002346B7" w:rsidRPr="002346B7">
        <w:rPr>
          <w:rFonts w:eastAsiaTheme="minorHAnsi" w:cs="Arial"/>
          <w:color w:val="000000"/>
          <w:szCs w:val="20"/>
        </w:rPr>
        <w:t xml:space="preserve">OBESITY] AND </w:t>
      </w:r>
      <w:r w:rsidR="002346B7">
        <w:rPr>
          <w:rFonts w:eastAsiaTheme="minorHAnsi" w:cs="Arial"/>
          <w:color w:val="000000"/>
          <w:szCs w:val="20"/>
        </w:rPr>
        <w:t>[DRUG DOSAGE CALCULATIONS OR PHARMACOKINETICS]</w:t>
      </w:r>
      <w:r w:rsidR="002346B7" w:rsidRPr="002346B7">
        <w:rPr>
          <w:rFonts w:eastAsiaTheme="minorHAnsi" w:cs="Arial"/>
          <w:color w:val="000000"/>
          <w:szCs w:val="20"/>
        </w:rPr>
        <w:t xml:space="preserve"> </w:t>
      </w:r>
      <w:r w:rsidR="00005267">
        <w:rPr>
          <w:rFonts w:eastAsiaTheme="minorHAnsi" w:cs="Arial"/>
          <w:color w:val="000000"/>
          <w:szCs w:val="20"/>
        </w:rPr>
        <w:t>[</w:t>
      </w:r>
      <w:proofErr w:type="spellStart"/>
      <w:r w:rsidR="00005267">
        <w:rPr>
          <w:rFonts w:eastAsiaTheme="minorHAnsi" w:cs="Arial"/>
          <w:color w:val="000000"/>
          <w:szCs w:val="20"/>
        </w:rPr>
        <w:t>MeSH</w:t>
      </w:r>
      <w:proofErr w:type="spellEnd"/>
      <w:r w:rsidR="00005267">
        <w:rPr>
          <w:rFonts w:eastAsiaTheme="minorHAnsi" w:cs="Arial"/>
          <w:color w:val="000000"/>
          <w:szCs w:val="20"/>
        </w:rPr>
        <w:t xml:space="preserve"> terms] </w:t>
      </w:r>
      <w:r w:rsidR="002346B7" w:rsidRPr="002346B7">
        <w:rPr>
          <w:rFonts w:eastAsiaTheme="minorHAnsi" w:cs="Arial"/>
          <w:color w:val="000000"/>
          <w:szCs w:val="20"/>
        </w:rPr>
        <w:t xml:space="preserve">on 24/04/13 </w:t>
      </w:r>
      <w:r w:rsidR="00005267" w:rsidRPr="00005267">
        <w:rPr>
          <w:rFonts w:eastAsiaTheme="minorHAnsi" w:cs="Arial"/>
          <w:color w:val="000000"/>
          <w:szCs w:val="20"/>
        </w:rPr>
        <w:t xml:space="preserve">Limit to: Human and (“all child 0-18 years”) and English Language </w:t>
      </w:r>
    </w:p>
    <w:p w14:paraId="62D42583" w14:textId="77777777" w:rsidR="00005267" w:rsidRDefault="00005267" w:rsidP="002346B7">
      <w:pPr>
        <w:autoSpaceDE w:val="0"/>
        <w:autoSpaceDN w:val="0"/>
        <w:adjustRightInd w:val="0"/>
        <w:spacing w:after="0" w:line="240" w:lineRule="auto"/>
        <w:rPr>
          <w:rFonts w:eastAsiaTheme="minorHAnsi" w:cs="Arial"/>
          <w:color w:val="000000"/>
          <w:szCs w:val="20"/>
        </w:rPr>
      </w:pPr>
    </w:p>
    <w:p w14:paraId="40D67697" w14:textId="7802394B" w:rsidR="001C2308" w:rsidRPr="001C2308" w:rsidRDefault="00D50D5A" w:rsidP="001C2308">
      <w:pPr>
        <w:autoSpaceDE w:val="0"/>
        <w:autoSpaceDN w:val="0"/>
        <w:adjustRightInd w:val="0"/>
        <w:spacing w:after="0" w:line="240" w:lineRule="auto"/>
        <w:rPr>
          <w:rFonts w:eastAsiaTheme="minorHAnsi" w:cs="Arial"/>
          <w:color w:val="000000"/>
          <w:szCs w:val="20"/>
        </w:rPr>
      </w:pPr>
      <w:r w:rsidRPr="00F26D92">
        <w:rPr>
          <w:rFonts w:eastAsiaTheme="minorHAnsi" w:cs="Arial"/>
          <w:color w:val="000000"/>
          <w:szCs w:val="20"/>
          <w:u w:val="single"/>
        </w:rPr>
        <w:t xml:space="preserve">Specific </w:t>
      </w:r>
      <w:r w:rsidR="001C2308" w:rsidRPr="00F26D92">
        <w:rPr>
          <w:rFonts w:eastAsiaTheme="minorHAnsi" w:cs="Arial"/>
          <w:color w:val="000000"/>
          <w:szCs w:val="20"/>
          <w:u w:val="single"/>
        </w:rPr>
        <w:t>Medline</w:t>
      </w:r>
      <w:r w:rsidRPr="00F26D92">
        <w:rPr>
          <w:rFonts w:eastAsiaTheme="minorHAnsi" w:cs="Arial"/>
          <w:color w:val="000000"/>
          <w:szCs w:val="20"/>
          <w:u w:val="single"/>
        </w:rPr>
        <w:t xml:space="preserve"> search</w:t>
      </w:r>
      <w:r w:rsidR="001C2308">
        <w:rPr>
          <w:rFonts w:eastAsiaTheme="minorHAnsi" w:cs="Arial"/>
          <w:color w:val="000000"/>
          <w:szCs w:val="20"/>
        </w:rPr>
        <w:t xml:space="preserve">: </w:t>
      </w:r>
    </w:p>
    <w:p w14:paraId="78737CE5" w14:textId="67FA68A7" w:rsidR="001C2308" w:rsidRPr="001C2308" w:rsidRDefault="001C2308" w:rsidP="001C2308">
      <w:pPr>
        <w:autoSpaceDE w:val="0"/>
        <w:autoSpaceDN w:val="0"/>
        <w:adjustRightInd w:val="0"/>
        <w:spacing w:after="0" w:line="240" w:lineRule="auto"/>
        <w:rPr>
          <w:rFonts w:eastAsiaTheme="minorHAnsi" w:cs="Arial"/>
          <w:color w:val="000000"/>
          <w:szCs w:val="20"/>
        </w:rPr>
      </w:pPr>
      <w:r w:rsidRPr="001C2308">
        <w:rPr>
          <w:rFonts w:eastAsiaTheme="minorHAnsi" w:cs="Arial"/>
          <w:color w:val="000000"/>
          <w:szCs w:val="20"/>
        </w:rPr>
        <w:t>1</w:t>
      </w:r>
      <w:r w:rsidR="005100A5">
        <w:rPr>
          <w:rFonts w:eastAsiaTheme="minorHAnsi" w:cs="Arial"/>
          <w:color w:val="000000"/>
          <w:szCs w:val="20"/>
        </w:rPr>
        <w:t>.</w:t>
      </w:r>
      <w:r w:rsidRPr="001C2308">
        <w:rPr>
          <w:rFonts w:eastAsiaTheme="minorHAnsi" w:cs="Arial"/>
          <w:color w:val="000000"/>
          <w:szCs w:val="20"/>
        </w:rPr>
        <w:t xml:space="preserve"> </w:t>
      </w:r>
      <w:r w:rsidR="00FB3CA0">
        <w:rPr>
          <w:rFonts w:eastAsiaTheme="minorHAnsi" w:cs="Arial"/>
          <w:color w:val="000000"/>
          <w:szCs w:val="20"/>
        </w:rPr>
        <w:t>[</w:t>
      </w:r>
      <w:r w:rsidRPr="001C2308">
        <w:rPr>
          <w:rFonts w:eastAsiaTheme="minorHAnsi" w:cs="Arial"/>
          <w:color w:val="000000"/>
          <w:szCs w:val="20"/>
        </w:rPr>
        <w:t>pharmacokin</w:t>
      </w:r>
      <w:r w:rsidR="00FB3CA0">
        <w:rPr>
          <w:rFonts w:eastAsiaTheme="minorHAnsi" w:cs="Arial"/>
          <w:color w:val="000000"/>
          <w:szCs w:val="20"/>
        </w:rPr>
        <w:t>etics.mp. or *PHARMACOKINETICS/] or [</w:t>
      </w:r>
      <w:r w:rsidRPr="001C2308">
        <w:rPr>
          <w:rFonts w:eastAsiaTheme="minorHAnsi" w:cs="Arial"/>
          <w:color w:val="000000"/>
          <w:szCs w:val="20"/>
        </w:rPr>
        <w:t>tissue distribution.mp. or *Tissue Distribution/</w:t>
      </w:r>
      <w:r w:rsidR="00FB3CA0">
        <w:rPr>
          <w:rFonts w:eastAsiaTheme="minorHAnsi" w:cs="Arial"/>
          <w:color w:val="000000"/>
          <w:szCs w:val="20"/>
        </w:rPr>
        <w:t>] or [</w:t>
      </w:r>
      <w:r w:rsidRPr="001C2308">
        <w:rPr>
          <w:rFonts w:eastAsiaTheme="minorHAnsi" w:cs="Arial"/>
          <w:color w:val="000000"/>
          <w:szCs w:val="20"/>
        </w:rPr>
        <w:t>*ABSORPTION/</w:t>
      </w:r>
      <w:r w:rsidR="00FB3CA0">
        <w:rPr>
          <w:rFonts w:eastAsiaTheme="minorHAnsi" w:cs="Arial"/>
          <w:color w:val="000000"/>
          <w:szCs w:val="20"/>
        </w:rPr>
        <w:t>] or [</w:t>
      </w:r>
      <w:r w:rsidRPr="001C2308">
        <w:rPr>
          <w:rFonts w:eastAsiaTheme="minorHAnsi" w:cs="Arial"/>
          <w:color w:val="000000"/>
          <w:szCs w:val="20"/>
        </w:rPr>
        <w:t>*Biological Availability/</w:t>
      </w:r>
      <w:r w:rsidR="00FB3CA0">
        <w:rPr>
          <w:rFonts w:eastAsiaTheme="minorHAnsi" w:cs="Arial"/>
          <w:color w:val="000000"/>
          <w:szCs w:val="20"/>
        </w:rPr>
        <w:t>] or [</w:t>
      </w:r>
      <w:r w:rsidRPr="001C2308">
        <w:rPr>
          <w:rFonts w:eastAsiaTheme="minorHAnsi" w:cs="Arial"/>
          <w:color w:val="000000"/>
          <w:szCs w:val="20"/>
        </w:rPr>
        <w:t>clearance.mp. or *METABOLIC CLEARANCE RATE/</w:t>
      </w:r>
      <w:r w:rsidR="00FB3CA0">
        <w:rPr>
          <w:rFonts w:eastAsiaTheme="minorHAnsi" w:cs="Arial"/>
          <w:color w:val="000000"/>
          <w:szCs w:val="20"/>
        </w:rPr>
        <w:t>] or [</w:t>
      </w:r>
      <w:r w:rsidRPr="001C2308">
        <w:rPr>
          <w:rFonts w:eastAsiaTheme="minorHAnsi" w:cs="Arial"/>
          <w:color w:val="000000"/>
          <w:szCs w:val="20"/>
        </w:rPr>
        <w:t>*HEPATOBILIARY ELIMINATION/ or *RENAL ELIMINATION/ or elimination.mp.</w:t>
      </w:r>
      <w:r w:rsidR="00FB3CA0">
        <w:rPr>
          <w:rFonts w:eastAsiaTheme="minorHAnsi" w:cs="Arial"/>
          <w:color w:val="000000"/>
          <w:szCs w:val="20"/>
        </w:rPr>
        <w:t>] or [</w:t>
      </w:r>
      <w:r w:rsidRPr="001C2308">
        <w:rPr>
          <w:rFonts w:eastAsiaTheme="minorHAnsi" w:cs="Arial"/>
          <w:color w:val="000000"/>
          <w:szCs w:val="20"/>
        </w:rPr>
        <w:t>dosage.mp. or *DRUG DOSAGE CALCULATIONS/</w:t>
      </w:r>
      <w:r w:rsidR="00FB3CA0">
        <w:rPr>
          <w:rFonts w:eastAsiaTheme="minorHAnsi" w:cs="Arial"/>
          <w:color w:val="000000"/>
          <w:szCs w:val="20"/>
        </w:rPr>
        <w:t>]</w:t>
      </w:r>
      <w:r w:rsidRPr="001C2308">
        <w:rPr>
          <w:rFonts w:eastAsiaTheme="minorHAnsi" w:cs="Arial"/>
          <w:color w:val="000000"/>
          <w:szCs w:val="20"/>
        </w:rPr>
        <w:t xml:space="preserve"> </w:t>
      </w:r>
    </w:p>
    <w:p w14:paraId="319F472F" w14:textId="0C8DAB82" w:rsidR="001C2308" w:rsidRPr="001C2308" w:rsidRDefault="00FB3CA0" w:rsidP="001C2308">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2</w:t>
      </w:r>
      <w:r w:rsidR="005100A5">
        <w:rPr>
          <w:rFonts w:eastAsiaTheme="minorHAnsi" w:cs="Arial"/>
          <w:color w:val="000000"/>
          <w:szCs w:val="20"/>
        </w:rPr>
        <w:t>.</w:t>
      </w:r>
      <w:r w:rsidR="001C2308" w:rsidRPr="001C2308">
        <w:rPr>
          <w:rFonts w:eastAsiaTheme="minorHAnsi" w:cs="Arial"/>
          <w:color w:val="000000"/>
          <w:szCs w:val="20"/>
        </w:rPr>
        <w:t xml:space="preserve"> </w:t>
      </w:r>
      <w:r>
        <w:rPr>
          <w:rFonts w:eastAsiaTheme="minorHAnsi" w:cs="Arial"/>
          <w:color w:val="000000"/>
          <w:szCs w:val="20"/>
        </w:rPr>
        <w:t>[</w:t>
      </w:r>
      <w:r w:rsidR="001C2308" w:rsidRPr="001C2308">
        <w:rPr>
          <w:rFonts w:eastAsiaTheme="minorHAnsi" w:cs="Arial"/>
          <w:color w:val="000000"/>
          <w:szCs w:val="20"/>
        </w:rPr>
        <w:t>*OBESITY/ or *PEDIATRIC OBESITY/</w:t>
      </w:r>
      <w:r>
        <w:rPr>
          <w:rFonts w:eastAsiaTheme="minorHAnsi" w:cs="Arial"/>
          <w:color w:val="000000"/>
          <w:szCs w:val="20"/>
        </w:rPr>
        <w:t>] or [</w:t>
      </w:r>
      <w:r w:rsidR="001C2308" w:rsidRPr="001C2308">
        <w:rPr>
          <w:rFonts w:eastAsiaTheme="minorHAnsi" w:cs="Arial"/>
          <w:color w:val="000000"/>
          <w:szCs w:val="20"/>
        </w:rPr>
        <w:t>*Body Weight</w:t>
      </w:r>
      <w:r w:rsidR="001C2308">
        <w:rPr>
          <w:rFonts w:eastAsiaTheme="minorHAnsi" w:cs="Arial"/>
          <w:color w:val="000000"/>
          <w:szCs w:val="20"/>
        </w:rPr>
        <w:t>/</w:t>
      </w:r>
      <w:r>
        <w:rPr>
          <w:rFonts w:eastAsiaTheme="minorHAnsi" w:cs="Arial"/>
          <w:color w:val="000000"/>
          <w:szCs w:val="20"/>
        </w:rPr>
        <w:t>]</w:t>
      </w:r>
    </w:p>
    <w:p w14:paraId="467A9FF4" w14:textId="31F94FBA" w:rsidR="001C2308" w:rsidRPr="001C2308" w:rsidRDefault="00FB3CA0" w:rsidP="001C2308">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3</w:t>
      </w:r>
      <w:r w:rsidR="005100A5">
        <w:rPr>
          <w:rFonts w:eastAsiaTheme="minorHAnsi" w:cs="Arial"/>
          <w:color w:val="000000"/>
          <w:szCs w:val="20"/>
        </w:rPr>
        <w:t>.</w:t>
      </w:r>
      <w:r>
        <w:rPr>
          <w:rFonts w:eastAsiaTheme="minorHAnsi" w:cs="Arial"/>
          <w:color w:val="000000"/>
          <w:szCs w:val="20"/>
        </w:rPr>
        <w:t xml:space="preserve"> 1 and 2</w:t>
      </w:r>
    </w:p>
    <w:p w14:paraId="45CA997F" w14:textId="44746092" w:rsidR="001C2308" w:rsidRDefault="00FB3CA0" w:rsidP="003A212E">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4</w:t>
      </w:r>
      <w:r w:rsidR="005100A5">
        <w:rPr>
          <w:rFonts w:eastAsiaTheme="minorHAnsi" w:cs="Arial"/>
          <w:color w:val="000000"/>
          <w:szCs w:val="20"/>
        </w:rPr>
        <w:t>.</w:t>
      </w:r>
      <w:r>
        <w:rPr>
          <w:rFonts w:eastAsiaTheme="minorHAnsi" w:cs="Arial"/>
          <w:color w:val="000000"/>
          <w:szCs w:val="20"/>
        </w:rPr>
        <w:t xml:space="preserve"> </w:t>
      </w:r>
      <w:r w:rsidR="00661C96">
        <w:rPr>
          <w:rFonts w:eastAsiaTheme="minorHAnsi" w:cs="Arial"/>
          <w:color w:val="000000"/>
          <w:szCs w:val="20"/>
        </w:rPr>
        <w:t>[</w:t>
      </w:r>
      <w:r w:rsidR="001C2308" w:rsidRPr="001C2308">
        <w:rPr>
          <w:rFonts w:eastAsiaTheme="minorHAnsi" w:cs="Arial"/>
          <w:color w:val="000000"/>
          <w:szCs w:val="20"/>
        </w:rPr>
        <w:t>analgesics.mp. or *ANALGESICS, NON-NARCOTIC/ or *ANALGESICS/ or</w:t>
      </w:r>
      <w:r w:rsidR="00D50D5A">
        <w:rPr>
          <w:rFonts w:eastAsiaTheme="minorHAnsi" w:cs="Arial"/>
          <w:color w:val="000000"/>
          <w:szCs w:val="20"/>
        </w:rPr>
        <w:t xml:space="preserve"> </w:t>
      </w:r>
      <w:r w:rsidR="001C2308" w:rsidRPr="001C2308">
        <w:rPr>
          <w:rFonts w:eastAsiaTheme="minorHAnsi" w:cs="Arial"/>
          <w:color w:val="000000"/>
          <w:szCs w:val="20"/>
        </w:rPr>
        <w:t>*ANALGESICS, OPIOID/</w:t>
      </w:r>
      <w:r w:rsidR="00661C96">
        <w:rPr>
          <w:rFonts w:eastAsiaTheme="minorHAnsi" w:cs="Arial"/>
          <w:color w:val="000000"/>
          <w:szCs w:val="20"/>
        </w:rPr>
        <w:t>] or [</w:t>
      </w:r>
      <w:r w:rsidR="001C2308" w:rsidRPr="001C2308">
        <w:rPr>
          <w:rFonts w:eastAsiaTheme="minorHAnsi" w:cs="Arial"/>
          <w:color w:val="000000"/>
          <w:szCs w:val="20"/>
        </w:rPr>
        <w:t>*Anti-Inflammatory Agents, Non-Steroidal/</w:t>
      </w:r>
      <w:r w:rsidR="00661C96">
        <w:rPr>
          <w:rFonts w:eastAsiaTheme="minorHAnsi" w:cs="Arial"/>
          <w:color w:val="000000"/>
          <w:szCs w:val="20"/>
        </w:rPr>
        <w:t>] or [</w:t>
      </w:r>
      <w:r w:rsidR="001C2308" w:rsidRPr="001C2308">
        <w:rPr>
          <w:rFonts w:eastAsiaTheme="minorHAnsi" w:cs="Arial"/>
          <w:color w:val="000000"/>
          <w:szCs w:val="20"/>
        </w:rPr>
        <w:t>paracetamol.mp. or Acetaminophen/</w:t>
      </w:r>
      <w:r w:rsidR="00661C96">
        <w:rPr>
          <w:rFonts w:eastAsiaTheme="minorHAnsi" w:cs="Arial"/>
          <w:color w:val="000000"/>
          <w:szCs w:val="20"/>
        </w:rPr>
        <w:t>] or [</w:t>
      </w:r>
      <w:r w:rsidR="001C2308" w:rsidRPr="001C2308">
        <w:rPr>
          <w:rFonts w:eastAsiaTheme="minorHAnsi" w:cs="Arial"/>
          <w:color w:val="000000"/>
          <w:szCs w:val="20"/>
        </w:rPr>
        <w:t>ibuprofen.mp. or IBUPROFEN/</w:t>
      </w:r>
      <w:r w:rsidR="00661C96">
        <w:rPr>
          <w:rFonts w:eastAsiaTheme="minorHAnsi" w:cs="Arial"/>
          <w:color w:val="000000"/>
          <w:szCs w:val="20"/>
        </w:rPr>
        <w:t>] or [diclofenac.mp. or DICLOFENAC/] or [</w:t>
      </w:r>
      <w:r w:rsidR="001C2308">
        <w:rPr>
          <w:rFonts w:eastAsiaTheme="minorHAnsi" w:cs="Arial"/>
          <w:color w:val="000000"/>
          <w:szCs w:val="20"/>
        </w:rPr>
        <w:t>naproxen.mp. or NAPROXEN/</w:t>
      </w:r>
      <w:r w:rsidR="00661C96">
        <w:rPr>
          <w:rFonts w:eastAsiaTheme="minorHAnsi" w:cs="Arial"/>
          <w:color w:val="000000"/>
          <w:szCs w:val="20"/>
        </w:rPr>
        <w:t>] or [</w:t>
      </w:r>
      <w:r w:rsidR="001C2308" w:rsidRPr="001C2308">
        <w:rPr>
          <w:rFonts w:eastAsiaTheme="minorHAnsi" w:cs="Arial"/>
          <w:color w:val="000000"/>
          <w:szCs w:val="20"/>
        </w:rPr>
        <w:t>morphine.mp. or MORPHINE/</w:t>
      </w:r>
      <w:r w:rsidR="00661C96">
        <w:rPr>
          <w:rFonts w:eastAsiaTheme="minorHAnsi" w:cs="Arial"/>
          <w:color w:val="000000"/>
          <w:szCs w:val="20"/>
        </w:rPr>
        <w:t>] or [</w:t>
      </w:r>
      <w:r w:rsidR="001C2308" w:rsidRPr="001C2308">
        <w:rPr>
          <w:rFonts w:eastAsiaTheme="minorHAnsi" w:cs="Arial"/>
          <w:color w:val="000000"/>
          <w:szCs w:val="20"/>
        </w:rPr>
        <w:t>fentanyl.mp. or FENTANYL/</w:t>
      </w:r>
      <w:r w:rsidR="00661C96">
        <w:rPr>
          <w:rFonts w:eastAsiaTheme="minorHAnsi" w:cs="Arial"/>
          <w:color w:val="000000"/>
          <w:szCs w:val="20"/>
        </w:rPr>
        <w:t>] or [</w:t>
      </w:r>
      <w:r w:rsidR="001C2308" w:rsidRPr="001C2308">
        <w:rPr>
          <w:rFonts w:eastAsiaTheme="minorHAnsi" w:cs="Arial"/>
          <w:color w:val="000000"/>
          <w:szCs w:val="20"/>
        </w:rPr>
        <w:t>BUPRENORPHINE/ or buprenorphine.mp</w:t>
      </w:r>
      <w:r w:rsidR="001C2308">
        <w:rPr>
          <w:rFonts w:eastAsiaTheme="minorHAnsi" w:cs="Arial"/>
          <w:color w:val="000000"/>
          <w:szCs w:val="20"/>
        </w:rPr>
        <w:t>.</w:t>
      </w:r>
      <w:r w:rsidR="00661C96">
        <w:rPr>
          <w:rFonts w:eastAsiaTheme="minorHAnsi" w:cs="Arial"/>
          <w:color w:val="000000"/>
          <w:szCs w:val="20"/>
        </w:rPr>
        <w:t>] or [</w:t>
      </w:r>
      <w:r w:rsidR="001C2308" w:rsidRPr="001C2308">
        <w:rPr>
          <w:rFonts w:eastAsiaTheme="minorHAnsi" w:cs="Arial"/>
          <w:color w:val="000000"/>
          <w:szCs w:val="20"/>
        </w:rPr>
        <w:t>oxy</w:t>
      </w:r>
      <w:r w:rsidR="001C2308">
        <w:rPr>
          <w:rFonts w:eastAsiaTheme="minorHAnsi" w:cs="Arial"/>
          <w:color w:val="000000"/>
          <w:szCs w:val="20"/>
        </w:rPr>
        <w:t>codone.mp. or OXYCODONE/</w:t>
      </w:r>
      <w:r w:rsidR="00661C96">
        <w:rPr>
          <w:rFonts w:eastAsiaTheme="minorHAnsi" w:cs="Arial"/>
          <w:color w:val="000000"/>
          <w:szCs w:val="20"/>
        </w:rPr>
        <w:t>] or [</w:t>
      </w:r>
      <w:r w:rsidR="001C2308" w:rsidRPr="001C2308">
        <w:rPr>
          <w:rFonts w:eastAsiaTheme="minorHAnsi" w:cs="Arial"/>
          <w:color w:val="000000"/>
          <w:szCs w:val="20"/>
        </w:rPr>
        <w:t>antiepileptics.mp. or Anticonvulsants/</w:t>
      </w:r>
      <w:r w:rsidR="00661C96">
        <w:rPr>
          <w:rFonts w:eastAsiaTheme="minorHAnsi" w:cs="Arial"/>
          <w:color w:val="000000"/>
          <w:szCs w:val="20"/>
        </w:rPr>
        <w:t>] or [</w:t>
      </w:r>
      <w:r w:rsidR="001C2308" w:rsidRPr="001C2308">
        <w:rPr>
          <w:rFonts w:eastAsiaTheme="minorHAnsi" w:cs="Arial"/>
          <w:color w:val="000000"/>
          <w:szCs w:val="20"/>
        </w:rPr>
        <w:t>"Hypnotics and Sedatives"/</w:t>
      </w:r>
      <w:r w:rsidR="00661C96">
        <w:rPr>
          <w:rFonts w:eastAsiaTheme="minorHAnsi" w:cs="Arial"/>
          <w:color w:val="000000"/>
          <w:szCs w:val="20"/>
        </w:rPr>
        <w:t>] or [</w:t>
      </w:r>
      <w:r w:rsidR="001C2308" w:rsidRPr="001C2308">
        <w:rPr>
          <w:rFonts w:eastAsiaTheme="minorHAnsi" w:cs="Arial"/>
          <w:color w:val="000000"/>
          <w:szCs w:val="20"/>
        </w:rPr>
        <w:t>BENZODIAZEPINES/</w:t>
      </w:r>
      <w:r w:rsidR="00661C96">
        <w:rPr>
          <w:rFonts w:eastAsiaTheme="minorHAnsi" w:cs="Arial"/>
          <w:color w:val="000000"/>
          <w:szCs w:val="20"/>
        </w:rPr>
        <w:t>] or [</w:t>
      </w:r>
      <w:r w:rsidR="001C2308" w:rsidRPr="001C2308">
        <w:rPr>
          <w:rFonts w:eastAsiaTheme="minorHAnsi" w:cs="Arial"/>
          <w:color w:val="000000"/>
          <w:szCs w:val="20"/>
        </w:rPr>
        <w:t>carba</w:t>
      </w:r>
      <w:r w:rsidR="001C2308">
        <w:rPr>
          <w:rFonts w:eastAsiaTheme="minorHAnsi" w:cs="Arial"/>
          <w:color w:val="000000"/>
          <w:szCs w:val="20"/>
        </w:rPr>
        <w:t>mazepine.mp. or CARBAMAZEPINE/</w:t>
      </w:r>
      <w:r w:rsidR="00661C96">
        <w:rPr>
          <w:rFonts w:eastAsiaTheme="minorHAnsi" w:cs="Arial"/>
          <w:color w:val="000000"/>
          <w:szCs w:val="20"/>
        </w:rPr>
        <w:t>] or [</w:t>
      </w:r>
      <w:r w:rsidR="001C2308" w:rsidRPr="001C2308">
        <w:rPr>
          <w:rFonts w:eastAsiaTheme="minorHAnsi" w:cs="Arial"/>
          <w:color w:val="000000"/>
          <w:szCs w:val="20"/>
        </w:rPr>
        <w:t>levetiracetam.mp.</w:t>
      </w:r>
      <w:r w:rsidR="00661C96">
        <w:rPr>
          <w:rFonts w:eastAsiaTheme="minorHAnsi" w:cs="Arial"/>
          <w:color w:val="000000"/>
          <w:szCs w:val="20"/>
        </w:rPr>
        <w:t>] or [</w:t>
      </w:r>
      <w:r w:rsidR="001C2308" w:rsidRPr="001C2308">
        <w:rPr>
          <w:rFonts w:eastAsiaTheme="minorHAnsi" w:cs="Arial"/>
          <w:color w:val="000000"/>
          <w:szCs w:val="20"/>
        </w:rPr>
        <w:t>phenytoin.mp. or PHENYTOIN/</w:t>
      </w:r>
      <w:r w:rsidR="00661C96">
        <w:rPr>
          <w:rFonts w:eastAsiaTheme="minorHAnsi" w:cs="Arial"/>
          <w:color w:val="000000"/>
          <w:szCs w:val="20"/>
        </w:rPr>
        <w:t>] or [</w:t>
      </w:r>
      <w:r w:rsidR="001C2308" w:rsidRPr="001C2308">
        <w:rPr>
          <w:rFonts w:eastAsiaTheme="minorHAnsi" w:cs="Arial"/>
          <w:color w:val="000000"/>
          <w:szCs w:val="20"/>
        </w:rPr>
        <w:t>phenobarbital.mp. or PHENOBARBITAL/</w:t>
      </w:r>
      <w:r w:rsidR="00661C96">
        <w:rPr>
          <w:rFonts w:eastAsiaTheme="minorHAnsi" w:cs="Arial"/>
          <w:color w:val="000000"/>
          <w:szCs w:val="20"/>
        </w:rPr>
        <w:t>] or [</w:t>
      </w:r>
      <w:r w:rsidR="001C2308" w:rsidRPr="001C2308">
        <w:rPr>
          <w:rFonts w:eastAsiaTheme="minorHAnsi" w:cs="Arial"/>
          <w:color w:val="000000"/>
          <w:szCs w:val="20"/>
        </w:rPr>
        <w:t>sodium valproate.mp. or Valproic Acid/</w:t>
      </w:r>
      <w:r w:rsidR="00661C96">
        <w:rPr>
          <w:rFonts w:eastAsiaTheme="minorHAnsi" w:cs="Arial"/>
          <w:color w:val="000000"/>
          <w:szCs w:val="20"/>
        </w:rPr>
        <w:t>] or [</w:t>
      </w:r>
      <w:r w:rsidR="001C2308" w:rsidRPr="001C2308">
        <w:rPr>
          <w:rFonts w:eastAsiaTheme="minorHAnsi" w:cs="Arial"/>
          <w:color w:val="000000"/>
          <w:szCs w:val="20"/>
        </w:rPr>
        <w:t>clobazam.mp.</w:t>
      </w:r>
      <w:r w:rsidR="00661C96">
        <w:rPr>
          <w:rFonts w:eastAsiaTheme="minorHAnsi" w:cs="Arial"/>
          <w:color w:val="000000"/>
          <w:szCs w:val="20"/>
        </w:rPr>
        <w:t>] or [</w:t>
      </w:r>
      <w:r w:rsidR="001C2308" w:rsidRPr="000768D0">
        <w:rPr>
          <w:rFonts w:eastAsiaTheme="minorHAnsi" w:cs="Arial"/>
          <w:color w:val="000000"/>
          <w:szCs w:val="20"/>
        </w:rPr>
        <w:t>clonazepam.mp. or CLONAZEPAM/</w:t>
      </w:r>
      <w:r w:rsidR="00661C96">
        <w:rPr>
          <w:rFonts w:eastAsiaTheme="minorHAnsi" w:cs="Arial"/>
          <w:color w:val="000000"/>
          <w:szCs w:val="20"/>
        </w:rPr>
        <w:t>] or [</w:t>
      </w:r>
      <w:r w:rsidR="001C2308" w:rsidRPr="000768D0">
        <w:rPr>
          <w:rFonts w:eastAsiaTheme="minorHAnsi" w:cs="Arial"/>
          <w:color w:val="000000"/>
          <w:szCs w:val="20"/>
        </w:rPr>
        <w:t>DIAZEPAM/ or diazepam.mp.</w:t>
      </w:r>
      <w:r w:rsidR="00661C96">
        <w:rPr>
          <w:rFonts w:eastAsiaTheme="minorHAnsi" w:cs="Arial"/>
          <w:color w:val="000000"/>
          <w:szCs w:val="20"/>
        </w:rPr>
        <w:t>] or</w:t>
      </w:r>
      <w:r w:rsidR="001C2308" w:rsidRPr="000768D0">
        <w:rPr>
          <w:rFonts w:eastAsiaTheme="minorHAnsi" w:cs="Arial"/>
          <w:color w:val="000000"/>
          <w:szCs w:val="20"/>
        </w:rPr>
        <w:t xml:space="preserve"> </w:t>
      </w:r>
      <w:r w:rsidR="00661C96">
        <w:rPr>
          <w:rFonts w:eastAsiaTheme="minorHAnsi" w:cs="Arial"/>
          <w:color w:val="000000"/>
          <w:szCs w:val="20"/>
        </w:rPr>
        <w:t>[</w:t>
      </w:r>
      <w:r w:rsidR="001C2308" w:rsidRPr="000768D0">
        <w:rPr>
          <w:rFonts w:eastAsiaTheme="minorHAnsi" w:cs="Arial"/>
          <w:color w:val="000000"/>
          <w:szCs w:val="20"/>
        </w:rPr>
        <w:t>midazolam.mp. or MIDAZOLAM/</w:t>
      </w:r>
      <w:r w:rsidR="00661C96">
        <w:rPr>
          <w:rFonts w:eastAsiaTheme="minorHAnsi" w:cs="Arial"/>
          <w:color w:val="000000"/>
          <w:szCs w:val="20"/>
        </w:rPr>
        <w:t>] or [</w:t>
      </w:r>
      <w:r w:rsidR="001C2308" w:rsidRPr="000768D0">
        <w:rPr>
          <w:rFonts w:eastAsiaTheme="minorHAnsi" w:cs="Arial"/>
          <w:color w:val="000000"/>
          <w:szCs w:val="20"/>
        </w:rPr>
        <w:t>lorazepam.mp. or LORAZEPAM/</w:t>
      </w:r>
      <w:r w:rsidR="00661C96">
        <w:rPr>
          <w:rFonts w:eastAsiaTheme="minorHAnsi" w:cs="Arial"/>
          <w:color w:val="000000"/>
          <w:szCs w:val="20"/>
        </w:rPr>
        <w:t>] or [</w:t>
      </w:r>
      <w:r w:rsidR="000768D0" w:rsidRPr="000768D0">
        <w:rPr>
          <w:rFonts w:cs="Arial"/>
          <w:szCs w:val="20"/>
        </w:rPr>
        <w:t>aminoglycoside</w:t>
      </w:r>
      <w:r w:rsidR="000768D0">
        <w:rPr>
          <w:rFonts w:cs="Arial"/>
          <w:szCs w:val="20"/>
        </w:rPr>
        <w:t>s.mp. or exp *AMINOGLYCOSIDES/</w:t>
      </w:r>
      <w:r w:rsidR="00661C96">
        <w:rPr>
          <w:rFonts w:cs="Arial"/>
          <w:szCs w:val="20"/>
        </w:rPr>
        <w:t>] or [</w:t>
      </w:r>
      <w:r w:rsidR="000768D0" w:rsidRPr="000768D0">
        <w:rPr>
          <w:rFonts w:cs="Arial"/>
          <w:szCs w:val="20"/>
        </w:rPr>
        <w:t>betalactams.mp. or exp *beta-Lactams/</w:t>
      </w:r>
      <w:r w:rsidR="00661C96">
        <w:rPr>
          <w:rFonts w:cs="Arial"/>
          <w:szCs w:val="20"/>
        </w:rPr>
        <w:t>] or [</w:t>
      </w:r>
      <w:r w:rsidR="000768D0">
        <w:rPr>
          <w:rFonts w:cs="Arial"/>
          <w:szCs w:val="20"/>
        </w:rPr>
        <w:t>beta-lactams.mp.</w:t>
      </w:r>
      <w:r w:rsidR="00661C96">
        <w:rPr>
          <w:rFonts w:cs="Arial"/>
          <w:szCs w:val="20"/>
        </w:rPr>
        <w:t>] or [</w:t>
      </w:r>
      <w:r w:rsidR="000768D0" w:rsidRPr="000768D0">
        <w:rPr>
          <w:rFonts w:cs="Arial"/>
          <w:szCs w:val="20"/>
        </w:rPr>
        <w:t>carbapenems.mp. or exp *CARBAPENEMS/</w:t>
      </w:r>
      <w:r w:rsidR="00661C96">
        <w:rPr>
          <w:rFonts w:cs="Arial"/>
          <w:szCs w:val="20"/>
        </w:rPr>
        <w:t>] or [</w:t>
      </w:r>
      <w:r w:rsidR="000768D0" w:rsidRPr="000768D0">
        <w:rPr>
          <w:rFonts w:cs="Arial"/>
          <w:szCs w:val="20"/>
        </w:rPr>
        <w:t>cephalosporins.mp. or exp *CEPHALOSPORINS/</w:t>
      </w:r>
      <w:r w:rsidR="00661C96">
        <w:rPr>
          <w:rFonts w:cs="Arial"/>
          <w:szCs w:val="20"/>
        </w:rPr>
        <w:t>] or [</w:t>
      </w:r>
      <w:r w:rsidR="000768D0" w:rsidRPr="000768D0">
        <w:rPr>
          <w:rFonts w:cs="Arial"/>
          <w:szCs w:val="20"/>
        </w:rPr>
        <w:t>glycopeptides.mp. or exp *GLYCOPEPTIDES/</w:t>
      </w:r>
      <w:r w:rsidR="00661C96">
        <w:rPr>
          <w:rFonts w:cs="Arial"/>
          <w:szCs w:val="20"/>
        </w:rPr>
        <w:t>] or [</w:t>
      </w:r>
      <w:r w:rsidR="000768D0" w:rsidRPr="000768D0">
        <w:rPr>
          <w:rFonts w:cs="Arial"/>
          <w:szCs w:val="20"/>
        </w:rPr>
        <w:t>macrolides.mp. or exp *MACROLIDES/</w:t>
      </w:r>
      <w:r w:rsidR="00661C96">
        <w:rPr>
          <w:rFonts w:cs="Arial"/>
          <w:szCs w:val="20"/>
        </w:rPr>
        <w:t>] or [</w:t>
      </w:r>
      <w:r w:rsidR="000768D0" w:rsidRPr="000768D0">
        <w:rPr>
          <w:rFonts w:cs="Arial"/>
          <w:szCs w:val="20"/>
        </w:rPr>
        <w:t>penicillins.mp. or exp *PENICILLINS/</w:t>
      </w:r>
      <w:r w:rsidR="00661C96">
        <w:rPr>
          <w:rFonts w:cs="Arial"/>
          <w:szCs w:val="20"/>
        </w:rPr>
        <w:t>] or [</w:t>
      </w:r>
      <w:r w:rsidR="000768D0" w:rsidRPr="000768D0">
        <w:rPr>
          <w:rFonts w:cs="Arial"/>
          <w:szCs w:val="20"/>
        </w:rPr>
        <w:t>fluoroquinolones.mp. or exp *FLUOROQUINOLONES/</w:t>
      </w:r>
      <w:r w:rsidR="00661C96">
        <w:rPr>
          <w:rFonts w:cs="Arial"/>
          <w:szCs w:val="20"/>
        </w:rPr>
        <w:t>] or [</w:t>
      </w:r>
      <w:r w:rsidR="000768D0" w:rsidRPr="000768D0">
        <w:rPr>
          <w:rFonts w:cs="Arial"/>
          <w:szCs w:val="20"/>
        </w:rPr>
        <w:t>aciclovir.mp. or Acyclovir/</w:t>
      </w:r>
      <w:r w:rsidR="00661C96">
        <w:rPr>
          <w:rFonts w:cs="Arial"/>
          <w:szCs w:val="20"/>
        </w:rPr>
        <w:t>] or [</w:t>
      </w:r>
      <w:r w:rsidR="000768D0" w:rsidRPr="000768D0">
        <w:rPr>
          <w:rFonts w:cs="Arial"/>
          <w:szCs w:val="20"/>
        </w:rPr>
        <w:t>azithromycin.mp. or AZITHROMYCIN/</w:t>
      </w:r>
      <w:r w:rsidR="00661C96">
        <w:rPr>
          <w:rFonts w:cs="Arial"/>
          <w:szCs w:val="20"/>
        </w:rPr>
        <w:t>] or [</w:t>
      </w:r>
      <w:r w:rsidR="000768D0" w:rsidRPr="000768D0">
        <w:rPr>
          <w:rFonts w:cs="Arial"/>
          <w:szCs w:val="20"/>
        </w:rPr>
        <w:t>ciprofloxacin.mp. or CIPROFLOXACIN/</w:t>
      </w:r>
      <w:r w:rsidR="00661C96">
        <w:rPr>
          <w:rFonts w:cs="Arial"/>
          <w:szCs w:val="20"/>
        </w:rPr>
        <w:t>] or [</w:t>
      </w:r>
      <w:r w:rsidR="000768D0" w:rsidRPr="000768D0">
        <w:rPr>
          <w:rFonts w:cs="Arial"/>
          <w:szCs w:val="20"/>
        </w:rPr>
        <w:t>c</w:t>
      </w:r>
      <w:r w:rsidR="000768D0">
        <w:rPr>
          <w:rFonts w:cs="Arial"/>
          <w:szCs w:val="20"/>
        </w:rPr>
        <w:t>lindamycin.mp. or CLINDAMYCIN/</w:t>
      </w:r>
      <w:r w:rsidR="00661C96">
        <w:rPr>
          <w:rFonts w:cs="Arial"/>
          <w:szCs w:val="20"/>
        </w:rPr>
        <w:t>] or [</w:t>
      </w:r>
      <w:r w:rsidR="000768D0">
        <w:rPr>
          <w:rFonts w:cs="Arial"/>
          <w:szCs w:val="20"/>
        </w:rPr>
        <w:t xml:space="preserve">gentamicin.mp. or </w:t>
      </w:r>
      <w:proofErr w:type="spellStart"/>
      <w:r w:rsidR="000768D0">
        <w:rPr>
          <w:rFonts w:cs="Arial"/>
          <w:szCs w:val="20"/>
        </w:rPr>
        <w:t>Gentamicins</w:t>
      </w:r>
      <w:proofErr w:type="spellEnd"/>
      <w:r w:rsidR="000768D0">
        <w:rPr>
          <w:rFonts w:cs="Arial"/>
          <w:szCs w:val="20"/>
        </w:rPr>
        <w:t>/</w:t>
      </w:r>
      <w:r w:rsidR="00661C96">
        <w:rPr>
          <w:rFonts w:cs="Arial"/>
          <w:szCs w:val="20"/>
        </w:rPr>
        <w:t>] or [</w:t>
      </w:r>
      <w:r w:rsidR="000768D0" w:rsidRPr="000768D0">
        <w:rPr>
          <w:rFonts w:cs="Arial"/>
          <w:szCs w:val="20"/>
        </w:rPr>
        <w:t>clarithromycin.mp. or CLARITHROMYCIN/</w:t>
      </w:r>
      <w:r w:rsidR="00661C96">
        <w:rPr>
          <w:rFonts w:cs="Arial"/>
          <w:szCs w:val="20"/>
        </w:rPr>
        <w:t>] or [</w:t>
      </w:r>
      <w:r w:rsidR="000768D0" w:rsidRPr="000768D0">
        <w:rPr>
          <w:rFonts w:cs="Arial"/>
          <w:szCs w:val="20"/>
        </w:rPr>
        <w:t>erythromycin.mp. or ERYTHROMYCIN/</w:t>
      </w:r>
      <w:r w:rsidR="00661C96">
        <w:rPr>
          <w:rFonts w:cs="Arial"/>
          <w:szCs w:val="20"/>
        </w:rPr>
        <w:t>] or [</w:t>
      </w:r>
      <w:r w:rsidR="000768D0" w:rsidRPr="000768D0">
        <w:rPr>
          <w:rFonts w:cs="Arial"/>
          <w:szCs w:val="20"/>
        </w:rPr>
        <w:t>metr</w:t>
      </w:r>
      <w:r w:rsidR="00661C96">
        <w:rPr>
          <w:rFonts w:cs="Arial"/>
          <w:szCs w:val="20"/>
        </w:rPr>
        <w:t>onidazole.mp. or METRONIDAZOLE/] or [</w:t>
      </w:r>
      <w:r w:rsidR="000768D0">
        <w:rPr>
          <w:rFonts w:cs="Arial"/>
          <w:szCs w:val="20"/>
        </w:rPr>
        <w:t xml:space="preserve">penicillin.mp. or </w:t>
      </w:r>
      <w:proofErr w:type="spellStart"/>
      <w:r w:rsidR="000768D0">
        <w:rPr>
          <w:rFonts w:cs="Arial"/>
          <w:szCs w:val="20"/>
        </w:rPr>
        <w:t>Penicillins</w:t>
      </w:r>
      <w:proofErr w:type="spellEnd"/>
      <w:r w:rsidR="000768D0">
        <w:rPr>
          <w:rFonts w:cs="Arial"/>
          <w:szCs w:val="20"/>
        </w:rPr>
        <w:t>/</w:t>
      </w:r>
      <w:r w:rsidR="00661C96">
        <w:rPr>
          <w:rFonts w:cs="Arial"/>
          <w:szCs w:val="20"/>
        </w:rPr>
        <w:t>] or [</w:t>
      </w:r>
      <w:r w:rsidR="000768D0">
        <w:rPr>
          <w:rFonts w:cs="Arial"/>
          <w:szCs w:val="20"/>
        </w:rPr>
        <w:t xml:space="preserve">rifampicin.mp. or </w:t>
      </w:r>
      <w:proofErr w:type="spellStart"/>
      <w:r w:rsidR="000768D0">
        <w:rPr>
          <w:rFonts w:cs="Arial"/>
          <w:szCs w:val="20"/>
        </w:rPr>
        <w:t>Rifampin</w:t>
      </w:r>
      <w:proofErr w:type="spellEnd"/>
      <w:r w:rsidR="000768D0">
        <w:rPr>
          <w:rFonts w:cs="Arial"/>
          <w:szCs w:val="20"/>
        </w:rPr>
        <w:t>/</w:t>
      </w:r>
      <w:r w:rsidR="00661C96">
        <w:rPr>
          <w:rFonts w:cs="Arial"/>
          <w:szCs w:val="20"/>
        </w:rPr>
        <w:t>] or [</w:t>
      </w:r>
      <w:r w:rsidR="000768D0">
        <w:rPr>
          <w:rFonts w:cs="Arial"/>
          <w:szCs w:val="20"/>
        </w:rPr>
        <w:t>tobramycin.mp. or TOBRAMYCIN/</w:t>
      </w:r>
      <w:r w:rsidR="00661C96">
        <w:rPr>
          <w:rFonts w:cs="Arial"/>
          <w:szCs w:val="20"/>
        </w:rPr>
        <w:t>] or [</w:t>
      </w:r>
      <w:r w:rsidR="000768D0">
        <w:rPr>
          <w:rFonts w:cs="Arial"/>
          <w:szCs w:val="20"/>
        </w:rPr>
        <w:t>vancomycin.mp. or VANCOMYCIN/</w:t>
      </w:r>
      <w:r w:rsidR="00661C96">
        <w:rPr>
          <w:rFonts w:cs="Arial"/>
          <w:szCs w:val="20"/>
        </w:rPr>
        <w:t>] or [</w:t>
      </w:r>
      <w:r w:rsidR="000768D0" w:rsidRPr="000768D0">
        <w:rPr>
          <w:rFonts w:cs="Arial"/>
          <w:szCs w:val="20"/>
        </w:rPr>
        <w:t>nitrofu</w:t>
      </w:r>
      <w:r w:rsidR="000768D0">
        <w:rPr>
          <w:rFonts w:cs="Arial"/>
          <w:szCs w:val="20"/>
        </w:rPr>
        <w:t>rantoin.mp. or NITROFURANTOIN/</w:t>
      </w:r>
      <w:r w:rsidR="00661C96">
        <w:rPr>
          <w:rFonts w:cs="Arial"/>
          <w:szCs w:val="20"/>
        </w:rPr>
        <w:t>] or [t</w:t>
      </w:r>
      <w:r w:rsidR="000768D0" w:rsidRPr="000768D0">
        <w:rPr>
          <w:rFonts w:cs="Arial"/>
          <w:szCs w:val="20"/>
        </w:rPr>
        <w:t>rimethoprim.mp. or TRIMETHOPRIM/</w:t>
      </w:r>
      <w:r w:rsidR="00661C96">
        <w:rPr>
          <w:rFonts w:cs="Arial"/>
          <w:szCs w:val="20"/>
        </w:rPr>
        <w:t>] or [</w:t>
      </w:r>
      <w:r w:rsidR="003A212E" w:rsidRPr="003A212E">
        <w:rPr>
          <w:rFonts w:cs="Arial"/>
          <w:szCs w:val="20"/>
          <w:lang w:eastAsia="en-GB"/>
        </w:rPr>
        <w:t>anticoagulants</w:t>
      </w:r>
      <w:r w:rsidR="00661C96">
        <w:rPr>
          <w:rFonts w:cs="Arial"/>
          <w:szCs w:val="20"/>
          <w:lang w:eastAsia="en-GB"/>
        </w:rPr>
        <w:t>.mp. or *ANTICOAGULANTS/] or [h</w:t>
      </w:r>
      <w:r w:rsidR="003A212E" w:rsidRPr="003A212E">
        <w:rPr>
          <w:rFonts w:cs="Arial"/>
          <w:szCs w:val="20"/>
          <w:lang w:eastAsia="en-GB"/>
        </w:rPr>
        <w:t>eparin.mp. or *HEPARIN, LOW</w:t>
      </w:r>
      <w:r w:rsidR="003A212E">
        <w:rPr>
          <w:rFonts w:cs="Arial"/>
          <w:szCs w:val="20"/>
          <w:lang w:eastAsia="en-GB"/>
        </w:rPr>
        <w:t>-MOLECULAR-WEIGHT/ or *HEPARIN/</w:t>
      </w:r>
      <w:r w:rsidR="00661C96">
        <w:rPr>
          <w:rFonts w:cs="Arial"/>
          <w:szCs w:val="20"/>
          <w:lang w:eastAsia="en-GB"/>
        </w:rPr>
        <w:t>] or</w:t>
      </w:r>
      <w:r w:rsidR="00D50D5A">
        <w:rPr>
          <w:rFonts w:cs="Arial"/>
          <w:szCs w:val="20"/>
          <w:lang w:eastAsia="en-GB"/>
        </w:rPr>
        <w:t xml:space="preserve"> </w:t>
      </w:r>
      <w:r w:rsidR="00661C96">
        <w:rPr>
          <w:rFonts w:cs="Arial"/>
          <w:szCs w:val="20"/>
          <w:lang w:eastAsia="en-GB"/>
        </w:rPr>
        <w:t>[</w:t>
      </w:r>
      <w:r w:rsidR="003A212E" w:rsidRPr="003A212E">
        <w:rPr>
          <w:rFonts w:cs="Arial"/>
          <w:szCs w:val="20"/>
          <w:lang w:eastAsia="en-GB"/>
        </w:rPr>
        <w:t>glucocorti</w:t>
      </w:r>
      <w:r w:rsidR="00464129">
        <w:rPr>
          <w:rFonts w:cs="Arial"/>
          <w:szCs w:val="20"/>
          <w:lang w:eastAsia="en-GB"/>
        </w:rPr>
        <w:t>coids.mp. or *GLUCOCORTICOIDS/</w:t>
      </w:r>
      <w:r w:rsidR="00661C96">
        <w:rPr>
          <w:rFonts w:cs="Arial"/>
          <w:szCs w:val="20"/>
          <w:lang w:eastAsia="en-GB"/>
        </w:rPr>
        <w:t>] or [</w:t>
      </w:r>
      <w:r w:rsidR="003A212E" w:rsidRPr="003A212E">
        <w:rPr>
          <w:rFonts w:cs="Arial"/>
          <w:szCs w:val="20"/>
          <w:lang w:eastAsia="en-GB"/>
        </w:rPr>
        <w:t>corticosteroids.mp. or *Adrenal Cortex Hormones/</w:t>
      </w:r>
      <w:r w:rsidR="00661C96">
        <w:rPr>
          <w:rFonts w:cs="Arial"/>
          <w:szCs w:val="20"/>
          <w:lang w:eastAsia="en-GB"/>
        </w:rPr>
        <w:t>] or [</w:t>
      </w:r>
      <w:r w:rsidR="003A212E" w:rsidRPr="003A212E">
        <w:rPr>
          <w:rFonts w:cs="Arial"/>
          <w:szCs w:val="20"/>
          <w:lang w:eastAsia="en-GB"/>
        </w:rPr>
        <w:t>*Ant</w:t>
      </w:r>
      <w:r w:rsidR="00464129">
        <w:rPr>
          <w:rFonts w:cs="Arial"/>
          <w:szCs w:val="20"/>
          <w:lang w:eastAsia="en-GB"/>
        </w:rPr>
        <w:t>i-Inflammatory Agents/</w:t>
      </w:r>
      <w:r w:rsidR="00661C96">
        <w:rPr>
          <w:rFonts w:cs="Arial"/>
          <w:szCs w:val="20"/>
          <w:lang w:eastAsia="en-GB"/>
        </w:rPr>
        <w:t>] or</w:t>
      </w:r>
      <w:r w:rsidR="003A212E" w:rsidRPr="003A212E">
        <w:rPr>
          <w:rFonts w:cs="Arial"/>
          <w:szCs w:val="20"/>
          <w:lang w:eastAsia="en-GB"/>
        </w:rPr>
        <w:t xml:space="preserve"> </w:t>
      </w:r>
      <w:r w:rsidR="00661C96">
        <w:rPr>
          <w:rFonts w:cs="Arial"/>
          <w:szCs w:val="20"/>
          <w:lang w:eastAsia="en-GB"/>
        </w:rPr>
        <w:t>[</w:t>
      </w:r>
      <w:r w:rsidR="003A212E" w:rsidRPr="003A212E">
        <w:rPr>
          <w:rFonts w:cs="Arial"/>
          <w:szCs w:val="20"/>
          <w:lang w:eastAsia="en-GB"/>
        </w:rPr>
        <w:t>dexamethasone.mp. or DEXAMETHASONE/</w:t>
      </w:r>
      <w:r w:rsidR="00661C96">
        <w:rPr>
          <w:rFonts w:cs="Arial"/>
          <w:szCs w:val="20"/>
          <w:lang w:eastAsia="en-GB"/>
        </w:rPr>
        <w:t>] or [</w:t>
      </w:r>
      <w:r w:rsidR="003A212E" w:rsidRPr="003A212E">
        <w:rPr>
          <w:rFonts w:cs="Arial"/>
          <w:szCs w:val="20"/>
          <w:lang w:eastAsia="en-GB"/>
        </w:rPr>
        <w:t>hydrocortisone.mp. or HYDROCORTISONE</w:t>
      </w:r>
      <w:r w:rsidR="00464129">
        <w:rPr>
          <w:rFonts w:cs="Arial"/>
          <w:szCs w:val="20"/>
          <w:lang w:eastAsia="en-GB"/>
        </w:rPr>
        <w:t>/</w:t>
      </w:r>
      <w:r w:rsidR="00661C96">
        <w:rPr>
          <w:rFonts w:cs="Arial"/>
          <w:szCs w:val="20"/>
          <w:lang w:eastAsia="en-GB"/>
        </w:rPr>
        <w:t>] or [</w:t>
      </w:r>
      <w:r w:rsidR="003A212E" w:rsidRPr="003A212E">
        <w:rPr>
          <w:rFonts w:cs="Arial"/>
          <w:szCs w:val="20"/>
          <w:lang w:eastAsia="en-GB"/>
        </w:rPr>
        <w:t>prednisolone.mp. or PREDNISOLONE/</w:t>
      </w:r>
      <w:r w:rsidR="00661C96">
        <w:rPr>
          <w:rFonts w:cs="Arial"/>
          <w:szCs w:val="20"/>
          <w:lang w:eastAsia="en-GB"/>
        </w:rPr>
        <w:t>] or [</w:t>
      </w:r>
      <w:r w:rsidR="003A212E" w:rsidRPr="003A212E">
        <w:rPr>
          <w:rFonts w:eastAsiaTheme="minorHAnsi" w:cs="Arial"/>
          <w:color w:val="000000"/>
          <w:szCs w:val="20"/>
        </w:rPr>
        <w:t>*Proton Pump Inhibitors/ or *Anti-Ulcer Agents/</w:t>
      </w:r>
      <w:r w:rsidR="00661C96">
        <w:rPr>
          <w:rFonts w:eastAsiaTheme="minorHAnsi" w:cs="Arial"/>
          <w:color w:val="000000"/>
          <w:szCs w:val="20"/>
        </w:rPr>
        <w:t>] or [</w:t>
      </w:r>
      <w:r w:rsidR="003A212E" w:rsidRPr="003A212E">
        <w:rPr>
          <w:rFonts w:eastAsiaTheme="minorHAnsi" w:cs="Arial"/>
          <w:color w:val="000000"/>
          <w:szCs w:val="20"/>
        </w:rPr>
        <w:t>omeprazole.mp. or OMEPRAZOLE/</w:t>
      </w:r>
      <w:r w:rsidR="00661C96">
        <w:rPr>
          <w:rFonts w:eastAsiaTheme="minorHAnsi" w:cs="Arial"/>
          <w:color w:val="000000"/>
          <w:szCs w:val="20"/>
        </w:rPr>
        <w:t>] or [</w:t>
      </w:r>
      <w:r w:rsidR="003A212E" w:rsidRPr="003A212E">
        <w:rPr>
          <w:rFonts w:eastAsiaTheme="minorHAnsi" w:cs="Arial"/>
          <w:color w:val="000000"/>
          <w:szCs w:val="20"/>
        </w:rPr>
        <w:t>la</w:t>
      </w:r>
      <w:r w:rsidR="00661C96">
        <w:rPr>
          <w:rFonts w:eastAsiaTheme="minorHAnsi" w:cs="Arial"/>
          <w:color w:val="000000"/>
          <w:szCs w:val="20"/>
        </w:rPr>
        <w:t>nsoprazole.mp. or LANSOPRAZOLE/] or [ranitidine.mp. or RANITIDINE/] or [</w:t>
      </w:r>
      <w:r w:rsidR="003A212E" w:rsidRPr="003A212E">
        <w:rPr>
          <w:rFonts w:eastAsiaTheme="minorHAnsi" w:cs="Arial"/>
          <w:color w:val="000000"/>
          <w:szCs w:val="20"/>
        </w:rPr>
        <w:t>esomprazole.mp.</w:t>
      </w:r>
      <w:r w:rsidR="00661C96">
        <w:rPr>
          <w:rFonts w:eastAsiaTheme="minorHAnsi" w:cs="Arial"/>
          <w:color w:val="000000"/>
          <w:szCs w:val="20"/>
        </w:rPr>
        <w:t xml:space="preserve">] </w:t>
      </w:r>
    </w:p>
    <w:p w14:paraId="32E140DC" w14:textId="3FA99E40" w:rsidR="00D60713" w:rsidRDefault="00FB3CA0" w:rsidP="003A212E">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5</w:t>
      </w:r>
      <w:r w:rsidR="005100A5">
        <w:rPr>
          <w:rFonts w:eastAsiaTheme="minorHAnsi" w:cs="Arial"/>
          <w:color w:val="000000"/>
          <w:szCs w:val="20"/>
        </w:rPr>
        <w:t>.</w:t>
      </w:r>
      <w:r>
        <w:rPr>
          <w:rFonts w:eastAsiaTheme="minorHAnsi" w:cs="Arial"/>
          <w:color w:val="000000"/>
          <w:szCs w:val="20"/>
        </w:rPr>
        <w:t xml:space="preserve"> 3</w:t>
      </w:r>
      <w:r w:rsidR="00D60713">
        <w:rPr>
          <w:rFonts w:eastAsiaTheme="minorHAnsi" w:cs="Arial"/>
          <w:color w:val="000000"/>
          <w:szCs w:val="20"/>
        </w:rPr>
        <w:t xml:space="preserve"> and </w:t>
      </w:r>
      <w:r>
        <w:rPr>
          <w:rFonts w:eastAsiaTheme="minorHAnsi" w:cs="Arial"/>
          <w:color w:val="000000"/>
          <w:szCs w:val="20"/>
        </w:rPr>
        <w:t>4</w:t>
      </w:r>
    </w:p>
    <w:p w14:paraId="63D46574" w14:textId="6530936D" w:rsidR="000128BE" w:rsidRDefault="000128BE" w:rsidP="003A212E">
      <w:pPr>
        <w:autoSpaceDE w:val="0"/>
        <w:autoSpaceDN w:val="0"/>
        <w:adjustRightInd w:val="0"/>
        <w:spacing w:after="0" w:line="240" w:lineRule="auto"/>
        <w:rPr>
          <w:rFonts w:eastAsiaTheme="minorHAnsi" w:cs="Arial"/>
          <w:color w:val="000000"/>
          <w:szCs w:val="20"/>
        </w:rPr>
      </w:pPr>
      <w:r w:rsidRPr="000128BE">
        <w:rPr>
          <w:rFonts w:eastAsiaTheme="minorHAnsi" w:cs="Arial"/>
          <w:color w:val="000000"/>
          <w:szCs w:val="20"/>
        </w:rPr>
        <w:t xml:space="preserve">Limit </w:t>
      </w:r>
      <w:r w:rsidR="00FB3CA0">
        <w:rPr>
          <w:rFonts w:eastAsiaTheme="minorHAnsi" w:cs="Arial"/>
          <w:color w:val="000000"/>
          <w:szCs w:val="20"/>
        </w:rPr>
        <w:t>5 to</w:t>
      </w:r>
      <w:r w:rsidRPr="000128BE">
        <w:rPr>
          <w:rFonts w:eastAsiaTheme="minorHAnsi" w:cs="Arial"/>
          <w:color w:val="000000"/>
          <w:szCs w:val="20"/>
        </w:rPr>
        <w:t xml:space="preserve">: Human </w:t>
      </w:r>
      <w:r w:rsidR="00834B37">
        <w:rPr>
          <w:rFonts w:eastAsiaTheme="minorHAnsi" w:cs="Arial"/>
          <w:color w:val="000000"/>
          <w:szCs w:val="20"/>
        </w:rPr>
        <w:t>and</w:t>
      </w:r>
      <w:r w:rsidRPr="000128BE">
        <w:rPr>
          <w:rFonts w:eastAsiaTheme="minorHAnsi" w:cs="Arial"/>
          <w:color w:val="000000"/>
          <w:szCs w:val="20"/>
        </w:rPr>
        <w:t xml:space="preserve"> English Language </w:t>
      </w:r>
    </w:p>
    <w:p w14:paraId="0107368A" w14:textId="77777777" w:rsidR="000128BE" w:rsidRDefault="000128BE" w:rsidP="003A212E">
      <w:pPr>
        <w:autoSpaceDE w:val="0"/>
        <w:autoSpaceDN w:val="0"/>
        <w:adjustRightInd w:val="0"/>
        <w:spacing w:after="0" w:line="240" w:lineRule="auto"/>
        <w:rPr>
          <w:rFonts w:eastAsiaTheme="minorHAnsi" w:cs="Arial"/>
          <w:color w:val="000000"/>
          <w:szCs w:val="20"/>
        </w:rPr>
      </w:pPr>
    </w:p>
    <w:p w14:paraId="7FB00A9F" w14:textId="475BECD9" w:rsidR="002346B7" w:rsidRPr="002346B7" w:rsidRDefault="00E01BAD" w:rsidP="002346B7">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lastRenderedPageBreak/>
        <w:t xml:space="preserve">PubMed: </w:t>
      </w:r>
      <w:r w:rsidR="00561585">
        <w:rPr>
          <w:rFonts w:eastAsiaTheme="minorHAnsi" w:cs="Arial"/>
          <w:color w:val="000000"/>
          <w:szCs w:val="20"/>
        </w:rPr>
        <w:t>(</w:t>
      </w:r>
      <w:r>
        <w:rPr>
          <w:rFonts w:eastAsiaTheme="minorHAnsi" w:cs="Arial"/>
          <w:color w:val="000000"/>
          <w:szCs w:val="20"/>
        </w:rPr>
        <w:t>drug dosing</w:t>
      </w:r>
      <w:r w:rsidR="00561585">
        <w:rPr>
          <w:rFonts w:eastAsiaTheme="minorHAnsi" w:cs="Arial"/>
          <w:color w:val="000000"/>
          <w:szCs w:val="20"/>
        </w:rPr>
        <w:t>)</w:t>
      </w:r>
      <w:r w:rsidR="002346B7" w:rsidRPr="002346B7">
        <w:rPr>
          <w:rFonts w:eastAsiaTheme="minorHAnsi" w:cs="Arial"/>
          <w:color w:val="000000"/>
          <w:szCs w:val="20"/>
        </w:rPr>
        <w:t xml:space="preserve"> AND </w:t>
      </w:r>
      <w:r>
        <w:rPr>
          <w:rFonts w:eastAsiaTheme="minorHAnsi" w:cs="Arial"/>
          <w:color w:val="000000"/>
          <w:szCs w:val="20"/>
        </w:rPr>
        <w:t>childhood obesity</w:t>
      </w:r>
      <w:r w:rsidR="002346B7" w:rsidRPr="002346B7">
        <w:rPr>
          <w:rFonts w:eastAsiaTheme="minorHAnsi" w:cs="Arial"/>
          <w:color w:val="000000"/>
          <w:szCs w:val="20"/>
        </w:rPr>
        <w:t xml:space="preserve"> </w:t>
      </w:r>
    </w:p>
    <w:p w14:paraId="1F947584" w14:textId="77777777" w:rsidR="002346B7" w:rsidRPr="002346B7" w:rsidRDefault="002346B7" w:rsidP="002346B7">
      <w:pPr>
        <w:autoSpaceDE w:val="0"/>
        <w:autoSpaceDN w:val="0"/>
        <w:adjustRightInd w:val="0"/>
        <w:spacing w:after="0" w:line="240" w:lineRule="auto"/>
        <w:rPr>
          <w:rFonts w:eastAsiaTheme="minorHAnsi" w:cs="Arial"/>
          <w:color w:val="000000"/>
          <w:szCs w:val="20"/>
        </w:rPr>
      </w:pPr>
    </w:p>
    <w:p w14:paraId="1D6D1741" w14:textId="100032E7" w:rsidR="002346B7" w:rsidRPr="002346B7" w:rsidRDefault="002346B7" w:rsidP="002346B7">
      <w:pPr>
        <w:autoSpaceDE w:val="0"/>
        <w:autoSpaceDN w:val="0"/>
        <w:adjustRightInd w:val="0"/>
        <w:spacing w:after="0" w:line="240" w:lineRule="auto"/>
        <w:rPr>
          <w:rFonts w:eastAsiaTheme="minorHAnsi" w:cs="Arial"/>
          <w:color w:val="000000"/>
          <w:szCs w:val="20"/>
        </w:rPr>
      </w:pPr>
      <w:r w:rsidRPr="002346B7">
        <w:rPr>
          <w:rFonts w:eastAsiaTheme="minorHAnsi" w:cs="Arial"/>
          <w:color w:val="000000"/>
          <w:szCs w:val="20"/>
        </w:rPr>
        <w:t>MICROMEDEX: “</w:t>
      </w:r>
      <w:r w:rsidR="00BA2462">
        <w:rPr>
          <w:rFonts w:eastAsiaTheme="minorHAnsi" w:cs="Arial"/>
          <w:color w:val="000000"/>
          <w:szCs w:val="20"/>
        </w:rPr>
        <w:t>childhood obesity”</w:t>
      </w:r>
      <w:r w:rsidRPr="002346B7">
        <w:rPr>
          <w:rFonts w:eastAsiaTheme="minorHAnsi" w:cs="Arial"/>
          <w:color w:val="000000"/>
          <w:szCs w:val="20"/>
        </w:rPr>
        <w:t xml:space="preserve">. </w:t>
      </w:r>
    </w:p>
    <w:p w14:paraId="7D21EB55" w14:textId="77777777" w:rsidR="002346B7" w:rsidRPr="002346B7" w:rsidRDefault="002346B7" w:rsidP="002346B7">
      <w:pPr>
        <w:autoSpaceDE w:val="0"/>
        <w:autoSpaceDN w:val="0"/>
        <w:adjustRightInd w:val="0"/>
        <w:spacing w:after="0" w:line="240" w:lineRule="auto"/>
        <w:rPr>
          <w:rFonts w:eastAsiaTheme="minorHAnsi" w:cs="Arial"/>
          <w:color w:val="000000"/>
          <w:szCs w:val="20"/>
        </w:rPr>
      </w:pPr>
    </w:p>
    <w:p w14:paraId="194E0A1A" w14:textId="478757F1" w:rsidR="002346B7" w:rsidRDefault="002346B7" w:rsidP="002346B7">
      <w:pPr>
        <w:autoSpaceDE w:val="0"/>
        <w:autoSpaceDN w:val="0"/>
        <w:adjustRightInd w:val="0"/>
        <w:spacing w:after="0" w:line="240" w:lineRule="auto"/>
        <w:rPr>
          <w:rFonts w:eastAsiaTheme="minorHAnsi" w:cs="Arial"/>
          <w:color w:val="000000"/>
          <w:szCs w:val="20"/>
        </w:rPr>
      </w:pPr>
      <w:r w:rsidRPr="002346B7">
        <w:rPr>
          <w:rFonts w:eastAsiaTheme="minorHAnsi" w:cs="Arial"/>
          <w:color w:val="000000"/>
          <w:szCs w:val="20"/>
        </w:rPr>
        <w:t xml:space="preserve">British National Formulary </w:t>
      </w:r>
      <w:r w:rsidR="00054C4C">
        <w:rPr>
          <w:rFonts w:eastAsiaTheme="minorHAnsi" w:cs="Arial"/>
          <w:color w:val="000000"/>
          <w:szCs w:val="20"/>
        </w:rPr>
        <w:t xml:space="preserve">for Children </w:t>
      </w:r>
      <w:r w:rsidRPr="002346B7">
        <w:rPr>
          <w:rFonts w:eastAsiaTheme="minorHAnsi" w:cs="Arial"/>
          <w:color w:val="000000"/>
          <w:szCs w:val="20"/>
        </w:rPr>
        <w:t xml:space="preserve">Online: </w:t>
      </w:r>
    </w:p>
    <w:p w14:paraId="61E6426A" w14:textId="77777777" w:rsidR="00034A38" w:rsidRDefault="00034A38" w:rsidP="002346B7">
      <w:pPr>
        <w:autoSpaceDE w:val="0"/>
        <w:autoSpaceDN w:val="0"/>
        <w:adjustRightInd w:val="0"/>
        <w:spacing w:after="0" w:line="240" w:lineRule="auto"/>
        <w:rPr>
          <w:rFonts w:eastAsiaTheme="minorHAnsi" w:cs="Arial"/>
          <w:color w:val="000000"/>
          <w:szCs w:val="20"/>
        </w:rPr>
      </w:pPr>
    </w:p>
    <w:p w14:paraId="52AE693C" w14:textId="54100E35" w:rsidR="002346B7" w:rsidRPr="002346B7" w:rsidRDefault="002346B7" w:rsidP="00D20CED">
      <w:pPr>
        <w:autoSpaceDE w:val="0"/>
        <w:autoSpaceDN w:val="0"/>
        <w:adjustRightInd w:val="0"/>
        <w:spacing w:after="0" w:line="240" w:lineRule="auto"/>
        <w:rPr>
          <w:rFonts w:eastAsiaTheme="minorHAnsi" w:cs="Arial"/>
          <w:color w:val="000000"/>
          <w:szCs w:val="20"/>
        </w:rPr>
      </w:pPr>
      <w:r w:rsidRPr="002346B7">
        <w:rPr>
          <w:rFonts w:eastAsiaTheme="minorHAnsi" w:cs="Arial"/>
          <w:color w:val="000000"/>
          <w:szCs w:val="20"/>
        </w:rPr>
        <w:t xml:space="preserve">NHS Evidence search: </w:t>
      </w:r>
      <w:r w:rsidR="00054C4C">
        <w:rPr>
          <w:rFonts w:eastAsiaTheme="minorHAnsi" w:cs="Arial"/>
          <w:color w:val="000000"/>
          <w:szCs w:val="20"/>
        </w:rPr>
        <w:t>[</w:t>
      </w:r>
      <w:r w:rsidRPr="002346B7">
        <w:rPr>
          <w:rFonts w:eastAsiaTheme="minorHAnsi" w:cs="Arial"/>
          <w:color w:val="000000"/>
          <w:szCs w:val="20"/>
        </w:rPr>
        <w:t>“obesity”</w:t>
      </w:r>
      <w:r w:rsidR="00054C4C">
        <w:rPr>
          <w:rFonts w:eastAsiaTheme="minorHAnsi" w:cs="Arial"/>
          <w:color w:val="000000"/>
          <w:szCs w:val="20"/>
        </w:rPr>
        <w:t xml:space="preserve"> and “drug dosing”]. </w:t>
      </w:r>
    </w:p>
    <w:p w14:paraId="0808167D" w14:textId="554F4047" w:rsidR="002346B7" w:rsidRDefault="002346B7" w:rsidP="002346B7">
      <w:pPr>
        <w:autoSpaceDE w:val="0"/>
        <w:autoSpaceDN w:val="0"/>
        <w:adjustRightInd w:val="0"/>
        <w:spacing w:after="0" w:line="240" w:lineRule="auto"/>
        <w:rPr>
          <w:rFonts w:eastAsiaTheme="minorHAnsi" w:cs="Arial"/>
          <w:color w:val="000000"/>
          <w:szCs w:val="20"/>
        </w:rPr>
      </w:pPr>
      <w:r w:rsidRPr="002346B7">
        <w:rPr>
          <w:rFonts w:eastAsiaTheme="minorHAnsi" w:cs="Arial"/>
          <w:color w:val="000000"/>
          <w:szCs w:val="20"/>
        </w:rPr>
        <w:t>Google search: “</w:t>
      </w:r>
      <w:r w:rsidR="008A696F">
        <w:rPr>
          <w:rFonts w:eastAsiaTheme="minorHAnsi" w:cs="Arial"/>
          <w:color w:val="000000"/>
          <w:szCs w:val="20"/>
        </w:rPr>
        <w:t>dosing in obese children</w:t>
      </w:r>
      <w:r w:rsidRPr="002346B7">
        <w:rPr>
          <w:rFonts w:eastAsiaTheme="minorHAnsi" w:cs="Arial"/>
          <w:color w:val="000000"/>
          <w:szCs w:val="20"/>
        </w:rPr>
        <w:t>”, “</w:t>
      </w:r>
      <w:r w:rsidR="008A696F">
        <w:rPr>
          <w:rFonts w:eastAsiaTheme="minorHAnsi" w:cs="Arial"/>
          <w:color w:val="000000"/>
          <w:szCs w:val="20"/>
        </w:rPr>
        <w:t>paediatric dosing guidelines obesity”.</w:t>
      </w:r>
      <w:r w:rsidRPr="002346B7">
        <w:rPr>
          <w:rFonts w:eastAsiaTheme="minorHAnsi" w:cs="Arial"/>
          <w:color w:val="000000"/>
          <w:szCs w:val="20"/>
        </w:rPr>
        <w:t xml:space="preserve"> </w:t>
      </w:r>
    </w:p>
    <w:p w14:paraId="73334618" w14:textId="77777777" w:rsidR="00FB3639" w:rsidRDefault="00FB3639" w:rsidP="002346B7">
      <w:pPr>
        <w:autoSpaceDE w:val="0"/>
        <w:autoSpaceDN w:val="0"/>
        <w:adjustRightInd w:val="0"/>
        <w:spacing w:after="0" w:line="240" w:lineRule="auto"/>
        <w:rPr>
          <w:rFonts w:eastAsiaTheme="minorHAnsi" w:cs="Arial"/>
          <w:color w:val="000000"/>
          <w:szCs w:val="20"/>
        </w:rPr>
      </w:pPr>
    </w:p>
    <w:p w14:paraId="1114ED60" w14:textId="6BFB5813" w:rsidR="00FB3639" w:rsidRPr="002346B7" w:rsidRDefault="00FB3639" w:rsidP="002346B7">
      <w:pPr>
        <w:autoSpaceDE w:val="0"/>
        <w:autoSpaceDN w:val="0"/>
        <w:adjustRightInd w:val="0"/>
        <w:spacing w:after="0" w:line="240" w:lineRule="auto"/>
        <w:rPr>
          <w:rFonts w:eastAsiaTheme="minorHAnsi" w:cs="Arial"/>
          <w:color w:val="000000"/>
          <w:szCs w:val="20"/>
        </w:rPr>
      </w:pPr>
      <w:r>
        <w:rPr>
          <w:rFonts w:eastAsiaTheme="minorHAnsi" w:cs="Arial"/>
          <w:color w:val="000000"/>
          <w:szCs w:val="20"/>
        </w:rPr>
        <w:t>Specialist Pharmacy Service search:</w:t>
      </w:r>
      <w:r w:rsidR="00517E2D">
        <w:rPr>
          <w:rFonts w:eastAsiaTheme="minorHAnsi" w:cs="Arial"/>
          <w:color w:val="000000"/>
          <w:szCs w:val="20"/>
        </w:rPr>
        <w:t xml:space="preserve"> obese</w:t>
      </w:r>
      <w:r>
        <w:rPr>
          <w:rFonts w:eastAsiaTheme="minorHAnsi" w:cs="Arial"/>
          <w:color w:val="000000"/>
          <w:szCs w:val="20"/>
        </w:rPr>
        <w:t xml:space="preserve">. </w:t>
      </w:r>
    </w:p>
    <w:p w14:paraId="39537E45" w14:textId="77777777" w:rsidR="002346B7" w:rsidRDefault="002346B7" w:rsidP="002346B7">
      <w:pPr>
        <w:autoSpaceDE w:val="0"/>
        <w:autoSpaceDN w:val="0"/>
        <w:adjustRightInd w:val="0"/>
        <w:spacing w:after="0" w:line="240" w:lineRule="auto"/>
        <w:rPr>
          <w:rFonts w:eastAsiaTheme="minorHAnsi" w:cs="Arial"/>
          <w:color w:val="000000"/>
          <w:szCs w:val="20"/>
        </w:rPr>
      </w:pPr>
    </w:p>
    <w:p w14:paraId="531FF422" w14:textId="77777777" w:rsidR="002346B7" w:rsidRPr="002346B7" w:rsidRDefault="002346B7" w:rsidP="002346B7">
      <w:pPr>
        <w:autoSpaceDE w:val="0"/>
        <w:autoSpaceDN w:val="0"/>
        <w:adjustRightInd w:val="0"/>
        <w:spacing w:after="0" w:line="240" w:lineRule="auto"/>
        <w:rPr>
          <w:rFonts w:eastAsiaTheme="minorHAnsi" w:cs="Arial"/>
          <w:color w:val="000000"/>
          <w:szCs w:val="20"/>
        </w:rPr>
      </w:pPr>
      <w:r w:rsidRPr="002346B7">
        <w:rPr>
          <w:rFonts w:eastAsiaTheme="minorHAnsi" w:cs="Arial"/>
          <w:color w:val="000000"/>
          <w:szCs w:val="20"/>
        </w:rPr>
        <w:t xml:space="preserve">In-house database / resources: “obesity”, </w:t>
      </w:r>
      <w:r w:rsidR="00BD212A">
        <w:rPr>
          <w:rFonts w:eastAsiaTheme="minorHAnsi" w:cs="Arial"/>
          <w:color w:val="000000"/>
          <w:szCs w:val="20"/>
        </w:rPr>
        <w:t>[</w:t>
      </w:r>
      <w:r w:rsidRPr="002346B7">
        <w:rPr>
          <w:rFonts w:eastAsiaTheme="minorHAnsi" w:cs="Arial"/>
          <w:color w:val="000000"/>
          <w:szCs w:val="20"/>
        </w:rPr>
        <w:t>“</w:t>
      </w:r>
      <w:r w:rsidR="00BD212A">
        <w:rPr>
          <w:rFonts w:eastAsiaTheme="minorHAnsi" w:cs="Arial"/>
          <w:color w:val="000000"/>
          <w:szCs w:val="20"/>
        </w:rPr>
        <w:t>obesity</w:t>
      </w:r>
      <w:r w:rsidRPr="002346B7">
        <w:rPr>
          <w:rFonts w:eastAsiaTheme="minorHAnsi" w:cs="Arial"/>
          <w:color w:val="000000"/>
          <w:szCs w:val="20"/>
        </w:rPr>
        <w:t>”</w:t>
      </w:r>
      <w:r w:rsidR="00BD212A">
        <w:rPr>
          <w:rFonts w:eastAsiaTheme="minorHAnsi" w:cs="Arial"/>
          <w:color w:val="000000"/>
          <w:szCs w:val="20"/>
        </w:rPr>
        <w:t xml:space="preserve"> and “child”]</w:t>
      </w:r>
      <w:r w:rsidR="002457AD">
        <w:rPr>
          <w:rFonts w:eastAsiaTheme="minorHAnsi" w:cs="Arial"/>
          <w:color w:val="000000"/>
          <w:szCs w:val="20"/>
        </w:rPr>
        <w:t>, [“obesity” and “paediatrics”]</w:t>
      </w:r>
    </w:p>
    <w:p w14:paraId="753F184C" w14:textId="77777777" w:rsidR="00517E2D" w:rsidRDefault="00517E2D" w:rsidP="0044510A">
      <w:pPr>
        <w:autoSpaceDE w:val="0"/>
        <w:autoSpaceDN w:val="0"/>
        <w:adjustRightInd w:val="0"/>
        <w:spacing w:after="0" w:line="240" w:lineRule="auto"/>
        <w:rPr>
          <w:lang w:val="en-US"/>
        </w:rPr>
      </w:pPr>
    </w:p>
    <w:p w14:paraId="4590AD47" w14:textId="77777777" w:rsidR="00551D7B" w:rsidRDefault="00CB7A16" w:rsidP="00427F92">
      <w:pPr>
        <w:rPr>
          <w:lang w:val="en-US"/>
        </w:rPr>
      </w:pPr>
      <w:r>
        <w:rPr>
          <w:lang w:val="en-US"/>
        </w:rPr>
        <w:t xml:space="preserve">Summary of Product Characteristics </w:t>
      </w:r>
      <w:r w:rsidR="00551D7B">
        <w:rPr>
          <w:lang w:val="en-US"/>
        </w:rPr>
        <w:t xml:space="preserve">via </w:t>
      </w:r>
      <w:proofErr w:type="spellStart"/>
      <w:r w:rsidR="00551D7B">
        <w:rPr>
          <w:lang w:val="en-US"/>
        </w:rPr>
        <w:t>emc</w:t>
      </w:r>
      <w:proofErr w:type="spellEnd"/>
    </w:p>
    <w:p w14:paraId="1B54ABA3" w14:textId="71B68517" w:rsidR="00CB7A16" w:rsidRDefault="00CB7A16" w:rsidP="00427F92">
      <w:pPr>
        <w:rPr>
          <w:lang w:val="en-US"/>
        </w:rPr>
      </w:pPr>
    </w:p>
    <w:p w14:paraId="37A2619D" w14:textId="5CC14DB7" w:rsidR="003F1B9C" w:rsidRDefault="003F1B9C" w:rsidP="00427F92">
      <w:pPr>
        <w:rPr>
          <w:lang w:val="en-US"/>
        </w:rPr>
      </w:pPr>
      <w:r>
        <w:rPr>
          <w:lang w:val="en-US"/>
        </w:rPr>
        <w:t xml:space="preserve">Clinical expert: </w:t>
      </w:r>
      <w:r w:rsidR="006B3EF8">
        <w:rPr>
          <w:lang w:val="en-US"/>
        </w:rPr>
        <w:t xml:space="preserve">James Stewart, Anesthetist, Cardiff and Vale University Health Board. </w:t>
      </w:r>
      <w:r w:rsidR="0024029F">
        <w:rPr>
          <w:lang w:val="en-US"/>
        </w:rPr>
        <w:t>(</w:t>
      </w:r>
      <w:r w:rsidR="006B3EF8">
        <w:rPr>
          <w:lang w:val="en-US"/>
        </w:rPr>
        <w:t>28</w:t>
      </w:r>
      <w:r w:rsidR="006B3EF8" w:rsidRPr="006B3EF8">
        <w:rPr>
          <w:vertAlign w:val="superscript"/>
          <w:lang w:val="en-US"/>
        </w:rPr>
        <w:t>th</w:t>
      </w:r>
      <w:r w:rsidR="006B3EF8">
        <w:rPr>
          <w:lang w:val="en-US"/>
        </w:rPr>
        <w:t xml:space="preserve"> June 2018</w:t>
      </w:r>
      <w:r w:rsidR="0024029F">
        <w:rPr>
          <w:lang w:val="en-US"/>
        </w:rPr>
        <w:t>)</w:t>
      </w:r>
    </w:p>
    <w:p w14:paraId="37FE9004" w14:textId="77777777" w:rsidR="00201D2C" w:rsidRPr="00B00B12" w:rsidRDefault="00201D2C" w:rsidP="00427F92">
      <w:pPr>
        <w:rPr>
          <w:lang w:val="en-US"/>
        </w:rPr>
      </w:pPr>
    </w:p>
    <w:sectPr w:rsidR="00201D2C" w:rsidRPr="00B00B12" w:rsidSect="005E087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0145" w14:textId="77777777" w:rsidR="00FD4010" w:rsidRDefault="00FD4010" w:rsidP="00B2372E">
      <w:pPr>
        <w:spacing w:after="0" w:line="240" w:lineRule="auto"/>
      </w:pPr>
      <w:r>
        <w:separator/>
      </w:r>
    </w:p>
  </w:endnote>
  <w:endnote w:type="continuationSeparator" w:id="0">
    <w:p w14:paraId="4D64B814" w14:textId="77777777" w:rsidR="00FD4010" w:rsidRDefault="00FD4010"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9D51" w14:textId="3DC5FE89" w:rsidR="00665CF7" w:rsidRDefault="00E46FC7">
    <w:pPr>
      <w:pStyle w:val="Footer"/>
    </w:pPr>
    <w:r>
      <w:rPr>
        <w:noProof/>
      </w:rPr>
      <w:drawing>
        <wp:anchor distT="0" distB="0" distL="114300" distR="114300" simplePos="0" relativeHeight="251675648" behindDoc="0" locked="0" layoutInCell="1" allowOverlap="1" wp14:anchorId="51B44BF3" wp14:editId="6FC2989F">
          <wp:simplePos x="0" y="0"/>
          <wp:positionH relativeFrom="margin">
            <wp:align>right</wp:align>
          </wp:positionH>
          <wp:positionV relativeFrom="paragraph">
            <wp:posOffset>-202208</wp:posOffset>
          </wp:positionV>
          <wp:extent cx="1104900" cy="5006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CH logo.png"/>
                  <pic:cNvPicPr/>
                </pic:nvPicPr>
                <pic:blipFill>
                  <a:blip r:embed="rId1">
                    <a:extLst>
                      <a:ext uri="{28A0092B-C50C-407E-A947-70E740481C1C}">
                        <a14:useLocalDpi xmlns:a14="http://schemas.microsoft.com/office/drawing/2010/main" val="0"/>
                      </a:ext>
                    </a:extLst>
                  </a:blip>
                  <a:stretch>
                    <a:fillRect/>
                  </a:stretch>
                </pic:blipFill>
                <pic:spPr>
                  <a:xfrm>
                    <a:off x="0" y="0"/>
                    <a:ext cx="1104900" cy="500658"/>
                  </a:xfrm>
                  <a:prstGeom prst="rect">
                    <a:avLst/>
                  </a:prstGeom>
                </pic:spPr>
              </pic:pic>
            </a:graphicData>
          </a:graphic>
          <wp14:sizeRelH relativeFrom="margin">
            <wp14:pctWidth>0</wp14:pctWidth>
          </wp14:sizeRelH>
          <wp14:sizeRelV relativeFrom="margin">
            <wp14:pctHeight>0</wp14:pctHeight>
          </wp14:sizeRelV>
        </wp:anchor>
      </w:drawing>
    </w:r>
    <w:r w:rsidR="00665CF7">
      <w:rPr>
        <w:noProof/>
      </w:rPr>
      <w:drawing>
        <wp:anchor distT="0" distB="0" distL="114300" distR="114300" simplePos="0" relativeHeight="251674624" behindDoc="1" locked="0" layoutInCell="1" allowOverlap="1" wp14:anchorId="196DDABB" wp14:editId="23889F53">
          <wp:simplePos x="0" y="0"/>
          <wp:positionH relativeFrom="column">
            <wp:posOffset>2477135</wp:posOffset>
          </wp:positionH>
          <wp:positionV relativeFrom="paragraph">
            <wp:posOffset>-234950</wp:posOffset>
          </wp:positionV>
          <wp:extent cx="1949450" cy="457200"/>
          <wp:effectExtent l="0" t="0" r="0" b="0"/>
          <wp:wrapTight wrapText="bothSides">
            <wp:wrapPolygon edited="0">
              <wp:start x="0" y="0"/>
              <wp:lineTo x="0" y="20700"/>
              <wp:lineTo x="21319" y="20700"/>
              <wp:lineTo x="21319" y="0"/>
              <wp:lineTo x="0" y="0"/>
            </wp:wrapPolygon>
          </wp:wrapTight>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945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E86E" w14:textId="77777777" w:rsidR="00FD4010" w:rsidRDefault="00FD4010" w:rsidP="00B2372E">
      <w:pPr>
        <w:spacing w:after="0" w:line="240" w:lineRule="auto"/>
      </w:pPr>
      <w:r>
        <w:separator/>
      </w:r>
    </w:p>
  </w:footnote>
  <w:footnote w:type="continuationSeparator" w:id="0">
    <w:p w14:paraId="0DA30D75" w14:textId="77777777" w:rsidR="00FD4010" w:rsidRDefault="00FD4010" w:rsidP="00B2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FD2C" w14:textId="446F282C" w:rsidR="00FD4010" w:rsidRPr="00B1695F" w:rsidRDefault="00665CF7" w:rsidP="003A21B9">
    <w:pPr>
      <w:pStyle w:val="Header"/>
      <w:tabs>
        <w:tab w:val="clear" w:pos="4513"/>
        <w:tab w:val="clear" w:pos="9026"/>
        <w:tab w:val="left" w:pos="7650"/>
      </w:tabs>
      <w:rPr>
        <w:b/>
        <w:color w:val="0070C0"/>
      </w:rPr>
    </w:pPr>
    <w:r>
      <w:rPr>
        <w:noProof/>
        <w:lang w:eastAsia="en-GB"/>
      </w:rPr>
      <mc:AlternateContent>
        <mc:Choice Requires="wpg">
          <w:drawing>
            <wp:anchor distT="0" distB="0" distL="114300" distR="114300" simplePos="0" relativeHeight="251673600" behindDoc="0" locked="0" layoutInCell="1" allowOverlap="1" wp14:anchorId="189D181F" wp14:editId="33A3A6FB">
              <wp:simplePos x="0" y="0"/>
              <wp:positionH relativeFrom="margin">
                <wp:align>right</wp:align>
              </wp:positionH>
              <wp:positionV relativeFrom="paragraph">
                <wp:posOffset>-176530</wp:posOffset>
              </wp:positionV>
              <wp:extent cx="2543175" cy="514350"/>
              <wp:effectExtent l="0" t="0" r="952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514350"/>
                        <a:chOff x="0" y="0"/>
                        <a:chExt cx="2543175" cy="514350"/>
                      </a:xfrm>
                    </wpg:grpSpPr>
                    <pic:pic xmlns:pic="http://schemas.openxmlformats.org/drawingml/2006/picture">
                      <pic:nvPicPr>
                        <pic:cNvPr id="21" name="Picture 4"/>
                        <pic:cNvPicPr>
                          <a:picLocks noChangeAspect="1"/>
                        </pic:cNvPicPr>
                      </pic:nvPicPr>
                      <pic:blipFill rotWithShape="1">
                        <a:blip r:embed="rId1"/>
                        <a:srcRect r="75165"/>
                        <a:stretch/>
                      </pic:blipFill>
                      <pic:spPr bwMode="auto">
                        <a:xfrm>
                          <a:off x="0" y="0"/>
                          <a:ext cx="714375" cy="5143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Picture 4"/>
                        <pic:cNvPicPr>
                          <a:picLocks noChangeAspect="1"/>
                        </pic:cNvPicPr>
                      </pic:nvPicPr>
                      <pic:blipFill rotWithShape="1">
                        <a:blip r:embed="rId1"/>
                        <a:srcRect l="32451" r="36424"/>
                        <a:stretch/>
                      </pic:blipFill>
                      <pic:spPr bwMode="auto">
                        <a:xfrm>
                          <a:off x="762000" y="0"/>
                          <a:ext cx="895350" cy="5143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4"/>
                        <pic:cNvPicPr>
                          <a:picLocks noChangeAspect="1"/>
                        </pic:cNvPicPr>
                      </pic:nvPicPr>
                      <pic:blipFill rotWithShape="1">
                        <a:blip r:embed="rId1"/>
                        <a:srcRect l="70861"/>
                        <a:stretch/>
                      </pic:blipFill>
                      <pic:spPr bwMode="auto">
                        <a:xfrm>
                          <a:off x="1704975" y="0"/>
                          <a:ext cx="838200" cy="5143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36DF1AF" id="Group 20" o:spid="_x0000_s1026" style="position:absolute;margin-left:149.05pt;margin-top:-13.9pt;width:200.25pt;height:40.5pt;z-index:251673600;mso-position-horizontal:right;mso-position-horizontal-relative:margin" coordsize="25431,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">
                <v:imagedata r:id="rId2" o:title="" cropright="49260f"/>
              </v:shape>
              <v:shape id="Picture 4" o:spid="_x0000_s1028" type="#_x0000_t75" style="position:absolute;left:7620;width:895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">
                <v:imagedata r:id="rId2" o:title="" cropleft="21267f" cropright="23871f"/>
              </v:shape>
              <v:shape id="Picture 4" o:spid="_x0000_s1029" type="#_x0000_t75" style="position:absolute;left:17049;width:8382;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">
                <v:imagedata r:id="rId2" o:title="" cropleft="46439f"/>
              </v:shape>
              <w10:wrap anchorx="margin"/>
            </v:group>
          </w:pict>
        </mc:Fallback>
      </mc:AlternateContent>
    </w:r>
    <w:r w:rsidR="00FD4010">
      <w:rPr>
        <w:b/>
        <w:noProof/>
        <w:color w:val="0070C0"/>
        <w:sz w:val="24"/>
        <w:lang w:eastAsia="en-GB"/>
      </w:rPr>
      <mc:AlternateContent>
        <mc:Choice Requires="wps">
          <w:drawing>
            <wp:anchor distT="0" distB="0" distL="114300" distR="114300" simplePos="0" relativeHeight="251672576" behindDoc="0" locked="0" layoutInCell="1" allowOverlap="1" wp14:anchorId="2AAB3925" wp14:editId="7764E990">
              <wp:simplePos x="0" y="0"/>
              <wp:positionH relativeFrom="column">
                <wp:posOffset>187960</wp:posOffset>
              </wp:positionH>
              <wp:positionV relativeFrom="paragraph">
                <wp:posOffset>-84455</wp:posOffset>
              </wp:positionV>
              <wp:extent cx="1393190" cy="282575"/>
              <wp:effectExtent l="0" t="3175"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0EF8" w14:textId="77777777" w:rsidR="00FD4010" w:rsidRPr="00B1695F" w:rsidRDefault="00FD4010" w:rsidP="003A21B9">
                          <w:pPr>
                            <w:pStyle w:val="Header"/>
                            <w:tabs>
                              <w:tab w:val="clear" w:pos="4513"/>
                              <w:tab w:val="clear" w:pos="9026"/>
                              <w:tab w:val="left" w:pos="7650"/>
                            </w:tabs>
                            <w:rPr>
                              <w:b/>
                              <w:color w:val="0070C0"/>
                            </w:rPr>
                          </w:pPr>
                          <w:r w:rsidRPr="00B1695F">
                            <w:rPr>
                              <w:b/>
                              <w:color w:val="0070C0"/>
                              <w:sz w:val="24"/>
                            </w:rPr>
                            <w:t>Medicines Q&amp;As</w:t>
                          </w:r>
                        </w:p>
                        <w:p w14:paraId="7CDF064C" w14:textId="77777777" w:rsidR="00FD4010" w:rsidRDefault="00FD40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B3925" id="_x0000_t202" coordsize="21600,21600" o:spt="202" path="m,l,21600r21600,l21600,xe">
              <v:stroke joinstyle="miter"/>
              <v:path gradientshapeok="t" o:connecttype="rect"/>
            </v:shapetype>
            <v:shape id="Text Box 5" o:spid="_x0000_s1028" type="#_x0000_t202" style="position:absolute;margin-left:14.8pt;margin-top:-6.65pt;width:109.7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Pe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" filled="f" stroked="f">
              <v:textbox>
                <w:txbxContent>
                  <w:p w14:paraId="3CA40EF8" w14:textId="77777777" w:rsidR="00FD4010" w:rsidRPr="00B1695F" w:rsidRDefault="00FD4010" w:rsidP="003A21B9">
                    <w:pPr>
                      <w:pStyle w:val="Header"/>
                      <w:tabs>
                        <w:tab w:val="clear" w:pos="4513"/>
                        <w:tab w:val="clear" w:pos="9026"/>
                        <w:tab w:val="left" w:pos="7650"/>
                      </w:tabs>
                      <w:rPr>
                        <w:b/>
                        <w:color w:val="0070C0"/>
                      </w:rPr>
                    </w:pPr>
                    <w:r w:rsidRPr="00B1695F">
                      <w:rPr>
                        <w:b/>
                        <w:color w:val="0070C0"/>
                        <w:sz w:val="24"/>
                      </w:rPr>
                      <w:t>Medicines Q&amp;As</w:t>
                    </w:r>
                  </w:p>
                  <w:p w14:paraId="7CDF064C" w14:textId="77777777" w:rsidR="00FD4010" w:rsidRDefault="00FD4010"/>
                </w:txbxContent>
              </v:textbox>
            </v:shape>
          </w:pict>
        </mc:Fallback>
      </mc:AlternateContent>
    </w:r>
  </w:p>
  <w:p w14:paraId="46AE6025" w14:textId="77777777" w:rsidR="00FD4010" w:rsidRDefault="00FD4010">
    <w:pPr>
      <w:pStyle w:val="Header"/>
    </w:pPr>
    <w:r>
      <w:rPr>
        <w:b/>
        <w:noProof/>
        <w:color w:val="0070C0"/>
        <w:sz w:val="24"/>
        <w:lang w:eastAsia="en-GB"/>
      </w:rPr>
      <mc:AlternateContent>
        <mc:Choice Requires="wps">
          <w:drawing>
            <wp:anchor distT="0" distB="0" distL="114300" distR="114300" simplePos="0" relativeHeight="251671552" behindDoc="0" locked="0" layoutInCell="1" allowOverlap="1" wp14:anchorId="3A3F8CB4" wp14:editId="3305A1D2">
              <wp:simplePos x="0" y="0"/>
              <wp:positionH relativeFrom="column">
                <wp:posOffset>6985</wp:posOffset>
              </wp:positionH>
              <wp:positionV relativeFrom="paragraph">
                <wp:posOffset>15875</wp:posOffset>
              </wp:positionV>
              <wp:extent cx="1762125" cy="0"/>
              <wp:effectExtent l="16510" t="11430" r="12065" b="17145"/>
              <wp:wrapNone/>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1FD7"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BCs9Lq&#10;FAIAACo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0278"/>
    <w:multiLevelType w:val="hybridMultilevel"/>
    <w:tmpl w:val="D278B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D7301C"/>
    <w:multiLevelType w:val="hybridMultilevel"/>
    <w:tmpl w:val="1EB6AB84"/>
    <w:lvl w:ilvl="0" w:tplc="C7F8FEE4">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0646B"/>
    <w:multiLevelType w:val="hybridMultilevel"/>
    <w:tmpl w:val="4C72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A2EE5"/>
    <w:multiLevelType w:val="hybridMultilevel"/>
    <w:tmpl w:val="9514C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016FD"/>
    <w:multiLevelType w:val="hybridMultilevel"/>
    <w:tmpl w:val="3C52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92DFE"/>
    <w:multiLevelType w:val="hybridMultilevel"/>
    <w:tmpl w:val="2FB6B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C67FA"/>
    <w:multiLevelType w:val="hybridMultilevel"/>
    <w:tmpl w:val="4130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33700"/>
    <w:multiLevelType w:val="hybridMultilevel"/>
    <w:tmpl w:val="7D5E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053D5"/>
    <w:multiLevelType w:val="hybridMultilevel"/>
    <w:tmpl w:val="9E8A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03107"/>
    <w:multiLevelType w:val="hybridMultilevel"/>
    <w:tmpl w:val="5BF67E3E"/>
    <w:lvl w:ilvl="0" w:tplc="843A080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6076C"/>
    <w:multiLevelType w:val="hybridMultilevel"/>
    <w:tmpl w:val="DF4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7475F"/>
    <w:multiLevelType w:val="hybridMultilevel"/>
    <w:tmpl w:val="B08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3"/>
  </w:num>
  <w:num w:numId="5">
    <w:abstractNumId w:val="2"/>
  </w:num>
  <w:num w:numId="6">
    <w:abstractNumId w:val="14"/>
  </w:num>
  <w:num w:numId="7">
    <w:abstractNumId w:val="12"/>
  </w:num>
  <w:num w:numId="8">
    <w:abstractNumId w:val="1"/>
  </w:num>
  <w:num w:numId="9">
    <w:abstractNumId w:val="15"/>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1"/>
  </w:num>
  <w:num w:numId="12">
    <w:abstractNumId w:val="10"/>
  </w:num>
  <w:num w:numId="13">
    <w:abstractNumId w:val="11"/>
  </w:num>
  <w:num w:numId="14">
    <w:abstractNumId w:val="19"/>
  </w:num>
  <w:num w:numId="15">
    <w:abstractNumId w:val="9"/>
  </w:num>
  <w:num w:numId="16">
    <w:abstractNumId w:val="13"/>
  </w:num>
  <w:num w:numId="17">
    <w:abstractNumId w:val="7"/>
  </w:num>
  <w:num w:numId="18">
    <w:abstractNumId w:val="18"/>
  </w:num>
  <w:num w:numId="19">
    <w:abstractNumId w:val="20"/>
  </w:num>
  <w:num w:numId="20">
    <w:abstractNumId w:val="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2E"/>
    <w:rsid w:val="000006D8"/>
    <w:rsid w:val="00002E9F"/>
    <w:rsid w:val="00005267"/>
    <w:rsid w:val="00007303"/>
    <w:rsid w:val="000128BE"/>
    <w:rsid w:val="000139A2"/>
    <w:rsid w:val="00015DE9"/>
    <w:rsid w:val="00016E6D"/>
    <w:rsid w:val="00023E96"/>
    <w:rsid w:val="00026CD2"/>
    <w:rsid w:val="000309E3"/>
    <w:rsid w:val="00033D5A"/>
    <w:rsid w:val="0003487B"/>
    <w:rsid w:val="00034A38"/>
    <w:rsid w:val="00035DA3"/>
    <w:rsid w:val="00041BAE"/>
    <w:rsid w:val="0004444F"/>
    <w:rsid w:val="00047840"/>
    <w:rsid w:val="0005031D"/>
    <w:rsid w:val="00054AA0"/>
    <w:rsid w:val="00054C4C"/>
    <w:rsid w:val="00060775"/>
    <w:rsid w:val="0006136B"/>
    <w:rsid w:val="000627E3"/>
    <w:rsid w:val="00062948"/>
    <w:rsid w:val="00065A97"/>
    <w:rsid w:val="000661BB"/>
    <w:rsid w:val="00070903"/>
    <w:rsid w:val="00070E2F"/>
    <w:rsid w:val="00071A35"/>
    <w:rsid w:val="00071CAF"/>
    <w:rsid w:val="000721CE"/>
    <w:rsid w:val="0007643A"/>
    <w:rsid w:val="000768D0"/>
    <w:rsid w:val="00080CF0"/>
    <w:rsid w:val="00083004"/>
    <w:rsid w:val="00091F14"/>
    <w:rsid w:val="00091FB3"/>
    <w:rsid w:val="000965E0"/>
    <w:rsid w:val="00097AE9"/>
    <w:rsid w:val="000A032D"/>
    <w:rsid w:val="000A269B"/>
    <w:rsid w:val="000B1290"/>
    <w:rsid w:val="000B1E5F"/>
    <w:rsid w:val="000B28CC"/>
    <w:rsid w:val="000B553D"/>
    <w:rsid w:val="000B5FB4"/>
    <w:rsid w:val="000B7963"/>
    <w:rsid w:val="000B7FAB"/>
    <w:rsid w:val="000C092C"/>
    <w:rsid w:val="000C2A8A"/>
    <w:rsid w:val="000C659B"/>
    <w:rsid w:val="000D26B7"/>
    <w:rsid w:val="000D5D2F"/>
    <w:rsid w:val="000E16A2"/>
    <w:rsid w:val="000E21CC"/>
    <w:rsid w:val="000E48FF"/>
    <w:rsid w:val="000E50EA"/>
    <w:rsid w:val="000E549F"/>
    <w:rsid w:val="000E76A1"/>
    <w:rsid w:val="000E7832"/>
    <w:rsid w:val="000F02A8"/>
    <w:rsid w:val="000F2EF9"/>
    <w:rsid w:val="000F4B81"/>
    <w:rsid w:val="000F59E9"/>
    <w:rsid w:val="000F74FC"/>
    <w:rsid w:val="0010066A"/>
    <w:rsid w:val="00103B1A"/>
    <w:rsid w:val="00104CB8"/>
    <w:rsid w:val="00105DC2"/>
    <w:rsid w:val="00107B91"/>
    <w:rsid w:val="00110CAE"/>
    <w:rsid w:val="00112B8B"/>
    <w:rsid w:val="00113D07"/>
    <w:rsid w:val="00116D00"/>
    <w:rsid w:val="00122C45"/>
    <w:rsid w:val="00123A09"/>
    <w:rsid w:val="00126A54"/>
    <w:rsid w:val="00127000"/>
    <w:rsid w:val="00130A21"/>
    <w:rsid w:val="00131184"/>
    <w:rsid w:val="0013137C"/>
    <w:rsid w:val="00132DEE"/>
    <w:rsid w:val="00133FCE"/>
    <w:rsid w:val="00134866"/>
    <w:rsid w:val="00136915"/>
    <w:rsid w:val="00136DA0"/>
    <w:rsid w:val="00137F47"/>
    <w:rsid w:val="00141E4D"/>
    <w:rsid w:val="0014640A"/>
    <w:rsid w:val="00150A83"/>
    <w:rsid w:val="001515F5"/>
    <w:rsid w:val="00156767"/>
    <w:rsid w:val="00160DA7"/>
    <w:rsid w:val="00163421"/>
    <w:rsid w:val="00163B53"/>
    <w:rsid w:val="00165A5A"/>
    <w:rsid w:val="001663B2"/>
    <w:rsid w:val="00167187"/>
    <w:rsid w:val="00172E12"/>
    <w:rsid w:val="001762F4"/>
    <w:rsid w:val="00181F96"/>
    <w:rsid w:val="001852E1"/>
    <w:rsid w:val="00187FF9"/>
    <w:rsid w:val="001912AF"/>
    <w:rsid w:val="001919C2"/>
    <w:rsid w:val="0019349D"/>
    <w:rsid w:val="00196873"/>
    <w:rsid w:val="00196A61"/>
    <w:rsid w:val="00197192"/>
    <w:rsid w:val="00197B77"/>
    <w:rsid w:val="00197BAF"/>
    <w:rsid w:val="001A3DC9"/>
    <w:rsid w:val="001A5894"/>
    <w:rsid w:val="001A64AE"/>
    <w:rsid w:val="001B3613"/>
    <w:rsid w:val="001B49E7"/>
    <w:rsid w:val="001B51E1"/>
    <w:rsid w:val="001B5AA6"/>
    <w:rsid w:val="001B6525"/>
    <w:rsid w:val="001B6631"/>
    <w:rsid w:val="001C2308"/>
    <w:rsid w:val="001C2F77"/>
    <w:rsid w:val="001C324A"/>
    <w:rsid w:val="001C649A"/>
    <w:rsid w:val="001C777D"/>
    <w:rsid w:val="001D1251"/>
    <w:rsid w:val="001D5507"/>
    <w:rsid w:val="001D6798"/>
    <w:rsid w:val="001D6CC7"/>
    <w:rsid w:val="001E0144"/>
    <w:rsid w:val="001E0CF9"/>
    <w:rsid w:val="001E0F3B"/>
    <w:rsid w:val="001E67FC"/>
    <w:rsid w:val="001F55C6"/>
    <w:rsid w:val="001F719B"/>
    <w:rsid w:val="002016E2"/>
    <w:rsid w:val="0020172D"/>
    <w:rsid w:val="00201D2C"/>
    <w:rsid w:val="002039C3"/>
    <w:rsid w:val="0020541F"/>
    <w:rsid w:val="00210C5E"/>
    <w:rsid w:val="00213489"/>
    <w:rsid w:val="002155C0"/>
    <w:rsid w:val="002164E7"/>
    <w:rsid w:val="00221BDB"/>
    <w:rsid w:val="00221CD8"/>
    <w:rsid w:val="0022591D"/>
    <w:rsid w:val="0023130E"/>
    <w:rsid w:val="00231E33"/>
    <w:rsid w:val="002346B7"/>
    <w:rsid w:val="0023486F"/>
    <w:rsid w:val="0023643B"/>
    <w:rsid w:val="0023670E"/>
    <w:rsid w:val="0024029F"/>
    <w:rsid w:val="00240E09"/>
    <w:rsid w:val="00242A2F"/>
    <w:rsid w:val="002457AD"/>
    <w:rsid w:val="0024706E"/>
    <w:rsid w:val="00247188"/>
    <w:rsid w:val="00255A5D"/>
    <w:rsid w:val="0025666F"/>
    <w:rsid w:val="00256E72"/>
    <w:rsid w:val="002570D6"/>
    <w:rsid w:val="00260041"/>
    <w:rsid w:val="00265188"/>
    <w:rsid w:val="00270AF6"/>
    <w:rsid w:val="00271297"/>
    <w:rsid w:val="0027172B"/>
    <w:rsid w:val="00272522"/>
    <w:rsid w:val="002751A0"/>
    <w:rsid w:val="00275F75"/>
    <w:rsid w:val="00276C88"/>
    <w:rsid w:val="0028610F"/>
    <w:rsid w:val="0028646F"/>
    <w:rsid w:val="00287724"/>
    <w:rsid w:val="00290772"/>
    <w:rsid w:val="00292257"/>
    <w:rsid w:val="002922C8"/>
    <w:rsid w:val="00296B08"/>
    <w:rsid w:val="0029792C"/>
    <w:rsid w:val="002A098B"/>
    <w:rsid w:val="002A163A"/>
    <w:rsid w:val="002A3651"/>
    <w:rsid w:val="002A39D2"/>
    <w:rsid w:val="002A550A"/>
    <w:rsid w:val="002B051C"/>
    <w:rsid w:val="002B08F6"/>
    <w:rsid w:val="002B1538"/>
    <w:rsid w:val="002B19F5"/>
    <w:rsid w:val="002B228E"/>
    <w:rsid w:val="002B6FD4"/>
    <w:rsid w:val="002C23BF"/>
    <w:rsid w:val="002C305B"/>
    <w:rsid w:val="002C32C6"/>
    <w:rsid w:val="002C4A82"/>
    <w:rsid w:val="002C4B05"/>
    <w:rsid w:val="002C5D1F"/>
    <w:rsid w:val="002C639B"/>
    <w:rsid w:val="002D20E7"/>
    <w:rsid w:val="002D40EE"/>
    <w:rsid w:val="002E1302"/>
    <w:rsid w:val="002E256E"/>
    <w:rsid w:val="002E3A62"/>
    <w:rsid w:val="002E4AC7"/>
    <w:rsid w:val="002F44CD"/>
    <w:rsid w:val="002F4648"/>
    <w:rsid w:val="003010C8"/>
    <w:rsid w:val="003028EE"/>
    <w:rsid w:val="00304029"/>
    <w:rsid w:val="00304B66"/>
    <w:rsid w:val="00305CAB"/>
    <w:rsid w:val="00310185"/>
    <w:rsid w:val="00311106"/>
    <w:rsid w:val="00316FBD"/>
    <w:rsid w:val="00317876"/>
    <w:rsid w:val="00321427"/>
    <w:rsid w:val="00324030"/>
    <w:rsid w:val="003263A2"/>
    <w:rsid w:val="00331B27"/>
    <w:rsid w:val="00331DCF"/>
    <w:rsid w:val="0033451C"/>
    <w:rsid w:val="0033557D"/>
    <w:rsid w:val="00336B30"/>
    <w:rsid w:val="00340FA6"/>
    <w:rsid w:val="00343D1E"/>
    <w:rsid w:val="00345641"/>
    <w:rsid w:val="00351683"/>
    <w:rsid w:val="00352484"/>
    <w:rsid w:val="00352D09"/>
    <w:rsid w:val="00355BA4"/>
    <w:rsid w:val="00355F90"/>
    <w:rsid w:val="00356324"/>
    <w:rsid w:val="003567D4"/>
    <w:rsid w:val="003608FC"/>
    <w:rsid w:val="00360C61"/>
    <w:rsid w:val="0036158A"/>
    <w:rsid w:val="003628FF"/>
    <w:rsid w:val="003636C1"/>
    <w:rsid w:val="00363FF2"/>
    <w:rsid w:val="00364BA4"/>
    <w:rsid w:val="003658A4"/>
    <w:rsid w:val="00365BF4"/>
    <w:rsid w:val="0036708C"/>
    <w:rsid w:val="00371E7D"/>
    <w:rsid w:val="00376816"/>
    <w:rsid w:val="00376904"/>
    <w:rsid w:val="00376EC5"/>
    <w:rsid w:val="0037739F"/>
    <w:rsid w:val="00377458"/>
    <w:rsid w:val="003777D2"/>
    <w:rsid w:val="003779B9"/>
    <w:rsid w:val="0038451A"/>
    <w:rsid w:val="00384EE3"/>
    <w:rsid w:val="00385F37"/>
    <w:rsid w:val="00391F3C"/>
    <w:rsid w:val="00395DEF"/>
    <w:rsid w:val="0039774D"/>
    <w:rsid w:val="003A1491"/>
    <w:rsid w:val="003A212E"/>
    <w:rsid w:val="003A21B9"/>
    <w:rsid w:val="003A7FC5"/>
    <w:rsid w:val="003B5C53"/>
    <w:rsid w:val="003B65D2"/>
    <w:rsid w:val="003C010F"/>
    <w:rsid w:val="003C0245"/>
    <w:rsid w:val="003D0A29"/>
    <w:rsid w:val="003D28A6"/>
    <w:rsid w:val="003D30FE"/>
    <w:rsid w:val="003D65C5"/>
    <w:rsid w:val="003D7C14"/>
    <w:rsid w:val="003E0AE9"/>
    <w:rsid w:val="003E0D98"/>
    <w:rsid w:val="003E11D6"/>
    <w:rsid w:val="003E2F47"/>
    <w:rsid w:val="003E4385"/>
    <w:rsid w:val="003E6613"/>
    <w:rsid w:val="003E6BC6"/>
    <w:rsid w:val="003F07C9"/>
    <w:rsid w:val="003F1B9C"/>
    <w:rsid w:val="003F593A"/>
    <w:rsid w:val="003F5A19"/>
    <w:rsid w:val="003F6501"/>
    <w:rsid w:val="00401C32"/>
    <w:rsid w:val="0040252B"/>
    <w:rsid w:val="004060CC"/>
    <w:rsid w:val="00407731"/>
    <w:rsid w:val="00412DCC"/>
    <w:rsid w:val="00416E04"/>
    <w:rsid w:val="00420801"/>
    <w:rsid w:val="004209F1"/>
    <w:rsid w:val="0042374F"/>
    <w:rsid w:val="00424309"/>
    <w:rsid w:val="00426D90"/>
    <w:rsid w:val="00427F92"/>
    <w:rsid w:val="004317B3"/>
    <w:rsid w:val="00432BB4"/>
    <w:rsid w:val="00437B4A"/>
    <w:rsid w:val="004403C5"/>
    <w:rsid w:val="00440A8D"/>
    <w:rsid w:val="00442BCA"/>
    <w:rsid w:val="00444DBB"/>
    <w:rsid w:val="0044510A"/>
    <w:rsid w:val="004461BB"/>
    <w:rsid w:val="00447837"/>
    <w:rsid w:val="00452530"/>
    <w:rsid w:val="00455F86"/>
    <w:rsid w:val="00457E51"/>
    <w:rsid w:val="004600C4"/>
    <w:rsid w:val="004635AA"/>
    <w:rsid w:val="0046364E"/>
    <w:rsid w:val="00464129"/>
    <w:rsid w:val="00465261"/>
    <w:rsid w:val="00465B24"/>
    <w:rsid w:val="004661D6"/>
    <w:rsid w:val="00466547"/>
    <w:rsid w:val="004702A7"/>
    <w:rsid w:val="004709CD"/>
    <w:rsid w:val="004719FC"/>
    <w:rsid w:val="00472582"/>
    <w:rsid w:val="00472E3A"/>
    <w:rsid w:val="0047476A"/>
    <w:rsid w:val="00476A67"/>
    <w:rsid w:val="00481AAC"/>
    <w:rsid w:val="00482393"/>
    <w:rsid w:val="004848E0"/>
    <w:rsid w:val="00484EC9"/>
    <w:rsid w:val="00484F67"/>
    <w:rsid w:val="00486096"/>
    <w:rsid w:val="00486605"/>
    <w:rsid w:val="00490864"/>
    <w:rsid w:val="00491E1B"/>
    <w:rsid w:val="00492775"/>
    <w:rsid w:val="00493EDE"/>
    <w:rsid w:val="00494A5B"/>
    <w:rsid w:val="00496DBE"/>
    <w:rsid w:val="004A4AAF"/>
    <w:rsid w:val="004A50A1"/>
    <w:rsid w:val="004A7182"/>
    <w:rsid w:val="004B104A"/>
    <w:rsid w:val="004B2AB4"/>
    <w:rsid w:val="004C438F"/>
    <w:rsid w:val="004C4569"/>
    <w:rsid w:val="004C67D6"/>
    <w:rsid w:val="004D090C"/>
    <w:rsid w:val="004D1358"/>
    <w:rsid w:val="004D4694"/>
    <w:rsid w:val="004D4E6B"/>
    <w:rsid w:val="004D4FBB"/>
    <w:rsid w:val="004D7CDD"/>
    <w:rsid w:val="004E277B"/>
    <w:rsid w:val="004E4E08"/>
    <w:rsid w:val="004E7192"/>
    <w:rsid w:val="004E75C2"/>
    <w:rsid w:val="004F2127"/>
    <w:rsid w:val="004F2E64"/>
    <w:rsid w:val="004F3E00"/>
    <w:rsid w:val="004F3F2A"/>
    <w:rsid w:val="004F475C"/>
    <w:rsid w:val="004F706C"/>
    <w:rsid w:val="004F7823"/>
    <w:rsid w:val="00501CC5"/>
    <w:rsid w:val="00501D43"/>
    <w:rsid w:val="00502BC5"/>
    <w:rsid w:val="00504221"/>
    <w:rsid w:val="005046F2"/>
    <w:rsid w:val="005074AD"/>
    <w:rsid w:val="005100A5"/>
    <w:rsid w:val="00511F41"/>
    <w:rsid w:val="00512AF9"/>
    <w:rsid w:val="005157DC"/>
    <w:rsid w:val="00515812"/>
    <w:rsid w:val="00517E2D"/>
    <w:rsid w:val="005205FA"/>
    <w:rsid w:val="00520F93"/>
    <w:rsid w:val="00522EE2"/>
    <w:rsid w:val="00523F6F"/>
    <w:rsid w:val="00524975"/>
    <w:rsid w:val="005268CA"/>
    <w:rsid w:val="00527249"/>
    <w:rsid w:val="00527C46"/>
    <w:rsid w:val="0053114B"/>
    <w:rsid w:val="00531FEC"/>
    <w:rsid w:val="0053282F"/>
    <w:rsid w:val="00534109"/>
    <w:rsid w:val="00542161"/>
    <w:rsid w:val="0054406B"/>
    <w:rsid w:val="005447C2"/>
    <w:rsid w:val="005468EF"/>
    <w:rsid w:val="00550E41"/>
    <w:rsid w:val="00551D7B"/>
    <w:rsid w:val="0055497B"/>
    <w:rsid w:val="00557267"/>
    <w:rsid w:val="005613C8"/>
    <w:rsid w:val="00561585"/>
    <w:rsid w:val="0056164E"/>
    <w:rsid w:val="005638C5"/>
    <w:rsid w:val="00563ED0"/>
    <w:rsid w:val="0056417B"/>
    <w:rsid w:val="00566A54"/>
    <w:rsid w:val="00566D50"/>
    <w:rsid w:val="00567EE5"/>
    <w:rsid w:val="00571048"/>
    <w:rsid w:val="00571200"/>
    <w:rsid w:val="00572694"/>
    <w:rsid w:val="00574769"/>
    <w:rsid w:val="005768BB"/>
    <w:rsid w:val="0057774F"/>
    <w:rsid w:val="005818CC"/>
    <w:rsid w:val="00581C9A"/>
    <w:rsid w:val="005825CA"/>
    <w:rsid w:val="00586A0B"/>
    <w:rsid w:val="00586D2E"/>
    <w:rsid w:val="00587F95"/>
    <w:rsid w:val="00591908"/>
    <w:rsid w:val="00591D6F"/>
    <w:rsid w:val="0059297E"/>
    <w:rsid w:val="005A0E71"/>
    <w:rsid w:val="005A283F"/>
    <w:rsid w:val="005A465B"/>
    <w:rsid w:val="005A6747"/>
    <w:rsid w:val="005B340B"/>
    <w:rsid w:val="005B4298"/>
    <w:rsid w:val="005B5B25"/>
    <w:rsid w:val="005B75D3"/>
    <w:rsid w:val="005C1993"/>
    <w:rsid w:val="005C4233"/>
    <w:rsid w:val="005C429E"/>
    <w:rsid w:val="005C4736"/>
    <w:rsid w:val="005D0001"/>
    <w:rsid w:val="005D25B4"/>
    <w:rsid w:val="005D3374"/>
    <w:rsid w:val="005D477E"/>
    <w:rsid w:val="005D6AEB"/>
    <w:rsid w:val="005E087A"/>
    <w:rsid w:val="005E11D6"/>
    <w:rsid w:val="005E3DA4"/>
    <w:rsid w:val="005E7045"/>
    <w:rsid w:val="005F216F"/>
    <w:rsid w:val="005F4361"/>
    <w:rsid w:val="005F4C6F"/>
    <w:rsid w:val="005F6A9C"/>
    <w:rsid w:val="005F70D2"/>
    <w:rsid w:val="006015A0"/>
    <w:rsid w:val="00602F6B"/>
    <w:rsid w:val="00604BD4"/>
    <w:rsid w:val="00605554"/>
    <w:rsid w:val="00610DC9"/>
    <w:rsid w:val="00611A23"/>
    <w:rsid w:val="00612451"/>
    <w:rsid w:val="006160F9"/>
    <w:rsid w:val="00617877"/>
    <w:rsid w:val="00617BA4"/>
    <w:rsid w:val="00620B59"/>
    <w:rsid w:val="00622827"/>
    <w:rsid w:val="00626D30"/>
    <w:rsid w:val="00626EA0"/>
    <w:rsid w:val="00630B9A"/>
    <w:rsid w:val="0063337F"/>
    <w:rsid w:val="0063412E"/>
    <w:rsid w:val="00634FF8"/>
    <w:rsid w:val="006355C0"/>
    <w:rsid w:val="00636D4D"/>
    <w:rsid w:val="0064195B"/>
    <w:rsid w:val="00641BC4"/>
    <w:rsid w:val="00641F73"/>
    <w:rsid w:val="00642826"/>
    <w:rsid w:val="0064317B"/>
    <w:rsid w:val="00650938"/>
    <w:rsid w:val="00650F6D"/>
    <w:rsid w:val="00653607"/>
    <w:rsid w:val="0065361C"/>
    <w:rsid w:val="00655722"/>
    <w:rsid w:val="00656164"/>
    <w:rsid w:val="00656265"/>
    <w:rsid w:val="00661C96"/>
    <w:rsid w:val="00665A7B"/>
    <w:rsid w:val="00665CF7"/>
    <w:rsid w:val="0066602A"/>
    <w:rsid w:val="00667B31"/>
    <w:rsid w:val="0067026B"/>
    <w:rsid w:val="00671FA9"/>
    <w:rsid w:val="00671FC6"/>
    <w:rsid w:val="00672216"/>
    <w:rsid w:val="00672395"/>
    <w:rsid w:val="006725DE"/>
    <w:rsid w:val="006763F9"/>
    <w:rsid w:val="00677E12"/>
    <w:rsid w:val="0068281E"/>
    <w:rsid w:val="00682FE2"/>
    <w:rsid w:val="0068479A"/>
    <w:rsid w:val="00686AC8"/>
    <w:rsid w:val="00687D92"/>
    <w:rsid w:val="00692DBC"/>
    <w:rsid w:val="0069547A"/>
    <w:rsid w:val="0069588B"/>
    <w:rsid w:val="006A2EFB"/>
    <w:rsid w:val="006A3371"/>
    <w:rsid w:val="006A3DA9"/>
    <w:rsid w:val="006A4D88"/>
    <w:rsid w:val="006A4E09"/>
    <w:rsid w:val="006A7788"/>
    <w:rsid w:val="006B1E64"/>
    <w:rsid w:val="006B27A5"/>
    <w:rsid w:val="006B3485"/>
    <w:rsid w:val="006B3EF8"/>
    <w:rsid w:val="006B72DC"/>
    <w:rsid w:val="006C4141"/>
    <w:rsid w:val="006C48A1"/>
    <w:rsid w:val="006D1385"/>
    <w:rsid w:val="006D7298"/>
    <w:rsid w:val="006D7CF4"/>
    <w:rsid w:val="006E152B"/>
    <w:rsid w:val="006E22D0"/>
    <w:rsid w:val="006E2A8D"/>
    <w:rsid w:val="006E3BAE"/>
    <w:rsid w:val="006E57D8"/>
    <w:rsid w:val="006E79A7"/>
    <w:rsid w:val="006E7FAA"/>
    <w:rsid w:val="006F0CD1"/>
    <w:rsid w:val="006F120B"/>
    <w:rsid w:val="006F26BE"/>
    <w:rsid w:val="006F27AE"/>
    <w:rsid w:val="006F4712"/>
    <w:rsid w:val="006F5C73"/>
    <w:rsid w:val="006F7E9C"/>
    <w:rsid w:val="00704159"/>
    <w:rsid w:val="00704EDE"/>
    <w:rsid w:val="007057A8"/>
    <w:rsid w:val="00707E83"/>
    <w:rsid w:val="0071280A"/>
    <w:rsid w:val="007165D9"/>
    <w:rsid w:val="00720C69"/>
    <w:rsid w:val="00723157"/>
    <w:rsid w:val="00725D00"/>
    <w:rsid w:val="00725E97"/>
    <w:rsid w:val="00726281"/>
    <w:rsid w:val="00726F9C"/>
    <w:rsid w:val="00732240"/>
    <w:rsid w:val="00734714"/>
    <w:rsid w:val="0073490B"/>
    <w:rsid w:val="00734A9E"/>
    <w:rsid w:val="00736B05"/>
    <w:rsid w:val="00742071"/>
    <w:rsid w:val="007434DF"/>
    <w:rsid w:val="00743916"/>
    <w:rsid w:val="00744D27"/>
    <w:rsid w:val="00745693"/>
    <w:rsid w:val="00746829"/>
    <w:rsid w:val="007509FC"/>
    <w:rsid w:val="00752FF2"/>
    <w:rsid w:val="0075310A"/>
    <w:rsid w:val="007553AF"/>
    <w:rsid w:val="0075714A"/>
    <w:rsid w:val="007571DA"/>
    <w:rsid w:val="00757FF5"/>
    <w:rsid w:val="007600C2"/>
    <w:rsid w:val="00761E69"/>
    <w:rsid w:val="007620A2"/>
    <w:rsid w:val="0076339E"/>
    <w:rsid w:val="00765E4C"/>
    <w:rsid w:val="007664E8"/>
    <w:rsid w:val="00766645"/>
    <w:rsid w:val="00767D46"/>
    <w:rsid w:val="00775146"/>
    <w:rsid w:val="007759E0"/>
    <w:rsid w:val="00775ADC"/>
    <w:rsid w:val="00776BC3"/>
    <w:rsid w:val="00782E3A"/>
    <w:rsid w:val="007834D2"/>
    <w:rsid w:val="007864DE"/>
    <w:rsid w:val="00786D15"/>
    <w:rsid w:val="00790006"/>
    <w:rsid w:val="00790283"/>
    <w:rsid w:val="00793857"/>
    <w:rsid w:val="0079516D"/>
    <w:rsid w:val="0079700C"/>
    <w:rsid w:val="007A2973"/>
    <w:rsid w:val="007A2C5A"/>
    <w:rsid w:val="007A4F88"/>
    <w:rsid w:val="007A50A8"/>
    <w:rsid w:val="007B0604"/>
    <w:rsid w:val="007B4C7A"/>
    <w:rsid w:val="007B7A62"/>
    <w:rsid w:val="007C1EF4"/>
    <w:rsid w:val="007C3520"/>
    <w:rsid w:val="007C7776"/>
    <w:rsid w:val="007D0A99"/>
    <w:rsid w:val="007D1356"/>
    <w:rsid w:val="007D136B"/>
    <w:rsid w:val="007D17C9"/>
    <w:rsid w:val="007D35E9"/>
    <w:rsid w:val="007D3692"/>
    <w:rsid w:val="007D3C9B"/>
    <w:rsid w:val="007D3FC3"/>
    <w:rsid w:val="007D6465"/>
    <w:rsid w:val="007E0E12"/>
    <w:rsid w:val="007F57C8"/>
    <w:rsid w:val="007F658C"/>
    <w:rsid w:val="007F6F18"/>
    <w:rsid w:val="00800E83"/>
    <w:rsid w:val="008013A5"/>
    <w:rsid w:val="00801AFC"/>
    <w:rsid w:val="008023BE"/>
    <w:rsid w:val="00805220"/>
    <w:rsid w:val="008058AB"/>
    <w:rsid w:val="008064A3"/>
    <w:rsid w:val="00806F14"/>
    <w:rsid w:val="00811BB6"/>
    <w:rsid w:val="00813842"/>
    <w:rsid w:val="00817171"/>
    <w:rsid w:val="008177AF"/>
    <w:rsid w:val="008220E3"/>
    <w:rsid w:val="008223BB"/>
    <w:rsid w:val="008224BE"/>
    <w:rsid w:val="008274C6"/>
    <w:rsid w:val="00827F75"/>
    <w:rsid w:val="00833AE8"/>
    <w:rsid w:val="008345A5"/>
    <w:rsid w:val="00834B37"/>
    <w:rsid w:val="008418B9"/>
    <w:rsid w:val="00841CB0"/>
    <w:rsid w:val="00842C1C"/>
    <w:rsid w:val="00843496"/>
    <w:rsid w:val="008542E6"/>
    <w:rsid w:val="00856B5D"/>
    <w:rsid w:val="00864087"/>
    <w:rsid w:val="00864A62"/>
    <w:rsid w:val="00864DA8"/>
    <w:rsid w:val="008664D1"/>
    <w:rsid w:val="00866871"/>
    <w:rsid w:val="00867145"/>
    <w:rsid w:val="00872CA5"/>
    <w:rsid w:val="00873004"/>
    <w:rsid w:val="0087561A"/>
    <w:rsid w:val="00877AA7"/>
    <w:rsid w:val="00877EE0"/>
    <w:rsid w:val="00881794"/>
    <w:rsid w:val="00882A82"/>
    <w:rsid w:val="00883A41"/>
    <w:rsid w:val="0088520A"/>
    <w:rsid w:val="00887FD3"/>
    <w:rsid w:val="00891011"/>
    <w:rsid w:val="00891014"/>
    <w:rsid w:val="0089408D"/>
    <w:rsid w:val="00894538"/>
    <w:rsid w:val="00894A3C"/>
    <w:rsid w:val="0089552F"/>
    <w:rsid w:val="008A17F1"/>
    <w:rsid w:val="008A2364"/>
    <w:rsid w:val="008A2E9A"/>
    <w:rsid w:val="008A6523"/>
    <w:rsid w:val="008A696F"/>
    <w:rsid w:val="008A76EF"/>
    <w:rsid w:val="008B5B21"/>
    <w:rsid w:val="008B60FC"/>
    <w:rsid w:val="008B7E76"/>
    <w:rsid w:val="008C4ED1"/>
    <w:rsid w:val="008C5FFF"/>
    <w:rsid w:val="008D0699"/>
    <w:rsid w:val="008D306E"/>
    <w:rsid w:val="008D3AC0"/>
    <w:rsid w:val="008D3EF7"/>
    <w:rsid w:val="008D4205"/>
    <w:rsid w:val="008D51DC"/>
    <w:rsid w:val="008E1107"/>
    <w:rsid w:val="008E1788"/>
    <w:rsid w:val="008E6410"/>
    <w:rsid w:val="008E6AC5"/>
    <w:rsid w:val="008E744D"/>
    <w:rsid w:val="008F1078"/>
    <w:rsid w:val="008F1E80"/>
    <w:rsid w:val="008F3983"/>
    <w:rsid w:val="008F4C3F"/>
    <w:rsid w:val="008F6B23"/>
    <w:rsid w:val="008F728A"/>
    <w:rsid w:val="0090156C"/>
    <w:rsid w:val="0090323D"/>
    <w:rsid w:val="00903498"/>
    <w:rsid w:val="009046CE"/>
    <w:rsid w:val="009048B1"/>
    <w:rsid w:val="009050E5"/>
    <w:rsid w:val="00906080"/>
    <w:rsid w:val="009063C9"/>
    <w:rsid w:val="00907B1E"/>
    <w:rsid w:val="00910AD0"/>
    <w:rsid w:val="00914616"/>
    <w:rsid w:val="00915684"/>
    <w:rsid w:val="009250C6"/>
    <w:rsid w:val="00925F1B"/>
    <w:rsid w:val="00927CC1"/>
    <w:rsid w:val="00932456"/>
    <w:rsid w:val="00934883"/>
    <w:rsid w:val="00940600"/>
    <w:rsid w:val="00944861"/>
    <w:rsid w:val="0094569A"/>
    <w:rsid w:val="00946DDB"/>
    <w:rsid w:val="00950B4E"/>
    <w:rsid w:val="00952BB2"/>
    <w:rsid w:val="00952C1E"/>
    <w:rsid w:val="00952DB6"/>
    <w:rsid w:val="009562A6"/>
    <w:rsid w:val="009578AE"/>
    <w:rsid w:val="00961B83"/>
    <w:rsid w:val="00962536"/>
    <w:rsid w:val="00963ABE"/>
    <w:rsid w:val="009672A5"/>
    <w:rsid w:val="009672A8"/>
    <w:rsid w:val="00970325"/>
    <w:rsid w:val="00972555"/>
    <w:rsid w:val="009756CA"/>
    <w:rsid w:val="009769FF"/>
    <w:rsid w:val="00980D6C"/>
    <w:rsid w:val="00980D88"/>
    <w:rsid w:val="00981A49"/>
    <w:rsid w:val="0098202F"/>
    <w:rsid w:val="009874A9"/>
    <w:rsid w:val="00987941"/>
    <w:rsid w:val="00987F9E"/>
    <w:rsid w:val="0099079D"/>
    <w:rsid w:val="00991A58"/>
    <w:rsid w:val="00991D4B"/>
    <w:rsid w:val="0099312D"/>
    <w:rsid w:val="009A00C8"/>
    <w:rsid w:val="009A0914"/>
    <w:rsid w:val="009A0BAA"/>
    <w:rsid w:val="009A2595"/>
    <w:rsid w:val="009A2920"/>
    <w:rsid w:val="009A44A5"/>
    <w:rsid w:val="009A6B8F"/>
    <w:rsid w:val="009A725B"/>
    <w:rsid w:val="009B0CC7"/>
    <w:rsid w:val="009B3F91"/>
    <w:rsid w:val="009B572D"/>
    <w:rsid w:val="009B5F4E"/>
    <w:rsid w:val="009B6DF6"/>
    <w:rsid w:val="009C1F64"/>
    <w:rsid w:val="009C2FCE"/>
    <w:rsid w:val="009C7C3C"/>
    <w:rsid w:val="009C7E2C"/>
    <w:rsid w:val="009D31A6"/>
    <w:rsid w:val="009D45D5"/>
    <w:rsid w:val="009D47B9"/>
    <w:rsid w:val="009D5E55"/>
    <w:rsid w:val="009D6ABF"/>
    <w:rsid w:val="009E102C"/>
    <w:rsid w:val="009E68D8"/>
    <w:rsid w:val="009E71FD"/>
    <w:rsid w:val="009E7261"/>
    <w:rsid w:val="009F0007"/>
    <w:rsid w:val="009F097C"/>
    <w:rsid w:val="009F17E4"/>
    <w:rsid w:val="009F38BF"/>
    <w:rsid w:val="009F3D25"/>
    <w:rsid w:val="009F4B6B"/>
    <w:rsid w:val="00A00F98"/>
    <w:rsid w:val="00A01069"/>
    <w:rsid w:val="00A01427"/>
    <w:rsid w:val="00A0156E"/>
    <w:rsid w:val="00A01600"/>
    <w:rsid w:val="00A01C6B"/>
    <w:rsid w:val="00A02E47"/>
    <w:rsid w:val="00A0435D"/>
    <w:rsid w:val="00A058C0"/>
    <w:rsid w:val="00A1052D"/>
    <w:rsid w:val="00A10FE0"/>
    <w:rsid w:val="00A1261C"/>
    <w:rsid w:val="00A14458"/>
    <w:rsid w:val="00A147E2"/>
    <w:rsid w:val="00A14D58"/>
    <w:rsid w:val="00A14ED2"/>
    <w:rsid w:val="00A20ED7"/>
    <w:rsid w:val="00A22D81"/>
    <w:rsid w:val="00A2752C"/>
    <w:rsid w:val="00A27DF5"/>
    <w:rsid w:val="00A30230"/>
    <w:rsid w:val="00A305C8"/>
    <w:rsid w:val="00A307DE"/>
    <w:rsid w:val="00A35624"/>
    <w:rsid w:val="00A37D33"/>
    <w:rsid w:val="00A40AB4"/>
    <w:rsid w:val="00A42CAE"/>
    <w:rsid w:val="00A43266"/>
    <w:rsid w:val="00A43C98"/>
    <w:rsid w:val="00A440DC"/>
    <w:rsid w:val="00A44B2F"/>
    <w:rsid w:val="00A5099A"/>
    <w:rsid w:val="00A627C9"/>
    <w:rsid w:val="00A63AAE"/>
    <w:rsid w:val="00A67850"/>
    <w:rsid w:val="00A67C14"/>
    <w:rsid w:val="00A70B2F"/>
    <w:rsid w:val="00A72608"/>
    <w:rsid w:val="00A77FAF"/>
    <w:rsid w:val="00A8315C"/>
    <w:rsid w:val="00A850EF"/>
    <w:rsid w:val="00A87B4B"/>
    <w:rsid w:val="00A90F3F"/>
    <w:rsid w:val="00A9248F"/>
    <w:rsid w:val="00A92C7D"/>
    <w:rsid w:val="00A93CB6"/>
    <w:rsid w:val="00A948BE"/>
    <w:rsid w:val="00A95474"/>
    <w:rsid w:val="00A97CB2"/>
    <w:rsid w:val="00AA0E93"/>
    <w:rsid w:val="00AA15A6"/>
    <w:rsid w:val="00AA4A1F"/>
    <w:rsid w:val="00AA611F"/>
    <w:rsid w:val="00AA6D33"/>
    <w:rsid w:val="00AA7E86"/>
    <w:rsid w:val="00AB47AB"/>
    <w:rsid w:val="00AB4E87"/>
    <w:rsid w:val="00AB5B6E"/>
    <w:rsid w:val="00AB754D"/>
    <w:rsid w:val="00AC16AC"/>
    <w:rsid w:val="00AC216F"/>
    <w:rsid w:val="00AC334A"/>
    <w:rsid w:val="00AC3F8C"/>
    <w:rsid w:val="00AC56EB"/>
    <w:rsid w:val="00AC6884"/>
    <w:rsid w:val="00AC7B10"/>
    <w:rsid w:val="00AD29B7"/>
    <w:rsid w:val="00AD5842"/>
    <w:rsid w:val="00AD7FD2"/>
    <w:rsid w:val="00AE01B6"/>
    <w:rsid w:val="00AE1AC6"/>
    <w:rsid w:val="00AE2435"/>
    <w:rsid w:val="00AF0A00"/>
    <w:rsid w:val="00AF1917"/>
    <w:rsid w:val="00AF28BE"/>
    <w:rsid w:val="00AF2B02"/>
    <w:rsid w:val="00AF3515"/>
    <w:rsid w:val="00AF5AB5"/>
    <w:rsid w:val="00AF6983"/>
    <w:rsid w:val="00AF6E7B"/>
    <w:rsid w:val="00AF71EA"/>
    <w:rsid w:val="00B01338"/>
    <w:rsid w:val="00B03A54"/>
    <w:rsid w:val="00B06468"/>
    <w:rsid w:val="00B07ACD"/>
    <w:rsid w:val="00B11DAA"/>
    <w:rsid w:val="00B12DEB"/>
    <w:rsid w:val="00B1389A"/>
    <w:rsid w:val="00B148BA"/>
    <w:rsid w:val="00B14BA5"/>
    <w:rsid w:val="00B156A2"/>
    <w:rsid w:val="00B17A16"/>
    <w:rsid w:val="00B20831"/>
    <w:rsid w:val="00B20883"/>
    <w:rsid w:val="00B20C0B"/>
    <w:rsid w:val="00B2372E"/>
    <w:rsid w:val="00B2425C"/>
    <w:rsid w:val="00B27212"/>
    <w:rsid w:val="00B30B3F"/>
    <w:rsid w:val="00B4106E"/>
    <w:rsid w:val="00B41948"/>
    <w:rsid w:val="00B421A1"/>
    <w:rsid w:val="00B46812"/>
    <w:rsid w:val="00B4774D"/>
    <w:rsid w:val="00B507C7"/>
    <w:rsid w:val="00B54AB1"/>
    <w:rsid w:val="00B565A0"/>
    <w:rsid w:val="00B56D55"/>
    <w:rsid w:val="00B57E5F"/>
    <w:rsid w:val="00B600DF"/>
    <w:rsid w:val="00B60C55"/>
    <w:rsid w:val="00B6343A"/>
    <w:rsid w:val="00B640FD"/>
    <w:rsid w:val="00B66B24"/>
    <w:rsid w:val="00B716CE"/>
    <w:rsid w:val="00B75CD4"/>
    <w:rsid w:val="00B75F88"/>
    <w:rsid w:val="00B77F11"/>
    <w:rsid w:val="00B800BE"/>
    <w:rsid w:val="00B8063B"/>
    <w:rsid w:val="00B80FBF"/>
    <w:rsid w:val="00B81674"/>
    <w:rsid w:val="00B81A6E"/>
    <w:rsid w:val="00B83091"/>
    <w:rsid w:val="00B85BB2"/>
    <w:rsid w:val="00B86330"/>
    <w:rsid w:val="00B877EC"/>
    <w:rsid w:val="00B87895"/>
    <w:rsid w:val="00B94930"/>
    <w:rsid w:val="00B95952"/>
    <w:rsid w:val="00B97808"/>
    <w:rsid w:val="00BA012E"/>
    <w:rsid w:val="00BA221E"/>
    <w:rsid w:val="00BA2462"/>
    <w:rsid w:val="00BA26DD"/>
    <w:rsid w:val="00BA40BB"/>
    <w:rsid w:val="00BA454C"/>
    <w:rsid w:val="00BA4D5B"/>
    <w:rsid w:val="00BA699F"/>
    <w:rsid w:val="00BA6CB9"/>
    <w:rsid w:val="00BB220E"/>
    <w:rsid w:val="00BB316F"/>
    <w:rsid w:val="00BB341A"/>
    <w:rsid w:val="00BB35BB"/>
    <w:rsid w:val="00BB6C51"/>
    <w:rsid w:val="00BB6F93"/>
    <w:rsid w:val="00BB700E"/>
    <w:rsid w:val="00BC01C4"/>
    <w:rsid w:val="00BC04A7"/>
    <w:rsid w:val="00BC0967"/>
    <w:rsid w:val="00BC25CA"/>
    <w:rsid w:val="00BC4C00"/>
    <w:rsid w:val="00BC5C89"/>
    <w:rsid w:val="00BC7572"/>
    <w:rsid w:val="00BD048D"/>
    <w:rsid w:val="00BD212A"/>
    <w:rsid w:val="00BD3F93"/>
    <w:rsid w:val="00BD4707"/>
    <w:rsid w:val="00BD5EA1"/>
    <w:rsid w:val="00BE0033"/>
    <w:rsid w:val="00BE0B48"/>
    <w:rsid w:val="00BE5548"/>
    <w:rsid w:val="00BE6749"/>
    <w:rsid w:val="00BF6AE8"/>
    <w:rsid w:val="00BF7680"/>
    <w:rsid w:val="00BF78C8"/>
    <w:rsid w:val="00C017CE"/>
    <w:rsid w:val="00C063AE"/>
    <w:rsid w:val="00C076E8"/>
    <w:rsid w:val="00C11ACB"/>
    <w:rsid w:val="00C11DB3"/>
    <w:rsid w:val="00C16536"/>
    <w:rsid w:val="00C216F8"/>
    <w:rsid w:val="00C21AE3"/>
    <w:rsid w:val="00C21F88"/>
    <w:rsid w:val="00C2256B"/>
    <w:rsid w:val="00C239A8"/>
    <w:rsid w:val="00C24E5A"/>
    <w:rsid w:val="00C25885"/>
    <w:rsid w:val="00C272A2"/>
    <w:rsid w:val="00C27B73"/>
    <w:rsid w:val="00C27D66"/>
    <w:rsid w:val="00C31AC2"/>
    <w:rsid w:val="00C32D10"/>
    <w:rsid w:val="00C336A4"/>
    <w:rsid w:val="00C33788"/>
    <w:rsid w:val="00C4240E"/>
    <w:rsid w:val="00C43097"/>
    <w:rsid w:val="00C45C53"/>
    <w:rsid w:val="00C47BCE"/>
    <w:rsid w:val="00C506B6"/>
    <w:rsid w:val="00C53AC8"/>
    <w:rsid w:val="00C53CDE"/>
    <w:rsid w:val="00C57315"/>
    <w:rsid w:val="00C61A30"/>
    <w:rsid w:val="00C61EEB"/>
    <w:rsid w:val="00C622BC"/>
    <w:rsid w:val="00C63471"/>
    <w:rsid w:val="00C637ED"/>
    <w:rsid w:val="00C675DB"/>
    <w:rsid w:val="00C67C20"/>
    <w:rsid w:val="00C75DE0"/>
    <w:rsid w:val="00C766DA"/>
    <w:rsid w:val="00C8146E"/>
    <w:rsid w:val="00C81B4E"/>
    <w:rsid w:val="00C82FE1"/>
    <w:rsid w:val="00C83150"/>
    <w:rsid w:val="00C83DD2"/>
    <w:rsid w:val="00C87143"/>
    <w:rsid w:val="00C87EF1"/>
    <w:rsid w:val="00C87FA3"/>
    <w:rsid w:val="00C912FE"/>
    <w:rsid w:val="00C922D2"/>
    <w:rsid w:val="00C92A33"/>
    <w:rsid w:val="00C94DB4"/>
    <w:rsid w:val="00C95F4F"/>
    <w:rsid w:val="00CA0ED3"/>
    <w:rsid w:val="00CA6216"/>
    <w:rsid w:val="00CB0323"/>
    <w:rsid w:val="00CB469F"/>
    <w:rsid w:val="00CB4BA0"/>
    <w:rsid w:val="00CB5523"/>
    <w:rsid w:val="00CB702A"/>
    <w:rsid w:val="00CB7A16"/>
    <w:rsid w:val="00CC13D9"/>
    <w:rsid w:val="00CC19F7"/>
    <w:rsid w:val="00CC35CC"/>
    <w:rsid w:val="00CC47F4"/>
    <w:rsid w:val="00CC4B11"/>
    <w:rsid w:val="00CC678D"/>
    <w:rsid w:val="00CD0C0A"/>
    <w:rsid w:val="00CE3C8C"/>
    <w:rsid w:val="00CE3D67"/>
    <w:rsid w:val="00CE60B7"/>
    <w:rsid w:val="00CE6BAE"/>
    <w:rsid w:val="00CE7C5E"/>
    <w:rsid w:val="00CF24F4"/>
    <w:rsid w:val="00CF3525"/>
    <w:rsid w:val="00CF44E6"/>
    <w:rsid w:val="00CF5160"/>
    <w:rsid w:val="00CF58D1"/>
    <w:rsid w:val="00CF6854"/>
    <w:rsid w:val="00CF7AD2"/>
    <w:rsid w:val="00D000A0"/>
    <w:rsid w:val="00D011EE"/>
    <w:rsid w:val="00D023ED"/>
    <w:rsid w:val="00D02EC6"/>
    <w:rsid w:val="00D03F60"/>
    <w:rsid w:val="00D04AAE"/>
    <w:rsid w:val="00D05DB0"/>
    <w:rsid w:val="00D06D5C"/>
    <w:rsid w:val="00D11296"/>
    <w:rsid w:val="00D12406"/>
    <w:rsid w:val="00D14F6D"/>
    <w:rsid w:val="00D176FF"/>
    <w:rsid w:val="00D20CED"/>
    <w:rsid w:val="00D223E3"/>
    <w:rsid w:val="00D2715F"/>
    <w:rsid w:val="00D274BD"/>
    <w:rsid w:val="00D301B0"/>
    <w:rsid w:val="00D324AA"/>
    <w:rsid w:val="00D32764"/>
    <w:rsid w:val="00D3289E"/>
    <w:rsid w:val="00D332A8"/>
    <w:rsid w:val="00D3565D"/>
    <w:rsid w:val="00D3644E"/>
    <w:rsid w:val="00D40328"/>
    <w:rsid w:val="00D416C0"/>
    <w:rsid w:val="00D419E4"/>
    <w:rsid w:val="00D430AB"/>
    <w:rsid w:val="00D44CB4"/>
    <w:rsid w:val="00D454E1"/>
    <w:rsid w:val="00D45CCB"/>
    <w:rsid w:val="00D471F8"/>
    <w:rsid w:val="00D508AE"/>
    <w:rsid w:val="00D50B97"/>
    <w:rsid w:val="00D50D5A"/>
    <w:rsid w:val="00D542B2"/>
    <w:rsid w:val="00D54F23"/>
    <w:rsid w:val="00D55DCA"/>
    <w:rsid w:val="00D570F4"/>
    <w:rsid w:val="00D60713"/>
    <w:rsid w:val="00D60776"/>
    <w:rsid w:val="00D628F1"/>
    <w:rsid w:val="00D64337"/>
    <w:rsid w:val="00D644D4"/>
    <w:rsid w:val="00D6477F"/>
    <w:rsid w:val="00D64C94"/>
    <w:rsid w:val="00D64F37"/>
    <w:rsid w:val="00D6680A"/>
    <w:rsid w:val="00D67722"/>
    <w:rsid w:val="00D74605"/>
    <w:rsid w:val="00D7573A"/>
    <w:rsid w:val="00D75D46"/>
    <w:rsid w:val="00D84E97"/>
    <w:rsid w:val="00D850E7"/>
    <w:rsid w:val="00D8587B"/>
    <w:rsid w:val="00D87500"/>
    <w:rsid w:val="00D92CB7"/>
    <w:rsid w:val="00D95108"/>
    <w:rsid w:val="00D9687A"/>
    <w:rsid w:val="00DA0EDF"/>
    <w:rsid w:val="00DA66E5"/>
    <w:rsid w:val="00DA6F8C"/>
    <w:rsid w:val="00DA7BCF"/>
    <w:rsid w:val="00DB0A36"/>
    <w:rsid w:val="00DB546A"/>
    <w:rsid w:val="00DB6548"/>
    <w:rsid w:val="00DB6A42"/>
    <w:rsid w:val="00DB7522"/>
    <w:rsid w:val="00DB7C58"/>
    <w:rsid w:val="00DC0A89"/>
    <w:rsid w:val="00DC1631"/>
    <w:rsid w:val="00DC37CA"/>
    <w:rsid w:val="00DC491D"/>
    <w:rsid w:val="00DC4BBE"/>
    <w:rsid w:val="00DC71B2"/>
    <w:rsid w:val="00DC7B7A"/>
    <w:rsid w:val="00DD19D1"/>
    <w:rsid w:val="00DD241A"/>
    <w:rsid w:val="00DE0716"/>
    <w:rsid w:val="00DE1933"/>
    <w:rsid w:val="00DE5D3A"/>
    <w:rsid w:val="00DF00E7"/>
    <w:rsid w:val="00DF06AA"/>
    <w:rsid w:val="00DF0F68"/>
    <w:rsid w:val="00DF27DA"/>
    <w:rsid w:val="00DF5F76"/>
    <w:rsid w:val="00DF7C5C"/>
    <w:rsid w:val="00E00EE8"/>
    <w:rsid w:val="00E01BAD"/>
    <w:rsid w:val="00E05656"/>
    <w:rsid w:val="00E1017A"/>
    <w:rsid w:val="00E11371"/>
    <w:rsid w:val="00E15EF8"/>
    <w:rsid w:val="00E171CE"/>
    <w:rsid w:val="00E17229"/>
    <w:rsid w:val="00E17C36"/>
    <w:rsid w:val="00E20115"/>
    <w:rsid w:val="00E22990"/>
    <w:rsid w:val="00E25D60"/>
    <w:rsid w:val="00E2726A"/>
    <w:rsid w:val="00E27690"/>
    <w:rsid w:val="00E3285B"/>
    <w:rsid w:val="00E33970"/>
    <w:rsid w:val="00E37989"/>
    <w:rsid w:val="00E37AA6"/>
    <w:rsid w:val="00E46A3B"/>
    <w:rsid w:val="00E46FC7"/>
    <w:rsid w:val="00E50E75"/>
    <w:rsid w:val="00E51F62"/>
    <w:rsid w:val="00E545FC"/>
    <w:rsid w:val="00E549CA"/>
    <w:rsid w:val="00E566E2"/>
    <w:rsid w:val="00E56CDE"/>
    <w:rsid w:val="00E575E3"/>
    <w:rsid w:val="00E62A89"/>
    <w:rsid w:val="00E634A5"/>
    <w:rsid w:val="00E67F5B"/>
    <w:rsid w:val="00E7149B"/>
    <w:rsid w:val="00E72224"/>
    <w:rsid w:val="00E72B20"/>
    <w:rsid w:val="00E742C6"/>
    <w:rsid w:val="00E75192"/>
    <w:rsid w:val="00E76052"/>
    <w:rsid w:val="00E776D9"/>
    <w:rsid w:val="00E819BF"/>
    <w:rsid w:val="00E8410C"/>
    <w:rsid w:val="00E8589B"/>
    <w:rsid w:val="00E873B0"/>
    <w:rsid w:val="00E87A58"/>
    <w:rsid w:val="00E91A07"/>
    <w:rsid w:val="00E921B2"/>
    <w:rsid w:val="00E921B4"/>
    <w:rsid w:val="00E92E08"/>
    <w:rsid w:val="00E93E37"/>
    <w:rsid w:val="00E9661A"/>
    <w:rsid w:val="00EA033F"/>
    <w:rsid w:val="00EA0C25"/>
    <w:rsid w:val="00EA1926"/>
    <w:rsid w:val="00EA1F81"/>
    <w:rsid w:val="00EA2A11"/>
    <w:rsid w:val="00EA3773"/>
    <w:rsid w:val="00EB24A7"/>
    <w:rsid w:val="00EB2A52"/>
    <w:rsid w:val="00EB3665"/>
    <w:rsid w:val="00EB391B"/>
    <w:rsid w:val="00EB3F3F"/>
    <w:rsid w:val="00EB4EA1"/>
    <w:rsid w:val="00EB5E46"/>
    <w:rsid w:val="00EB5EE7"/>
    <w:rsid w:val="00EB6435"/>
    <w:rsid w:val="00EB6B37"/>
    <w:rsid w:val="00EB6B5D"/>
    <w:rsid w:val="00EB74D2"/>
    <w:rsid w:val="00EC1F46"/>
    <w:rsid w:val="00EC3333"/>
    <w:rsid w:val="00EC5C98"/>
    <w:rsid w:val="00ED1943"/>
    <w:rsid w:val="00ED5F7A"/>
    <w:rsid w:val="00EE0DB9"/>
    <w:rsid w:val="00EE13EF"/>
    <w:rsid w:val="00EE2E3F"/>
    <w:rsid w:val="00EE35C5"/>
    <w:rsid w:val="00EF050F"/>
    <w:rsid w:val="00EF2F81"/>
    <w:rsid w:val="00EF6B7E"/>
    <w:rsid w:val="00F01109"/>
    <w:rsid w:val="00F02EE0"/>
    <w:rsid w:val="00F03591"/>
    <w:rsid w:val="00F03F76"/>
    <w:rsid w:val="00F06B6D"/>
    <w:rsid w:val="00F07A0C"/>
    <w:rsid w:val="00F07DBA"/>
    <w:rsid w:val="00F16BE4"/>
    <w:rsid w:val="00F172AB"/>
    <w:rsid w:val="00F17D21"/>
    <w:rsid w:val="00F23CB1"/>
    <w:rsid w:val="00F26D92"/>
    <w:rsid w:val="00F31B14"/>
    <w:rsid w:val="00F32C16"/>
    <w:rsid w:val="00F33D1F"/>
    <w:rsid w:val="00F34D53"/>
    <w:rsid w:val="00F35384"/>
    <w:rsid w:val="00F3586F"/>
    <w:rsid w:val="00F412A3"/>
    <w:rsid w:val="00F41591"/>
    <w:rsid w:val="00F41744"/>
    <w:rsid w:val="00F46DB0"/>
    <w:rsid w:val="00F478AC"/>
    <w:rsid w:val="00F5004B"/>
    <w:rsid w:val="00F509AD"/>
    <w:rsid w:val="00F53ED4"/>
    <w:rsid w:val="00F5524A"/>
    <w:rsid w:val="00F571FA"/>
    <w:rsid w:val="00F57690"/>
    <w:rsid w:val="00F5771D"/>
    <w:rsid w:val="00F61106"/>
    <w:rsid w:val="00F61D11"/>
    <w:rsid w:val="00F61E02"/>
    <w:rsid w:val="00F63295"/>
    <w:rsid w:val="00F64E2D"/>
    <w:rsid w:val="00F6542D"/>
    <w:rsid w:val="00F66E31"/>
    <w:rsid w:val="00F67F3E"/>
    <w:rsid w:val="00F722B8"/>
    <w:rsid w:val="00F769D7"/>
    <w:rsid w:val="00F828F1"/>
    <w:rsid w:val="00F83AC4"/>
    <w:rsid w:val="00F86257"/>
    <w:rsid w:val="00F872AA"/>
    <w:rsid w:val="00F87B45"/>
    <w:rsid w:val="00F906E9"/>
    <w:rsid w:val="00F912CE"/>
    <w:rsid w:val="00F91635"/>
    <w:rsid w:val="00F92694"/>
    <w:rsid w:val="00F961DB"/>
    <w:rsid w:val="00FA0913"/>
    <w:rsid w:val="00FA0E6D"/>
    <w:rsid w:val="00FA1E95"/>
    <w:rsid w:val="00FA4B5F"/>
    <w:rsid w:val="00FA4DAE"/>
    <w:rsid w:val="00FB29E5"/>
    <w:rsid w:val="00FB3639"/>
    <w:rsid w:val="00FB3CA0"/>
    <w:rsid w:val="00FB3D84"/>
    <w:rsid w:val="00FB5351"/>
    <w:rsid w:val="00FB5687"/>
    <w:rsid w:val="00FB56CD"/>
    <w:rsid w:val="00FB6C22"/>
    <w:rsid w:val="00FB7662"/>
    <w:rsid w:val="00FB7BFE"/>
    <w:rsid w:val="00FB7F9C"/>
    <w:rsid w:val="00FC1C09"/>
    <w:rsid w:val="00FC3241"/>
    <w:rsid w:val="00FC38EB"/>
    <w:rsid w:val="00FC5FA0"/>
    <w:rsid w:val="00FC7572"/>
    <w:rsid w:val="00FD0034"/>
    <w:rsid w:val="00FD1FC8"/>
    <w:rsid w:val="00FD3D5C"/>
    <w:rsid w:val="00FD4010"/>
    <w:rsid w:val="00FD4330"/>
    <w:rsid w:val="00FD61DE"/>
    <w:rsid w:val="00FD6AA6"/>
    <w:rsid w:val="00FD78DB"/>
    <w:rsid w:val="00FE37A0"/>
    <w:rsid w:val="00FF065C"/>
    <w:rsid w:val="00FF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5777"/>
    <o:shapelayout v:ext="edit">
      <o:idmap v:ext="edit" data="1"/>
    </o:shapelayout>
  </w:shapeDefaults>
  <w:decimalSymbol w:val="."/>
  <w:listSeparator w:val=","/>
  <w14:docId w14:val="46B7CB4B"/>
  <w15:docId w15:val="{650E2B14-37AC-41C8-85E1-70BA94B0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iPriority w:val="99"/>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customStyle="1" w:styleId="Default">
    <w:name w:val="Default"/>
    <w:rsid w:val="004F3E0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2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5ADC"/>
    <w:rPr>
      <w:sz w:val="16"/>
      <w:szCs w:val="16"/>
    </w:rPr>
  </w:style>
  <w:style w:type="paragraph" w:styleId="CommentText">
    <w:name w:val="annotation text"/>
    <w:basedOn w:val="Normal"/>
    <w:link w:val="CommentTextChar"/>
    <w:uiPriority w:val="99"/>
    <w:unhideWhenUsed/>
    <w:rsid w:val="00775ADC"/>
    <w:pPr>
      <w:spacing w:line="240" w:lineRule="auto"/>
    </w:pPr>
    <w:rPr>
      <w:szCs w:val="20"/>
    </w:rPr>
  </w:style>
  <w:style w:type="character" w:customStyle="1" w:styleId="CommentTextChar">
    <w:name w:val="Comment Text Char"/>
    <w:basedOn w:val="DefaultParagraphFont"/>
    <w:link w:val="CommentText"/>
    <w:uiPriority w:val="99"/>
    <w:rsid w:val="00775AD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75ADC"/>
    <w:rPr>
      <w:b/>
      <w:bCs/>
    </w:rPr>
  </w:style>
  <w:style w:type="character" w:customStyle="1" w:styleId="CommentSubjectChar">
    <w:name w:val="Comment Subject Char"/>
    <w:basedOn w:val="CommentTextChar"/>
    <w:link w:val="CommentSubject"/>
    <w:uiPriority w:val="99"/>
    <w:semiHidden/>
    <w:rsid w:val="00775AD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167187"/>
    <w:rPr>
      <w:color w:val="800080" w:themeColor="followedHyperlink"/>
      <w:u w:val="single"/>
    </w:rPr>
  </w:style>
  <w:style w:type="paragraph" w:styleId="Revision">
    <w:name w:val="Revision"/>
    <w:hidden/>
    <w:uiPriority w:val="99"/>
    <w:semiHidden/>
    <w:rsid w:val="00D332A8"/>
    <w:pPr>
      <w:spacing w:after="0" w:line="240" w:lineRule="auto"/>
    </w:pPr>
    <w:rPr>
      <w:rFonts w:ascii="Arial" w:eastAsia="Calibri" w:hAnsi="Arial" w:cs="Times New Roman"/>
      <w:sz w:val="20"/>
    </w:rPr>
  </w:style>
  <w:style w:type="paragraph" w:styleId="FootnoteText">
    <w:name w:val="footnote text"/>
    <w:basedOn w:val="Normal"/>
    <w:link w:val="FootnoteTextChar"/>
    <w:uiPriority w:val="99"/>
    <w:semiHidden/>
    <w:unhideWhenUsed/>
    <w:rsid w:val="00AB47AB"/>
    <w:pPr>
      <w:spacing w:after="0" w:line="240" w:lineRule="auto"/>
    </w:pPr>
    <w:rPr>
      <w:szCs w:val="20"/>
    </w:rPr>
  </w:style>
  <w:style w:type="character" w:customStyle="1" w:styleId="FootnoteTextChar">
    <w:name w:val="Footnote Text Char"/>
    <w:basedOn w:val="DefaultParagraphFont"/>
    <w:link w:val="FootnoteText"/>
    <w:uiPriority w:val="99"/>
    <w:semiHidden/>
    <w:rsid w:val="00AB47AB"/>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AB47AB"/>
    <w:rPr>
      <w:vertAlign w:val="superscript"/>
    </w:rPr>
  </w:style>
  <w:style w:type="paragraph" w:styleId="EndnoteText">
    <w:name w:val="endnote text"/>
    <w:basedOn w:val="Normal"/>
    <w:link w:val="EndnoteTextChar"/>
    <w:uiPriority w:val="99"/>
    <w:semiHidden/>
    <w:unhideWhenUsed/>
    <w:rsid w:val="00AB47AB"/>
    <w:pPr>
      <w:spacing w:after="0" w:line="240" w:lineRule="auto"/>
    </w:pPr>
    <w:rPr>
      <w:szCs w:val="20"/>
    </w:rPr>
  </w:style>
  <w:style w:type="character" w:customStyle="1" w:styleId="EndnoteTextChar">
    <w:name w:val="Endnote Text Char"/>
    <w:basedOn w:val="DefaultParagraphFont"/>
    <w:link w:val="EndnoteText"/>
    <w:uiPriority w:val="99"/>
    <w:semiHidden/>
    <w:rsid w:val="00AB47AB"/>
    <w:rPr>
      <w:rFonts w:ascii="Arial" w:eastAsia="Calibri" w:hAnsi="Arial" w:cs="Times New Roman"/>
      <w:sz w:val="20"/>
      <w:szCs w:val="20"/>
    </w:rPr>
  </w:style>
  <w:style w:type="character" w:styleId="EndnoteReference">
    <w:name w:val="endnote reference"/>
    <w:basedOn w:val="DefaultParagraphFont"/>
    <w:uiPriority w:val="99"/>
    <w:semiHidden/>
    <w:unhideWhenUsed/>
    <w:rsid w:val="00AB47AB"/>
    <w:rPr>
      <w:vertAlign w:val="superscript"/>
    </w:rPr>
  </w:style>
  <w:style w:type="character" w:styleId="UnresolvedMention">
    <w:name w:val="Unresolved Mention"/>
    <w:basedOn w:val="DefaultParagraphFont"/>
    <w:uiPriority w:val="99"/>
    <w:semiHidden/>
    <w:unhideWhenUsed/>
    <w:rsid w:val="00DD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35657">
      <w:bodyDiv w:val="1"/>
      <w:marLeft w:val="0"/>
      <w:marRight w:val="0"/>
      <w:marTop w:val="0"/>
      <w:marBottom w:val="0"/>
      <w:divBdr>
        <w:top w:val="none" w:sz="0" w:space="0" w:color="auto"/>
        <w:left w:val="none" w:sz="0" w:space="0" w:color="auto"/>
        <w:bottom w:val="none" w:sz="0" w:space="0" w:color="auto"/>
        <w:right w:val="none" w:sz="0" w:space="0" w:color="auto"/>
      </w:divBdr>
    </w:div>
    <w:div w:id="16870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pg.org.uk/" TargetMode="External"/><Relationship Id="rId13" Type="http://schemas.openxmlformats.org/officeDocument/2006/relationships/hyperlink" Target="https://www.rcpch.ac.uk/resources/uk-who-growth-charts-2-18-years" TargetMode="External"/><Relationship Id="rId18" Type="http://schemas.openxmlformats.org/officeDocument/2006/relationships/hyperlink" Target="http://www.medicinescomplet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hn.health.nsw.gov.au/_policies/pdf/2013-7034.pdf" TargetMode="External"/><Relationship Id="rId7" Type="http://schemas.openxmlformats.org/officeDocument/2006/relationships/endnotes" Target="endnotes.xml"/><Relationship Id="rId12" Type="http://schemas.openxmlformats.org/officeDocument/2006/relationships/hyperlink" Target="http://www.stampscreeningtool.org/data/pdfs/stamp_tool.pdf" TargetMode="External"/><Relationship Id="rId17" Type="http://schemas.openxmlformats.org/officeDocument/2006/relationships/hyperlink" Target="https://digital.nhs.uk/data-and-information/publications/statistical/national-child-measurement-programme/2019-20-school-year/other-data-sour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guidance/cg189" TargetMode="External"/><Relationship Id="rId20" Type="http://schemas.openxmlformats.org/officeDocument/2006/relationships/hyperlink" Target="https://stampscreeningtoo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ch.ac.uk/resources/uk-who-growth-charts-2-18-years" TargetMode="External"/><Relationship Id="rId24" Type="http://schemas.openxmlformats.org/officeDocument/2006/relationships/hyperlink" Target="https://www.medicines.org.uk/emc/product/386" TargetMode="External"/><Relationship Id="rId5" Type="http://schemas.openxmlformats.org/officeDocument/2006/relationships/webSettings" Target="webSettings.xml"/><Relationship Id="rId15" Type="http://schemas.openxmlformats.org/officeDocument/2006/relationships/hyperlink" Target="http://www.stampscreeningtool.org/data/pdfs/stamp_tool.pdf" TargetMode="External"/><Relationship Id="rId23" Type="http://schemas.openxmlformats.org/officeDocument/2006/relationships/hyperlink" Target="https://www.scottishintensivecare.org.uk/uploads/2014-07-24-19-55-33-Drugdosingatextremesofbod-45662.pdf" TargetMode="External"/><Relationship Id="rId28" Type="http://schemas.openxmlformats.org/officeDocument/2006/relationships/theme" Target="theme/theme1.xml"/><Relationship Id="rId10" Type="http://schemas.openxmlformats.org/officeDocument/2006/relationships/hyperlink" Target="https://www.rcpch.ac.uk/resources/body-mass-index-bmi-chart" TargetMode="External"/><Relationship Id="rId19" Type="http://schemas.openxmlformats.org/officeDocument/2006/relationships/hyperlink" Target="https://www.sps.nhs.uk" TargetMode="Externa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https://www.rcpch.ac.uk/resources/uk-who-growth-charts-2-18-years" TargetMode="External"/><Relationship Id="rId22" Type="http://schemas.openxmlformats.org/officeDocument/2006/relationships/hyperlink" Target="http://www.MedicinesLearningPortal.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DFB1-9465-48C7-B0F4-0DA19B97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Mckie, Joshua</dc:creator>
  <cp:lastModifiedBy>Gail Woodland (Cardiff and Vale UHB - Pharmacy )</cp:lastModifiedBy>
  <cp:revision>3</cp:revision>
  <cp:lastPrinted>2020-06-06T08:29:00Z</cp:lastPrinted>
  <dcterms:created xsi:type="dcterms:W3CDTF">2021-05-28T08:57:00Z</dcterms:created>
  <dcterms:modified xsi:type="dcterms:W3CDTF">2021-05-28T08:57:00Z</dcterms:modified>
</cp:coreProperties>
</file>