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FA" w:rsidRPr="002827B6" w:rsidRDefault="008842FA" w:rsidP="00B05172">
      <w:pPr>
        <w:pStyle w:val="Default"/>
        <w:jc w:val="center"/>
        <w:rPr>
          <w:color w:val="4F81BD"/>
        </w:rPr>
      </w:pPr>
      <w:r w:rsidRPr="002827B6">
        <w:rPr>
          <w:b/>
          <w:bCs/>
          <w:color w:val="4F81BD"/>
          <w:sz w:val="28"/>
          <w:szCs w:val="28"/>
        </w:rPr>
        <w:t>What factors should be considered when using</w:t>
      </w:r>
      <w:r w:rsidR="006C0BDC" w:rsidRPr="002827B6">
        <w:rPr>
          <w:b/>
          <w:bCs/>
          <w:color w:val="4F81BD"/>
          <w:sz w:val="28"/>
          <w:szCs w:val="28"/>
        </w:rPr>
        <w:t xml:space="preserve"> low molecular weight heparin (</w:t>
      </w:r>
      <w:r w:rsidRPr="002827B6">
        <w:rPr>
          <w:b/>
          <w:bCs/>
          <w:color w:val="4F81BD"/>
          <w:sz w:val="28"/>
          <w:szCs w:val="28"/>
        </w:rPr>
        <w:t>LMWH</w:t>
      </w:r>
      <w:r w:rsidR="006C0BDC" w:rsidRPr="002827B6">
        <w:rPr>
          <w:b/>
          <w:bCs/>
          <w:color w:val="4F81BD"/>
          <w:sz w:val="28"/>
          <w:szCs w:val="28"/>
        </w:rPr>
        <w:t>)</w:t>
      </w:r>
      <w:r w:rsidRPr="002827B6">
        <w:rPr>
          <w:b/>
          <w:bCs/>
          <w:color w:val="4F81BD"/>
          <w:sz w:val="28"/>
          <w:szCs w:val="28"/>
        </w:rPr>
        <w:t xml:space="preserve"> to treat venous thromboembolism in patients with high body weight?</w:t>
      </w:r>
    </w:p>
    <w:p w:rsidR="008842FA" w:rsidRPr="002827B6" w:rsidRDefault="008842FA" w:rsidP="00B05172">
      <w:pPr>
        <w:pStyle w:val="Default"/>
        <w:jc w:val="center"/>
        <w:rPr>
          <w:color w:val="4F81BD"/>
          <w:lang w:val="en-US"/>
        </w:rPr>
      </w:pPr>
    </w:p>
    <w:p w:rsidR="00D02C41" w:rsidRPr="002827B6" w:rsidRDefault="00D02C41" w:rsidP="008842FA">
      <w:pPr>
        <w:pStyle w:val="NoSpacing"/>
        <w:jc w:val="center"/>
        <w:rPr>
          <w:rFonts w:cs="Arial"/>
          <w:szCs w:val="20"/>
          <w:lang w:val="en-US"/>
        </w:rPr>
      </w:pPr>
      <w:r w:rsidRPr="002827B6">
        <w:rPr>
          <w:rFonts w:cs="Arial"/>
          <w:lang w:val="en-US"/>
        </w:rPr>
        <w:br/>
      </w:r>
      <w:r w:rsidRPr="002827B6">
        <w:rPr>
          <w:rFonts w:cs="Arial"/>
          <w:szCs w:val="20"/>
          <w:lang w:val="en-US"/>
        </w:rPr>
        <w:t>Prepared by UK Medicines Information (</w:t>
      </w:r>
      <w:proofErr w:type="spellStart"/>
      <w:r w:rsidR="00456093" w:rsidRPr="002827B6">
        <w:rPr>
          <w:rFonts w:cs="Arial"/>
          <w:szCs w:val="20"/>
          <w:lang w:val="en-US"/>
        </w:rPr>
        <w:fldChar w:fldCharType="begin"/>
      </w:r>
      <w:r w:rsidRPr="002827B6">
        <w:rPr>
          <w:rFonts w:cs="Arial"/>
          <w:szCs w:val="20"/>
          <w:lang w:val="en-US"/>
        </w:rPr>
        <w:instrText xml:space="preserve"> HYPERLINK "http://www.ukmi.nhs.uk/ukmi/about/default.asp?pageRef=1" </w:instrText>
      </w:r>
      <w:r w:rsidR="00456093" w:rsidRPr="002827B6">
        <w:rPr>
          <w:rFonts w:cs="Arial"/>
          <w:szCs w:val="20"/>
          <w:lang w:val="en-US"/>
        </w:rPr>
        <w:fldChar w:fldCharType="separate"/>
      </w:r>
      <w:r w:rsidRPr="002827B6">
        <w:rPr>
          <w:rFonts w:cs="Arial"/>
          <w:color w:val="0000FF"/>
          <w:szCs w:val="20"/>
          <w:u w:val="single"/>
          <w:lang w:val="en-US"/>
        </w:rPr>
        <w:t>UKMi</w:t>
      </w:r>
      <w:proofErr w:type="spellEnd"/>
      <w:r w:rsidR="00456093" w:rsidRPr="002827B6">
        <w:rPr>
          <w:rFonts w:cs="Arial"/>
          <w:szCs w:val="20"/>
          <w:lang w:val="en-US"/>
        </w:rPr>
        <w:fldChar w:fldCharType="end"/>
      </w:r>
      <w:r w:rsidRPr="002827B6">
        <w:rPr>
          <w:rFonts w:cs="Arial"/>
          <w:szCs w:val="20"/>
          <w:lang w:val="en-US"/>
        </w:rPr>
        <w:t>) pharmacists for NHS healthcare professionals</w:t>
      </w:r>
    </w:p>
    <w:p w:rsidR="00D02C41" w:rsidRPr="002827B6" w:rsidRDefault="00D02C41" w:rsidP="00D02C41">
      <w:pPr>
        <w:pStyle w:val="NoSpacing"/>
        <w:jc w:val="center"/>
        <w:rPr>
          <w:rFonts w:eastAsia="Times New Roman" w:cs="Arial"/>
          <w:szCs w:val="20"/>
          <w:lang w:val="en-US"/>
        </w:rPr>
      </w:pPr>
      <w:r w:rsidRPr="002827B6">
        <w:rPr>
          <w:rFonts w:cs="Arial"/>
          <w:szCs w:val="20"/>
        </w:rPr>
        <w:t xml:space="preserve">Before using this Q&amp;A, read the disclaimer at </w:t>
      </w:r>
      <w:hyperlink r:id="rId8" w:history="1">
        <w:r w:rsidRPr="002827B6">
          <w:rPr>
            <w:rStyle w:val="Hyperlink"/>
            <w:rFonts w:cs="Arial"/>
            <w:i/>
            <w:iCs/>
            <w:sz w:val="18"/>
            <w:szCs w:val="18"/>
          </w:rPr>
          <w:t>https://www.sps.nhs.uk/articles/about-ukmi-medicines-qas/</w:t>
        </w:r>
      </w:hyperlink>
    </w:p>
    <w:p w:rsidR="00D02C41" w:rsidRPr="002827B6" w:rsidRDefault="00D02C41" w:rsidP="00D02C41">
      <w:pPr>
        <w:pStyle w:val="NoSpacing"/>
        <w:jc w:val="center"/>
        <w:rPr>
          <w:rFonts w:cs="Arial"/>
          <w:szCs w:val="20"/>
          <w:lang w:val="en-US"/>
        </w:rPr>
      </w:pPr>
      <w:r w:rsidRPr="002827B6">
        <w:rPr>
          <w:rFonts w:cs="Arial"/>
          <w:szCs w:val="20"/>
          <w:lang w:val="en-US"/>
        </w:rPr>
        <w:t xml:space="preserve">Date prepared: </w:t>
      </w:r>
      <w:r w:rsidR="008842FA" w:rsidRPr="002827B6">
        <w:rPr>
          <w:rFonts w:cs="Arial"/>
          <w:szCs w:val="20"/>
          <w:lang w:val="en-US"/>
        </w:rPr>
        <w:t>June 2020</w:t>
      </w:r>
    </w:p>
    <w:p w:rsidR="00D02C41" w:rsidRPr="002827B6" w:rsidRDefault="00D02C41" w:rsidP="00D02C41">
      <w:pPr>
        <w:spacing w:after="0" w:line="240" w:lineRule="auto"/>
        <w:rPr>
          <w:rFonts w:eastAsia="Times New Roman" w:cs="Arial"/>
          <w:szCs w:val="20"/>
          <w:lang w:val="en-US"/>
        </w:rPr>
      </w:pPr>
      <w:r w:rsidRPr="002827B6">
        <w:rPr>
          <w:rFonts w:eastAsia="Times New Roman" w:cs="Arial"/>
          <w:szCs w:val="20"/>
          <w:lang w:val="en-US"/>
        </w:rPr>
        <w:t xml:space="preserve"> </w:t>
      </w:r>
    </w:p>
    <w:p w:rsidR="00E17FC0" w:rsidRPr="002827B6" w:rsidRDefault="00D02C41" w:rsidP="00B05172">
      <w:pPr>
        <w:pStyle w:val="Heading2"/>
        <w:spacing w:line="276" w:lineRule="auto"/>
        <w:rPr>
          <w:rFonts w:cs="Arial"/>
        </w:rPr>
      </w:pPr>
      <w:r w:rsidRPr="002827B6">
        <w:rPr>
          <w:rFonts w:cs="Arial"/>
        </w:rPr>
        <w:t>Background</w:t>
      </w:r>
    </w:p>
    <w:p w:rsidR="008B2FB3" w:rsidRPr="002827B6" w:rsidRDefault="006C0BDC" w:rsidP="00B051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rPr>
          <w:rFonts w:cs="Arial"/>
          <w:bCs/>
          <w:szCs w:val="20"/>
          <w:lang w:eastAsia="en-GB"/>
        </w:rPr>
      </w:pPr>
      <w:r w:rsidRPr="002827B6">
        <w:rPr>
          <w:rFonts w:cs="Arial"/>
          <w:bCs/>
          <w:szCs w:val="20"/>
          <w:lang w:eastAsia="en-GB"/>
        </w:rPr>
        <w:t xml:space="preserve">It is important to ensure that the correct dose of a low molecular weight heparin (LMWH) is used for the treatment of venous thromboembolism (VTE); both under and overdosing can be associated with serious adverse outcomes. </w:t>
      </w:r>
      <w:r w:rsidR="00CB65D8" w:rsidRPr="002827B6">
        <w:rPr>
          <w:rFonts w:cs="Arial"/>
          <w:bCs/>
          <w:szCs w:val="20"/>
          <w:lang w:eastAsia="en-GB"/>
        </w:rPr>
        <w:t>Patients of high body weight have been hugely under-represented in clinical trials and, therefore, the optimal dosing of</w:t>
      </w:r>
      <w:r w:rsidRPr="002827B6">
        <w:rPr>
          <w:rFonts w:cs="Arial"/>
          <w:bCs/>
          <w:szCs w:val="20"/>
          <w:lang w:eastAsia="en-GB"/>
        </w:rPr>
        <w:t xml:space="preserve"> a</w:t>
      </w:r>
      <w:r w:rsidR="00CB65D8" w:rsidRPr="002827B6">
        <w:rPr>
          <w:rFonts w:cs="Arial"/>
          <w:bCs/>
          <w:szCs w:val="20"/>
          <w:lang w:eastAsia="en-GB"/>
        </w:rPr>
        <w:t xml:space="preserve"> </w:t>
      </w:r>
      <w:r w:rsidR="009D6BE5" w:rsidRPr="002827B6">
        <w:rPr>
          <w:rFonts w:cs="Arial"/>
          <w:bCs/>
          <w:szCs w:val="20"/>
          <w:lang w:eastAsia="en-GB"/>
        </w:rPr>
        <w:t>LMWH with respect to</w:t>
      </w:r>
      <w:r w:rsidR="00CB65D8" w:rsidRPr="002827B6">
        <w:rPr>
          <w:rFonts w:cs="Arial"/>
          <w:bCs/>
          <w:szCs w:val="20"/>
          <w:lang w:eastAsia="en-GB"/>
        </w:rPr>
        <w:t xml:space="preserve"> both safety and efficacy in this subgroup remains unknown.</w:t>
      </w:r>
      <w:r w:rsidRPr="002827B6">
        <w:rPr>
          <w:rFonts w:cs="Arial"/>
          <w:bCs/>
          <w:szCs w:val="20"/>
          <w:lang w:eastAsia="en-GB"/>
        </w:rPr>
        <w:t xml:space="preserve"> </w:t>
      </w:r>
    </w:p>
    <w:p w:rsidR="00601FC6" w:rsidRPr="002827B6" w:rsidRDefault="00601FC6" w:rsidP="0060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240" w:lineRule="auto"/>
        <w:rPr>
          <w:rFonts w:cs="Arial"/>
          <w:bCs/>
          <w:szCs w:val="20"/>
          <w:lang w:eastAsia="en-GB"/>
        </w:rPr>
      </w:pPr>
    </w:p>
    <w:p w:rsidR="003056EA" w:rsidRPr="002827B6" w:rsidRDefault="002D4711" w:rsidP="00601FC6">
      <w:pPr>
        <w:spacing w:after="0"/>
        <w:rPr>
          <w:rFonts w:cs="Arial"/>
          <w:szCs w:val="20"/>
          <w:lang w:eastAsia="en-GB"/>
        </w:rPr>
      </w:pPr>
      <w:r w:rsidRPr="002827B6">
        <w:rPr>
          <w:rFonts w:cs="Arial"/>
          <w:szCs w:val="20"/>
          <w:lang w:val="en-US"/>
        </w:rPr>
        <w:t xml:space="preserve">The </w:t>
      </w:r>
      <w:r w:rsidR="00203926" w:rsidRPr="002827B6">
        <w:rPr>
          <w:rFonts w:cs="Arial"/>
          <w:szCs w:val="20"/>
          <w:lang w:val="en-US"/>
        </w:rPr>
        <w:t xml:space="preserve">Summary </w:t>
      </w:r>
      <w:r w:rsidRPr="002827B6">
        <w:rPr>
          <w:rFonts w:cs="Arial"/>
          <w:szCs w:val="20"/>
          <w:lang w:val="en-US"/>
        </w:rPr>
        <w:t xml:space="preserve">of </w:t>
      </w:r>
      <w:r w:rsidR="00203926" w:rsidRPr="002827B6">
        <w:rPr>
          <w:rFonts w:cs="Arial"/>
          <w:szCs w:val="20"/>
          <w:lang w:val="en-US"/>
        </w:rPr>
        <w:t>P</w:t>
      </w:r>
      <w:r w:rsidRPr="002827B6">
        <w:rPr>
          <w:rFonts w:cs="Arial"/>
          <w:szCs w:val="20"/>
          <w:lang w:val="en-US"/>
        </w:rPr>
        <w:t>roduct Characteristics (SPC) for the LMWHs enoxaparin, dalteparin and tinzaparin state that the treatment dose for VTE should be based on the patient’s weight</w:t>
      </w:r>
      <w:r w:rsidR="00A92709" w:rsidRPr="002827B6">
        <w:rPr>
          <w:rFonts w:cs="Arial"/>
          <w:szCs w:val="20"/>
          <w:lang w:val="en-US"/>
        </w:rPr>
        <w:t>. The SPCs for enoxaparin and tinzaparin do not make a recommen</w:t>
      </w:r>
      <w:r w:rsidR="00D72694" w:rsidRPr="002827B6">
        <w:rPr>
          <w:rFonts w:cs="Arial"/>
          <w:szCs w:val="20"/>
          <w:lang w:val="en-US"/>
        </w:rPr>
        <w:t>dation on dose capping (1,2) however</w:t>
      </w:r>
      <w:r w:rsidR="00A92709" w:rsidRPr="002827B6">
        <w:rPr>
          <w:rFonts w:cs="Arial"/>
          <w:szCs w:val="20"/>
          <w:lang w:val="en-US"/>
        </w:rPr>
        <w:t xml:space="preserve"> the SPC for dalteparin states that the daily dose should be no higher than 18000 units regardless of body weight (3). Enoxaparin can be given at a dose of 1.5 mg/kg once daily or 1 mg/kg twice daily </w:t>
      </w:r>
      <w:r w:rsidR="003056EA" w:rsidRPr="002827B6">
        <w:rPr>
          <w:rFonts w:cs="Arial"/>
          <w:szCs w:val="20"/>
          <w:lang w:val="en-US"/>
        </w:rPr>
        <w:t xml:space="preserve">and the regimen selected should be </w:t>
      </w:r>
      <w:r w:rsidR="003056EA" w:rsidRPr="002827B6">
        <w:rPr>
          <w:rFonts w:cs="Arial"/>
          <w:szCs w:val="20"/>
          <w:lang w:eastAsia="en-GB"/>
        </w:rPr>
        <w:t xml:space="preserve">based on an individual assessment including evaluation of the thromboembolic risk and of the risk of bleeding. For patients with obesity the 1 mg/kg </w:t>
      </w:r>
      <w:r w:rsidR="00295D32" w:rsidRPr="002827B6">
        <w:rPr>
          <w:rFonts w:cs="Arial"/>
          <w:szCs w:val="20"/>
          <w:lang w:eastAsia="en-GB"/>
        </w:rPr>
        <w:t xml:space="preserve">twice daily </w:t>
      </w:r>
      <w:r w:rsidR="003056EA" w:rsidRPr="002827B6">
        <w:rPr>
          <w:rFonts w:cs="Arial"/>
          <w:szCs w:val="20"/>
          <w:lang w:eastAsia="en-GB"/>
        </w:rPr>
        <w:t>dosing strategy is recommended (1). Dalteparin and tinzaparin are</w:t>
      </w:r>
      <w:r w:rsidR="008B2FB3" w:rsidRPr="002827B6">
        <w:rPr>
          <w:rFonts w:cs="Arial"/>
          <w:szCs w:val="20"/>
          <w:lang w:eastAsia="en-GB"/>
        </w:rPr>
        <w:t xml:space="preserve"> administered once daily although</w:t>
      </w:r>
      <w:r w:rsidR="003056EA" w:rsidRPr="002827B6">
        <w:rPr>
          <w:rFonts w:cs="Arial"/>
          <w:szCs w:val="20"/>
          <w:lang w:eastAsia="en-GB"/>
        </w:rPr>
        <w:t xml:space="preserve"> the manufacturer of dalteparin recommends that, for patients with an increased risk of bleeding</w:t>
      </w:r>
      <w:r w:rsidR="00D51F08" w:rsidRPr="002827B6">
        <w:rPr>
          <w:rFonts w:cs="Arial"/>
          <w:szCs w:val="20"/>
          <w:lang w:eastAsia="en-GB"/>
        </w:rPr>
        <w:t>, a dose of 100 IU/kg twice daily should be used (3).</w:t>
      </w:r>
    </w:p>
    <w:p w:rsidR="00601FC6" w:rsidRPr="002827B6" w:rsidRDefault="00601FC6" w:rsidP="00601FC6">
      <w:pPr>
        <w:spacing w:after="0"/>
        <w:rPr>
          <w:rFonts w:cs="Arial"/>
          <w:szCs w:val="20"/>
          <w:lang w:val="en-US"/>
        </w:rPr>
      </w:pPr>
    </w:p>
    <w:p w:rsidR="00E17FC0" w:rsidRPr="002827B6" w:rsidRDefault="002D4711" w:rsidP="00E17FC0">
      <w:pPr>
        <w:rPr>
          <w:rFonts w:cs="Arial"/>
          <w:szCs w:val="20"/>
          <w:lang w:val="en-US"/>
        </w:rPr>
      </w:pPr>
      <w:r w:rsidRPr="002827B6">
        <w:rPr>
          <w:rFonts w:cs="Arial"/>
          <w:szCs w:val="20"/>
          <w:lang w:val="en-US"/>
        </w:rPr>
        <w:t>This Q&amp;A offers guidance on what factors should be considered when calculating a LMWH treatment dose following a VTE in non-pregnant adult patients with a high body weight, defined as more than 120 kg. It focuses on enoxaparin, dalteparin and tinzaparin.</w:t>
      </w:r>
    </w:p>
    <w:p w:rsidR="00B05172" w:rsidRPr="002827B6" w:rsidRDefault="00B05172" w:rsidP="00B05172">
      <w:pPr>
        <w:pStyle w:val="Heading2"/>
        <w:spacing w:line="276" w:lineRule="auto"/>
        <w:rPr>
          <w:rFonts w:cs="Arial"/>
        </w:rPr>
      </w:pPr>
    </w:p>
    <w:p w:rsidR="002D4711" w:rsidRPr="002827B6" w:rsidRDefault="00D02C41" w:rsidP="00B05172">
      <w:pPr>
        <w:pStyle w:val="Heading2"/>
        <w:spacing w:line="276" w:lineRule="auto"/>
        <w:rPr>
          <w:rFonts w:cs="Arial"/>
        </w:rPr>
      </w:pPr>
      <w:r w:rsidRPr="002827B6">
        <w:rPr>
          <w:rFonts w:cs="Arial"/>
        </w:rPr>
        <w:t>Answer</w:t>
      </w:r>
    </w:p>
    <w:p w:rsidR="002D4711" w:rsidRPr="002827B6" w:rsidRDefault="002D4711" w:rsidP="00B05172">
      <w:pPr>
        <w:spacing w:after="0"/>
        <w:rPr>
          <w:rFonts w:cs="Arial"/>
          <w:szCs w:val="20"/>
          <w:lang w:val="en-US"/>
        </w:rPr>
      </w:pPr>
      <w:r w:rsidRPr="002827B6">
        <w:rPr>
          <w:rFonts w:cs="Arial"/>
          <w:szCs w:val="20"/>
          <w:lang w:val="en-US"/>
        </w:rPr>
        <w:t>The factors that should be considered when using a LMWH to treat VTE in high body weight patients include:</w:t>
      </w:r>
    </w:p>
    <w:p w:rsidR="002D4711" w:rsidRPr="002827B6" w:rsidRDefault="00D72694" w:rsidP="00726DFD">
      <w:pPr>
        <w:numPr>
          <w:ilvl w:val="0"/>
          <w:numId w:val="11"/>
        </w:numPr>
        <w:spacing w:after="0"/>
        <w:rPr>
          <w:rFonts w:cs="Arial"/>
          <w:szCs w:val="20"/>
          <w:lang w:val="en-US"/>
        </w:rPr>
      </w:pPr>
      <w:r w:rsidRPr="002827B6">
        <w:rPr>
          <w:rFonts w:cs="Arial"/>
          <w:szCs w:val="20"/>
          <w:lang w:val="en-US"/>
        </w:rPr>
        <w:t xml:space="preserve">What weight measure </w:t>
      </w:r>
      <w:r w:rsidR="002D4711" w:rsidRPr="002827B6">
        <w:rPr>
          <w:rFonts w:cs="Arial"/>
          <w:szCs w:val="20"/>
          <w:lang w:val="en-US"/>
        </w:rPr>
        <w:t>to use when calculating the dose</w:t>
      </w:r>
      <w:r w:rsidR="005A3DE7" w:rsidRPr="002827B6">
        <w:rPr>
          <w:rFonts w:cs="Arial"/>
          <w:szCs w:val="20"/>
          <w:lang w:val="en-US"/>
        </w:rPr>
        <w:t xml:space="preserve"> and w</w:t>
      </w:r>
      <w:r w:rsidR="002D4711" w:rsidRPr="002827B6">
        <w:rPr>
          <w:rFonts w:cs="Arial"/>
          <w:szCs w:val="20"/>
          <w:lang w:val="en-US"/>
        </w:rPr>
        <w:t>hether the dose should be capped</w:t>
      </w:r>
    </w:p>
    <w:p w:rsidR="008B2FB3" w:rsidRPr="002827B6" w:rsidRDefault="008B2FB3" w:rsidP="00726DFD">
      <w:pPr>
        <w:numPr>
          <w:ilvl w:val="0"/>
          <w:numId w:val="11"/>
        </w:numPr>
        <w:spacing w:after="0"/>
        <w:rPr>
          <w:rFonts w:cs="Arial"/>
          <w:szCs w:val="20"/>
          <w:lang w:val="en-US"/>
        </w:rPr>
      </w:pPr>
      <w:r w:rsidRPr="002827B6">
        <w:rPr>
          <w:rFonts w:cs="Arial"/>
          <w:szCs w:val="20"/>
          <w:lang w:val="en-US"/>
        </w:rPr>
        <w:t>The frequency of LMWH dosing</w:t>
      </w:r>
    </w:p>
    <w:p w:rsidR="002D4711" w:rsidRPr="002827B6" w:rsidRDefault="002D4711" w:rsidP="00726DFD">
      <w:pPr>
        <w:numPr>
          <w:ilvl w:val="0"/>
          <w:numId w:val="11"/>
        </w:numPr>
        <w:spacing w:after="0"/>
        <w:rPr>
          <w:rFonts w:cs="Arial"/>
          <w:szCs w:val="20"/>
          <w:lang w:val="en-US"/>
        </w:rPr>
      </w:pPr>
      <w:r w:rsidRPr="002827B6">
        <w:rPr>
          <w:rFonts w:cs="Arial"/>
          <w:szCs w:val="20"/>
          <w:lang w:val="en-US"/>
        </w:rPr>
        <w:t>Monitoring requirements</w:t>
      </w:r>
    </w:p>
    <w:p w:rsidR="004D77EB" w:rsidRPr="002827B6" w:rsidRDefault="004D77EB" w:rsidP="00726DFD">
      <w:pPr>
        <w:numPr>
          <w:ilvl w:val="0"/>
          <w:numId w:val="11"/>
        </w:numPr>
        <w:spacing w:after="0"/>
        <w:rPr>
          <w:rFonts w:cs="Arial"/>
          <w:szCs w:val="20"/>
          <w:lang w:val="en-US"/>
        </w:rPr>
      </w:pPr>
      <w:r w:rsidRPr="002827B6">
        <w:rPr>
          <w:rFonts w:cs="Arial"/>
          <w:szCs w:val="20"/>
          <w:lang w:val="en-US"/>
        </w:rPr>
        <w:t>Alternative dosing strategies</w:t>
      </w:r>
    </w:p>
    <w:p w:rsidR="002D4711" w:rsidRPr="002827B6" w:rsidRDefault="002D4711" w:rsidP="00726DFD">
      <w:pPr>
        <w:numPr>
          <w:ilvl w:val="0"/>
          <w:numId w:val="11"/>
        </w:numPr>
        <w:spacing w:after="0"/>
        <w:rPr>
          <w:rFonts w:cs="Arial"/>
          <w:szCs w:val="20"/>
          <w:lang w:val="en-US"/>
        </w:rPr>
      </w:pPr>
      <w:r w:rsidRPr="002827B6">
        <w:rPr>
          <w:rFonts w:cs="Arial"/>
          <w:szCs w:val="20"/>
          <w:lang w:val="en-US"/>
        </w:rPr>
        <w:t>Practical issues around prescribing and administration</w:t>
      </w:r>
    </w:p>
    <w:p w:rsidR="002D4711" w:rsidRPr="002827B6" w:rsidRDefault="002D4711" w:rsidP="00726DFD">
      <w:pPr>
        <w:spacing w:after="0"/>
        <w:rPr>
          <w:rFonts w:cs="Arial"/>
          <w:lang w:val="en-US"/>
        </w:rPr>
      </w:pPr>
    </w:p>
    <w:p w:rsidR="00915145" w:rsidRPr="002827B6" w:rsidRDefault="00915145" w:rsidP="00726DFD">
      <w:pPr>
        <w:spacing w:after="0"/>
        <w:rPr>
          <w:rFonts w:cs="Arial"/>
          <w:b/>
          <w:color w:val="0070C0"/>
          <w:lang w:val="en-US"/>
        </w:rPr>
      </w:pPr>
      <w:r w:rsidRPr="002827B6">
        <w:rPr>
          <w:rFonts w:cs="Arial"/>
          <w:b/>
          <w:color w:val="4F81BD"/>
          <w:lang w:val="en-US"/>
        </w:rPr>
        <w:t>1.</w:t>
      </w:r>
      <w:r w:rsidRPr="002827B6">
        <w:rPr>
          <w:rFonts w:cs="Arial"/>
          <w:b/>
          <w:color w:val="0070C0"/>
          <w:lang w:val="en-US"/>
        </w:rPr>
        <w:t xml:space="preserve"> </w:t>
      </w:r>
      <w:r w:rsidR="002D4711" w:rsidRPr="002827B6">
        <w:rPr>
          <w:rFonts w:cs="Arial"/>
          <w:b/>
          <w:color w:val="0070C0"/>
          <w:lang w:val="en-US"/>
        </w:rPr>
        <w:t>Total</w:t>
      </w:r>
      <w:r w:rsidRPr="002827B6">
        <w:rPr>
          <w:rFonts w:cs="Arial"/>
          <w:b/>
          <w:color w:val="0070C0"/>
          <w:lang w:val="en-US"/>
        </w:rPr>
        <w:t xml:space="preserve"> body weight or lean body weight</w:t>
      </w:r>
    </w:p>
    <w:p w:rsidR="008B2FB3" w:rsidRPr="002827B6" w:rsidRDefault="008B2FB3" w:rsidP="002910C4">
      <w:pPr>
        <w:spacing w:after="0"/>
        <w:rPr>
          <w:rFonts w:cs="Arial"/>
          <w:b/>
          <w:color w:val="0070C0"/>
          <w:lang w:val="en-US"/>
        </w:rPr>
      </w:pPr>
      <w:r w:rsidRPr="002827B6">
        <w:rPr>
          <w:rFonts w:cs="Arial"/>
          <w:lang w:val="en-US"/>
        </w:rPr>
        <w:t>It is generally accepted that body composition</w:t>
      </w:r>
      <w:r w:rsidR="00135A6F" w:rsidRPr="002827B6">
        <w:rPr>
          <w:rFonts w:cs="Arial"/>
          <w:lang w:val="en-US"/>
        </w:rPr>
        <w:t xml:space="preserve"> has an impact on how individuals handle drugs (4). </w:t>
      </w:r>
    </w:p>
    <w:p w:rsidR="005835BF" w:rsidRPr="002827B6" w:rsidRDefault="00135A6F" w:rsidP="005835BF">
      <w:pPr>
        <w:spacing w:after="0"/>
        <w:rPr>
          <w:rFonts w:cs="Arial"/>
          <w:lang w:val="en-US"/>
        </w:rPr>
      </w:pPr>
      <w:r w:rsidRPr="002827B6">
        <w:rPr>
          <w:rFonts w:cs="Arial"/>
          <w:lang w:val="en-US"/>
        </w:rPr>
        <w:t>In ge</w:t>
      </w:r>
      <w:r w:rsidR="005835BF" w:rsidRPr="002827B6">
        <w:rPr>
          <w:rFonts w:cs="Arial"/>
          <w:lang w:val="en-US"/>
        </w:rPr>
        <w:t>neral terms</w:t>
      </w:r>
      <w:r w:rsidR="00A04AF7">
        <w:rPr>
          <w:rFonts w:cs="Arial"/>
          <w:lang w:val="en-US"/>
        </w:rPr>
        <w:t>,</w:t>
      </w:r>
      <w:r w:rsidR="005835BF" w:rsidRPr="002827B6">
        <w:rPr>
          <w:rFonts w:cs="Arial"/>
          <w:lang w:val="en-US"/>
        </w:rPr>
        <w:t xml:space="preserve"> total body weight (</w:t>
      </w:r>
      <w:r w:rsidRPr="002827B6">
        <w:rPr>
          <w:rFonts w:cs="Arial"/>
          <w:lang w:val="en-US"/>
        </w:rPr>
        <w:t>T</w:t>
      </w:r>
      <w:r w:rsidR="005835BF" w:rsidRPr="002827B6">
        <w:rPr>
          <w:rFonts w:cs="Arial"/>
          <w:lang w:val="en-US"/>
        </w:rPr>
        <w:t>B</w:t>
      </w:r>
      <w:r w:rsidRPr="002827B6">
        <w:rPr>
          <w:rFonts w:cs="Arial"/>
          <w:lang w:val="en-US"/>
        </w:rPr>
        <w:t>W) has been proposed as the best single descriptor for estimating volume of distribution (Vd) and lean body weight (LBW) as a better predictor of drug clearance (5). No single body size descriptor has been universally</w:t>
      </w:r>
      <w:r w:rsidR="00203926" w:rsidRPr="002827B6">
        <w:rPr>
          <w:rFonts w:cs="Arial"/>
          <w:lang w:val="en-US"/>
        </w:rPr>
        <w:t xml:space="preserve"> accepted</w:t>
      </w:r>
      <w:r w:rsidRPr="002827B6">
        <w:rPr>
          <w:rFonts w:cs="Arial"/>
          <w:lang w:val="en-US"/>
        </w:rPr>
        <w:t xml:space="preserve"> for dose adjustment in patients with high body weight and there is conflicting opinion on which descriptor is t</w:t>
      </w:r>
      <w:r w:rsidR="00601FC6" w:rsidRPr="002827B6">
        <w:rPr>
          <w:rFonts w:cs="Arial"/>
          <w:lang w:val="en-US"/>
        </w:rPr>
        <w:t>he most appropriate for dose ca</w:t>
      </w:r>
      <w:r w:rsidRPr="002827B6">
        <w:rPr>
          <w:rFonts w:cs="Arial"/>
          <w:lang w:val="en-US"/>
        </w:rPr>
        <w:t>lculation of LMWHs (5).</w:t>
      </w:r>
    </w:p>
    <w:p w:rsidR="005A3DE7" w:rsidRPr="002827B6" w:rsidRDefault="005A3DE7" w:rsidP="005A3DE7">
      <w:pPr>
        <w:spacing w:after="0"/>
        <w:rPr>
          <w:rFonts w:cs="Arial"/>
          <w:lang w:val="en-US"/>
        </w:rPr>
      </w:pPr>
    </w:p>
    <w:p w:rsidR="00135A6F" w:rsidRPr="002827B6" w:rsidRDefault="00135A6F" w:rsidP="005A3DE7">
      <w:pPr>
        <w:spacing w:after="0"/>
        <w:rPr>
          <w:rFonts w:cs="Arial"/>
          <w:lang w:val="en-US"/>
        </w:rPr>
      </w:pPr>
      <w:r w:rsidRPr="002827B6">
        <w:rPr>
          <w:rFonts w:cs="Arial"/>
          <w:lang w:val="en-US"/>
        </w:rPr>
        <w:lastRenderedPageBreak/>
        <w:t>LMW</w:t>
      </w:r>
      <w:r w:rsidR="00601FC6" w:rsidRPr="002827B6">
        <w:rPr>
          <w:rFonts w:cs="Arial"/>
          <w:lang w:val="en-US"/>
        </w:rPr>
        <w:t>Hs are hydrophilic compounds (6,</w:t>
      </w:r>
      <w:r w:rsidRPr="002827B6">
        <w:rPr>
          <w:rFonts w:cs="Arial"/>
          <w:lang w:val="en-US"/>
        </w:rPr>
        <w:t>7). Their distribution tends to be confined to the intravascular space which is similar to plasma volume (8-10). Patients with high body weight normally have a higher plasma volume than the general population, so it is reasonable to accept that the Vd of LMWHs is increased in this patient population (11). However, this increase is not directly proportional to the TBW (11).</w:t>
      </w:r>
    </w:p>
    <w:p w:rsidR="005A3DE7" w:rsidRPr="002827B6" w:rsidRDefault="005A3DE7" w:rsidP="005A3DE7">
      <w:pPr>
        <w:spacing w:after="0"/>
        <w:rPr>
          <w:rFonts w:cs="Arial"/>
          <w:lang w:val="en-US"/>
        </w:rPr>
      </w:pPr>
    </w:p>
    <w:p w:rsidR="00452E52" w:rsidRPr="002827B6" w:rsidRDefault="00135A6F" w:rsidP="008B2FB3">
      <w:pPr>
        <w:rPr>
          <w:rFonts w:cs="Arial"/>
          <w:lang w:val="en-US"/>
        </w:rPr>
      </w:pPr>
      <w:r w:rsidRPr="002827B6">
        <w:rPr>
          <w:rFonts w:cs="Arial"/>
          <w:lang w:val="en-US"/>
        </w:rPr>
        <w:t xml:space="preserve">Although no robust data exist, most </w:t>
      </w:r>
      <w:r w:rsidR="005835BF" w:rsidRPr="002827B6">
        <w:rPr>
          <w:rFonts w:cs="Arial"/>
          <w:lang w:val="en-US"/>
        </w:rPr>
        <w:t>available evidence suggests that</w:t>
      </w:r>
      <w:r w:rsidRPr="002827B6">
        <w:rPr>
          <w:rFonts w:cs="Arial"/>
          <w:lang w:val="en-US"/>
        </w:rPr>
        <w:t xml:space="preserve"> it is safe to use TBW when calculating treatment doses of LMW</w:t>
      </w:r>
      <w:r w:rsidR="00263D8C" w:rsidRPr="002827B6">
        <w:rPr>
          <w:rFonts w:cs="Arial"/>
          <w:lang w:val="en-US"/>
        </w:rPr>
        <w:t>Hs for high body weight patients, and that dose capping should not be used due to the potential underdosing of very large</w:t>
      </w:r>
      <w:r w:rsidR="00013CF7" w:rsidRPr="002827B6">
        <w:rPr>
          <w:rFonts w:cs="Arial"/>
          <w:lang w:val="en-US"/>
        </w:rPr>
        <w:t xml:space="preserve"> patients</w:t>
      </w:r>
      <w:r w:rsidR="00263D8C" w:rsidRPr="002827B6">
        <w:rPr>
          <w:rFonts w:cs="Arial"/>
          <w:lang w:val="en-US"/>
        </w:rPr>
        <w:t xml:space="preserve"> and the potentially serious consequences of therapeutic failure</w:t>
      </w:r>
      <w:r w:rsidR="00D72694" w:rsidRPr="002827B6">
        <w:rPr>
          <w:rFonts w:cs="Arial"/>
          <w:lang w:val="en-US"/>
        </w:rPr>
        <w:t xml:space="preserve"> (10, 12-14). </w:t>
      </w:r>
      <w:r w:rsidR="00FA3647" w:rsidRPr="002827B6">
        <w:rPr>
          <w:rFonts w:cs="Arial"/>
          <w:lang w:val="en-US"/>
        </w:rPr>
        <w:t>This approach is off-label for dalteparin as</w:t>
      </w:r>
      <w:r w:rsidR="00AA4BCC" w:rsidRPr="002827B6">
        <w:rPr>
          <w:rFonts w:cs="Arial"/>
          <w:lang w:val="en-US"/>
        </w:rPr>
        <w:t xml:space="preserve"> the</w:t>
      </w:r>
      <w:r w:rsidR="00FA3647" w:rsidRPr="002827B6">
        <w:rPr>
          <w:rFonts w:cs="Arial"/>
          <w:lang w:val="en-US"/>
        </w:rPr>
        <w:t xml:space="preserve"> manufacturer recommend</w:t>
      </w:r>
      <w:r w:rsidR="00AA4BCC" w:rsidRPr="002827B6">
        <w:rPr>
          <w:rFonts w:cs="Arial"/>
          <w:lang w:val="en-US"/>
        </w:rPr>
        <w:t>s</w:t>
      </w:r>
      <w:r w:rsidR="00FA3647" w:rsidRPr="002827B6">
        <w:rPr>
          <w:rFonts w:cs="Arial"/>
          <w:lang w:val="en-US"/>
        </w:rPr>
        <w:t xml:space="preserve"> the use of daily doses no higher than 18000 units (3). </w:t>
      </w:r>
      <w:r w:rsidR="00AA4BCC" w:rsidRPr="002827B6">
        <w:rPr>
          <w:rFonts w:cs="Arial"/>
          <w:lang w:val="en-US"/>
        </w:rPr>
        <w:t>Available e</w:t>
      </w:r>
      <w:r w:rsidR="00526245" w:rsidRPr="002827B6">
        <w:rPr>
          <w:rFonts w:cs="Arial"/>
          <w:lang w:val="en-US"/>
        </w:rPr>
        <w:t>vidence is limited to</w:t>
      </w:r>
      <w:r w:rsidR="00FA3647" w:rsidRPr="002827B6">
        <w:rPr>
          <w:rFonts w:cs="Arial"/>
          <w:lang w:val="en-US"/>
        </w:rPr>
        <w:t xml:space="preserve"> patients weighing up to</w:t>
      </w:r>
      <w:r w:rsidR="00526245" w:rsidRPr="002827B6">
        <w:rPr>
          <w:rFonts w:cs="Arial"/>
          <w:lang w:val="en-US"/>
        </w:rPr>
        <w:t xml:space="preserve"> 144 kg for enoxaparin, 190 kg </w:t>
      </w:r>
      <w:r w:rsidR="00FA3647" w:rsidRPr="002827B6">
        <w:rPr>
          <w:rFonts w:cs="Arial"/>
          <w:lang w:val="en-US"/>
        </w:rPr>
        <w:t>for dalteparin and 165 kg for tinzaparin (12,13). A large proportion of the evidence comes from pharmacodynamic studies (1</w:t>
      </w:r>
      <w:r w:rsidR="00452E52" w:rsidRPr="002827B6">
        <w:rPr>
          <w:rFonts w:cs="Arial"/>
          <w:lang w:val="en-US"/>
        </w:rPr>
        <w:t>5-19</w:t>
      </w:r>
      <w:r w:rsidR="00FA3647" w:rsidRPr="002827B6">
        <w:rPr>
          <w:rFonts w:cs="Arial"/>
          <w:lang w:val="en-US"/>
        </w:rPr>
        <w:t xml:space="preserve">). The main limitations of current evidence are the small </w:t>
      </w:r>
      <w:r w:rsidR="00AA4BCC" w:rsidRPr="002827B6">
        <w:rPr>
          <w:rFonts w:cs="Arial"/>
          <w:lang w:val="en-US"/>
        </w:rPr>
        <w:t>sample sizes</w:t>
      </w:r>
      <w:r w:rsidR="00FA3647" w:rsidRPr="002827B6">
        <w:rPr>
          <w:rFonts w:cs="Arial"/>
          <w:lang w:val="en-US"/>
        </w:rPr>
        <w:t xml:space="preserve"> and the use of anti-Xa levels as a surrogate measure of efficacy and safety instead of clinical outcomes such as incidence of bleeding, VTE recurrence or mortality. One</w:t>
      </w:r>
      <w:r w:rsidR="00601FC6" w:rsidRPr="002827B6">
        <w:rPr>
          <w:rFonts w:cs="Arial"/>
          <w:lang w:val="en-US"/>
        </w:rPr>
        <w:t xml:space="preserve"> open-label retrospective study </w:t>
      </w:r>
      <w:r w:rsidR="00FA3647" w:rsidRPr="002827B6">
        <w:rPr>
          <w:rFonts w:cs="Arial"/>
          <w:lang w:val="en-US"/>
        </w:rPr>
        <w:t>including 193 patients investigated the use of TBW for the calculation of VTE treatment doses of dalteparin and used major haemorrhage as</w:t>
      </w:r>
      <w:r w:rsidR="00452E52" w:rsidRPr="002827B6">
        <w:rPr>
          <w:rFonts w:cs="Arial"/>
          <w:lang w:val="en-US"/>
        </w:rPr>
        <w:t xml:space="preserve"> the primary outcome measure (20</w:t>
      </w:r>
      <w:r w:rsidR="00FA3647" w:rsidRPr="002827B6">
        <w:rPr>
          <w:rFonts w:cs="Arial"/>
          <w:lang w:val="en-US"/>
        </w:rPr>
        <w:t>)</w:t>
      </w:r>
      <w:r w:rsidR="00794D8C" w:rsidRPr="002827B6">
        <w:rPr>
          <w:rFonts w:cs="Arial"/>
          <w:lang w:val="en-US"/>
        </w:rPr>
        <w:t>. Despite the limitations of their method, the authors concluded that the bleeding rate associated with TBW dosing in patients with high body weight is comparable to that observ</w:t>
      </w:r>
      <w:r w:rsidR="00601FC6" w:rsidRPr="002827B6">
        <w:rPr>
          <w:rFonts w:cs="Arial"/>
          <w:lang w:val="en-US"/>
        </w:rPr>
        <w:t>ed in other patient groups bein</w:t>
      </w:r>
      <w:r w:rsidR="00794D8C" w:rsidRPr="002827B6">
        <w:rPr>
          <w:rFonts w:cs="Arial"/>
          <w:lang w:val="en-US"/>
        </w:rPr>
        <w:t>g treated with dalteparin.</w:t>
      </w:r>
      <w:r w:rsidR="002F4AEF" w:rsidRPr="002827B6">
        <w:rPr>
          <w:rFonts w:cs="Arial"/>
          <w:lang w:val="en-US"/>
        </w:rPr>
        <w:t xml:space="preserve"> </w:t>
      </w:r>
    </w:p>
    <w:p w:rsidR="00452E52" w:rsidRPr="002827B6" w:rsidRDefault="00452E52" w:rsidP="008B2FB3">
      <w:pPr>
        <w:rPr>
          <w:rFonts w:cs="Arial"/>
          <w:lang w:val="en-US"/>
        </w:rPr>
      </w:pPr>
      <w:r w:rsidRPr="002827B6">
        <w:rPr>
          <w:rFonts w:cs="Arial"/>
          <w:lang w:val="en-US"/>
        </w:rPr>
        <w:t>Although the limited evidence suggests that the use of TBW is safe, it has been proposed by some experts that LBW is a more appropriate parameter to use for the calculation of treatment doses of LMWH in patients with high body weight because TBW does not take into account the clearance rate of these drugs in th</w:t>
      </w:r>
      <w:r w:rsidR="00AA4BCC" w:rsidRPr="002827B6">
        <w:rPr>
          <w:rFonts w:cs="Arial"/>
          <w:lang w:val="en-US"/>
        </w:rPr>
        <w:t>e</w:t>
      </w:r>
      <w:r w:rsidRPr="002827B6">
        <w:rPr>
          <w:rFonts w:cs="Arial"/>
          <w:lang w:val="en-US"/>
        </w:rPr>
        <w:t xml:space="preserve"> patient group (6). The use of LBW for LMWH dose calculation in this patient population has been studied by Green and Duffull (21). They propose complex LBW calculations and twice or thrice daily dosing. This evidence is limited to pharmacodynamic studies using enoxaparin only in patient</w:t>
      </w:r>
      <w:r w:rsidR="00AA4BCC" w:rsidRPr="002827B6">
        <w:rPr>
          <w:rFonts w:cs="Arial"/>
          <w:lang w:val="en-US"/>
        </w:rPr>
        <w:t>s</w:t>
      </w:r>
      <w:r w:rsidRPr="002827B6">
        <w:rPr>
          <w:rFonts w:cs="Arial"/>
          <w:lang w:val="en-US"/>
        </w:rPr>
        <w:t xml:space="preserve"> up to 160 kg (21). A conventional versus individuali</w:t>
      </w:r>
      <w:r w:rsidR="008E43D2" w:rsidRPr="002827B6">
        <w:rPr>
          <w:rFonts w:cs="Arial"/>
          <w:lang w:val="en-US"/>
        </w:rPr>
        <w:t>z</w:t>
      </w:r>
      <w:r w:rsidRPr="002827B6">
        <w:rPr>
          <w:rFonts w:cs="Arial"/>
          <w:lang w:val="en-US"/>
        </w:rPr>
        <w:t>ed dosing regimen was compared in a randomized, controlled, double blind tr</w:t>
      </w:r>
      <w:r w:rsidR="00AA4BCC" w:rsidRPr="002827B6">
        <w:rPr>
          <w:rFonts w:cs="Arial"/>
          <w:lang w:val="en-US"/>
        </w:rPr>
        <w:t>ia</w:t>
      </w:r>
      <w:r w:rsidRPr="002827B6">
        <w:rPr>
          <w:rFonts w:cs="Arial"/>
          <w:lang w:val="en-US"/>
        </w:rPr>
        <w:t>l</w:t>
      </w:r>
      <w:r w:rsidR="008E43D2" w:rsidRPr="002827B6">
        <w:rPr>
          <w:rFonts w:cs="Arial"/>
          <w:lang w:val="en-US"/>
        </w:rPr>
        <w:t xml:space="preserve"> by the same authors</w:t>
      </w:r>
      <w:r w:rsidRPr="002827B6">
        <w:rPr>
          <w:rFonts w:cs="Arial"/>
          <w:lang w:val="en-US"/>
        </w:rPr>
        <w:t xml:space="preserve"> (22). The study included 122 patients, 11 of whom weighed 100 kg or more. Both arms used the same dosing regimen for patients weighing </w:t>
      </w:r>
      <w:r w:rsidR="00AA4BCC" w:rsidRPr="002827B6">
        <w:rPr>
          <w:rFonts w:cs="Arial"/>
          <w:lang w:val="en-US"/>
        </w:rPr>
        <w:t>less than</w:t>
      </w:r>
      <w:r w:rsidRPr="002827B6">
        <w:rPr>
          <w:rFonts w:cs="Arial"/>
          <w:lang w:val="en-US"/>
        </w:rPr>
        <w:t xml:space="preserve"> 100 kg. For patients weighing 100 kg and over, the use of TBW in the conventional arm was compared to the use of LBW. The authors concluded that the use of LBW resulted in a reduction of bleeding and major bruising in their o</w:t>
      </w:r>
      <w:r w:rsidR="00B76B0B" w:rsidRPr="002827B6">
        <w:rPr>
          <w:rFonts w:cs="Arial"/>
          <w:lang w:val="en-US"/>
        </w:rPr>
        <w:t>verall patient sample,</w:t>
      </w:r>
      <w:r w:rsidRPr="002827B6">
        <w:rPr>
          <w:rFonts w:cs="Arial"/>
          <w:lang w:val="en-US"/>
        </w:rPr>
        <w:t xml:space="preserve"> however, specific results for patients with high body weight are difficult to interpret given the small patient numbers.</w:t>
      </w:r>
    </w:p>
    <w:p w:rsidR="00B76B0B" w:rsidRPr="002827B6" w:rsidRDefault="00295CB0" w:rsidP="008B2FB3">
      <w:pPr>
        <w:rPr>
          <w:rFonts w:cs="Arial"/>
          <w:lang w:val="en-US"/>
        </w:rPr>
      </w:pPr>
      <w:r w:rsidRPr="002827B6">
        <w:rPr>
          <w:rFonts w:cs="Arial"/>
          <w:lang w:val="en-US"/>
        </w:rPr>
        <w:t xml:space="preserve">Concerning </w:t>
      </w:r>
      <w:r w:rsidR="00B76B0B" w:rsidRPr="002827B6">
        <w:rPr>
          <w:rFonts w:cs="Arial"/>
          <w:lang w:val="en-US"/>
        </w:rPr>
        <w:t xml:space="preserve">dose capping, </w:t>
      </w:r>
      <w:r w:rsidR="004E5695" w:rsidRPr="002827B6">
        <w:rPr>
          <w:rFonts w:cs="Arial"/>
          <w:lang w:val="en-US"/>
        </w:rPr>
        <w:t>based on the potential overdosing for TBW-based therapeutic LMWH regimens in obese patients, dose capping is often applied in clinical practice (6</w:t>
      </w:r>
      <w:r w:rsidR="006B418F" w:rsidRPr="002827B6">
        <w:rPr>
          <w:rFonts w:cs="Arial"/>
          <w:lang w:val="en-US"/>
        </w:rPr>
        <w:t>,7</w:t>
      </w:r>
      <w:r w:rsidR="004E5695" w:rsidRPr="002827B6">
        <w:rPr>
          <w:rFonts w:cs="Arial"/>
          <w:lang w:val="en-US"/>
        </w:rPr>
        <w:t>).</w:t>
      </w:r>
      <w:r w:rsidR="001C5421" w:rsidRPr="002827B6">
        <w:rPr>
          <w:rFonts w:cs="Arial"/>
          <w:lang w:val="en-US"/>
        </w:rPr>
        <w:t xml:space="preserve"> </w:t>
      </w:r>
      <w:r w:rsidR="004E5695" w:rsidRPr="002827B6">
        <w:rPr>
          <w:rFonts w:cs="Arial"/>
          <w:lang w:val="en-US"/>
        </w:rPr>
        <w:t>However,</w:t>
      </w:r>
      <w:r w:rsidR="001C5421" w:rsidRPr="002827B6">
        <w:rPr>
          <w:rFonts w:cs="Arial"/>
          <w:lang w:val="en-US"/>
        </w:rPr>
        <w:t xml:space="preserve"> a</w:t>
      </w:r>
      <w:r w:rsidR="00B76B0B" w:rsidRPr="002827B6">
        <w:rPr>
          <w:rFonts w:cs="Arial"/>
          <w:lang w:val="en-US"/>
        </w:rPr>
        <w:t xml:space="preserve"> recent</w:t>
      </w:r>
      <w:r w:rsidR="002F4AEF" w:rsidRPr="002827B6">
        <w:rPr>
          <w:rFonts w:cs="Arial"/>
          <w:lang w:val="en-US"/>
        </w:rPr>
        <w:t xml:space="preserve"> review by the </w:t>
      </w:r>
      <w:r w:rsidR="00B9130C" w:rsidRPr="002827B6">
        <w:rPr>
          <w:rFonts w:cs="Arial"/>
          <w:lang w:val="en-US"/>
        </w:rPr>
        <w:t>European Society of Cardiology (</w:t>
      </w:r>
      <w:r w:rsidR="002F4AEF" w:rsidRPr="002827B6">
        <w:rPr>
          <w:rFonts w:cs="Arial"/>
          <w:lang w:val="en-US"/>
        </w:rPr>
        <w:t>ESC</w:t>
      </w:r>
      <w:r w:rsidR="00B9130C" w:rsidRPr="002827B6">
        <w:rPr>
          <w:rFonts w:cs="Arial"/>
          <w:lang w:val="en-US"/>
        </w:rPr>
        <w:t>)</w:t>
      </w:r>
      <w:r w:rsidR="002F4AEF" w:rsidRPr="002827B6">
        <w:rPr>
          <w:rFonts w:cs="Arial"/>
          <w:lang w:val="en-US"/>
        </w:rPr>
        <w:t xml:space="preserve"> Working Group on Thrombosis on antithrombotic therapy an</w:t>
      </w:r>
      <w:r w:rsidR="00EA4422" w:rsidRPr="002827B6">
        <w:rPr>
          <w:rFonts w:cs="Arial"/>
          <w:lang w:val="en-US"/>
        </w:rPr>
        <w:t>d body mass concluded that, with enoxaparin, there</w:t>
      </w:r>
      <w:r w:rsidR="002F4AEF" w:rsidRPr="002827B6">
        <w:rPr>
          <w:rFonts w:cs="Arial"/>
          <w:lang w:val="en-US"/>
        </w:rPr>
        <w:t xml:space="preserve"> is insufficient evidence that dose capping results in improved safety or efficacy compared with a TBW dosing regimen without capping in class 2 obesity (35-39.9 kg/m2) and recommend against dose capping</w:t>
      </w:r>
      <w:r w:rsidR="00B76B0B" w:rsidRPr="002827B6">
        <w:rPr>
          <w:rFonts w:cs="Arial"/>
          <w:lang w:val="en-US"/>
        </w:rPr>
        <w:t xml:space="preserve"> (23</w:t>
      </w:r>
      <w:r w:rsidR="00F8233F" w:rsidRPr="002827B6">
        <w:rPr>
          <w:rFonts w:cs="Arial"/>
          <w:lang w:val="en-US"/>
        </w:rPr>
        <w:t>)</w:t>
      </w:r>
      <w:r w:rsidR="002F4AEF" w:rsidRPr="002827B6">
        <w:rPr>
          <w:rFonts w:cs="Arial"/>
          <w:lang w:val="en-US"/>
        </w:rPr>
        <w:t xml:space="preserve">. </w:t>
      </w:r>
      <w:r w:rsidR="00F8233F" w:rsidRPr="002827B6">
        <w:rPr>
          <w:rFonts w:cs="Arial"/>
          <w:lang w:val="en-US"/>
        </w:rPr>
        <w:t xml:space="preserve">In class 3 obesity (&gt;40 kg/m2) there is more </w:t>
      </w:r>
      <w:r w:rsidR="00AA4BCC" w:rsidRPr="002827B6">
        <w:rPr>
          <w:rFonts w:cs="Arial"/>
          <w:lang w:val="en-US"/>
        </w:rPr>
        <w:t xml:space="preserve">uncertainty </w:t>
      </w:r>
      <w:r w:rsidR="00F8233F" w:rsidRPr="002827B6">
        <w:rPr>
          <w:rFonts w:cs="Arial"/>
          <w:lang w:val="en-US"/>
        </w:rPr>
        <w:t xml:space="preserve">regarding dose capping and the ESC </w:t>
      </w:r>
      <w:r w:rsidR="00B9130C" w:rsidRPr="002827B6">
        <w:rPr>
          <w:rFonts w:cs="Arial"/>
          <w:lang w:val="en-US"/>
        </w:rPr>
        <w:t>W</w:t>
      </w:r>
      <w:r w:rsidR="00F8233F" w:rsidRPr="002827B6">
        <w:rPr>
          <w:rFonts w:cs="Arial"/>
          <w:lang w:val="en-US"/>
        </w:rPr>
        <w:t xml:space="preserve">orking </w:t>
      </w:r>
      <w:r w:rsidR="00B9130C" w:rsidRPr="002827B6">
        <w:rPr>
          <w:rFonts w:cs="Arial"/>
          <w:lang w:val="en-US"/>
        </w:rPr>
        <w:t>G</w:t>
      </w:r>
      <w:r w:rsidR="00F8233F" w:rsidRPr="002827B6">
        <w:rPr>
          <w:rFonts w:cs="Arial"/>
          <w:lang w:val="en-US"/>
        </w:rPr>
        <w:t xml:space="preserve">roup on </w:t>
      </w:r>
      <w:r w:rsidR="00B9130C" w:rsidRPr="002827B6">
        <w:rPr>
          <w:rFonts w:cs="Arial"/>
          <w:lang w:val="en-US"/>
        </w:rPr>
        <w:t>T</w:t>
      </w:r>
      <w:r w:rsidR="00F8233F" w:rsidRPr="002827B6">
        <w:rPr>
          <w:rFonts w:cs="Arial"/>
          <w:lang w:val="en-US"/>
        </w:rPr>
        <w:t>hrombosis advocate anti-Xa monitor</w:t>
      </w:r>
      <w:r w:rsidR="00B76B0B" w:rsidRPr="002827B6">
        <w:rPr>
          <w:rFonts w:cs="Arial"/>
          <w:lang w:val="en-US"/>
        </w:rPr>
        <w:t xml:space="preserve">ing in this group (23). </w:t>
      </w:r>
    </w:p>
    <w:p w:rsidR="005848E6" w:rsidRPr="002827B6" w:rsidRDefault="005848E6" w:rsidP="008B2FB3">
      <w:pPr>
        <w:rPr>
          <w:rFonts w:cs="Arial"/>
          <w:lang w:val="en-US"/>
        </w:rPr>
      </w:pPr>
      <w:r w:rsidRPr="002827B6">
        <w:rPr>
          <w:rFonts w:cs="Arial"/>
          <w:lang w:val="en-US"/>
        </w:rPr>
        <w:t>In summary, it is accepted that both TBW and LBW can be used for dose calculation of LMWH in patients with high body weight</w:t>
      </w:r>
      <w:r w:rsidR="00AA4BCC" w:rsidRPr="002827B6">
        <w:rPr>
          <w:rFonts w:cs="Arial"/>
          <w:lang w:val="en-US"/>
        </w:rPr>
        <w:t>. T</w:t>
      </w:r>
      <w:r w:rsidRPr="002827B6">
        <w:rPr>
          <w:rFonts w:cs="Arial"/>
          <w:lang w:val="en-US"/>
        </w:rPr>
        <w:t xml:space="preserve">he use of TBW involves administration of large doses of LMWH whereas the use of LBW involves complex dose calculations. Evidence </w:t>
      </w:r>
      <w:r w:rsidR="00AA4BCC" w:rsidRPr="002827B6">
        <w:rPr>
          <w:rFonts w:cs="Arial"/>
          <w:lang w:val="en-US"/>
        </w:rPr>
        <w:t>for each approach</w:t>
      </w:r>
      <w:r w:rsidRPr="002827B6">
        <w:rPr>
          <w:rFonts w:cs="Arial"/>
          <w:lang w:val="en-US"/>
        </w:rPr>
        <w:t xml:space="preserve"> remain</w:t>
      </w:r>
      <w:r w:rsidR="005835BF" w:rsidRPr="002827B6">
        <w:rPr>
          <w:rFonts w:cs="Arial"/>
          <w:lang w:val="en-US"/>
        </w:rPr>
        <w:t>s</w:t>
      </w:r>
      <w:r w:rsidR="00CD2D9D" w:rsidRPr="002827B6">
        <w:rPr>
          <w:rFonts w:cs="Arial"/>
          <w:lang w:val="en-US"/>
        </w:rPr>
        <w:t xml:space="preserve"> </w:t>
      </w:r>
      <w:r w:rsidR="00AA4BCC" w:rsidRPr="002827B6">
        <w:rPr>
          <w:rFonts w:cs="Arial"/>
          <w:lang w:val="en-US"/>
        </w:rPr>
        <w:t>scarce</w:t>
      </w:r>
      <w:r w:rsidR="001C5421" w:rsidRPr="002827B6">
        <w:rPr>
          <w:rFonts w:cs="Arial"/>
          <w:lang w:val="en-US"/>
        </w:rPr>
        <w:t xml:space="preserve">. </w:t>
      </w:r>
      <w:r w:rsidR="006B418F" w:rsidRPr="002827B6">
        <w:rPr>
          <w:rFonts w:cs="Arial"/>
          <w:lang w:val="en-US"/>
        </w:rPr>
        <w:t xml:space="preserve">Generally, dose capping is not recommended but </w:t>
      </w:r>
      <w:r w:rsidR="001C5421" w:rsidRPr="002827B6">
        <w:rPr>
          <w:rFonts w:cs="Arial"/>
          <w:lang w:val="en-US"/>
        </w:rPr>
        <w:t xml:space="preserve">often occurs in clinical practice </w:t>
      </w:r>
      <w:r w:rsidR="00CD2D9D" w:rsidRPr="002827B6">
        <w:rPr>
          <w:rFonts w:cs="Arial"/>
          <w:lang w:val="en-US"/>
        </w:rPr>
        <w:t xml:space="preserve">due to the potential </w:t>
      </w:r>
      <w:r w:rsidR="00AA4BCC" w:rsidRPr="002827B6">
        <w:rPr>
          <w:rFonts w:cs="Arial"/>
          <w:lang w:val="en-US"/>
        </w:rPr>
        <w:t>for overdos</w:t>
      </w:r>
      <w:r w:rsidR="006B418F" w:rsidRPr="002827B6">
        <w:rPr>
          <w:rFonts w:cs="Arial"/>
          <w:lang w:val="en-US"/>
        </w:rPr>
        <w:t>e</w:t>
      </w:r>
      <w:r w:rsidR="00AA4BCC" w:rsidRPr="002827B6">
        <w:rPr>
          <w:rFonts w:cs="Arial"/>
          <w:lang w:val="en-US"/>
        </w:rPr>
        <w:t xml:space="preserve"> using</w:t>
      </w:r>
      <w:r w:rsidR="00CD2D9D" w:rsidRPr="002827B6">
        <w:rPr>
          <w:rFonts w:cs="Arial"/>
          <w:lang w:val="en-US"/>
        </w:rPr>
        <w:t xml:space="preserve"> TBW</w:t>
      </w:r>
      <w:r w:rsidR="00AA4BCC" w:rsidRPr="002827B6">
        <w:rPr>
          <w:rFonts w:cs="Arial"/>
          <w:lang w:val="en-US"/>
        </w:rPr>
        <w:t>-</w:t>
      </w:r>
      <w:r w:rsidR="00CD2D9D" w:rsidRPr="002827B6">
        <w:rPr>
          <w:rFonts w:cs="Arial"/>
          <w:lang w:val="en-US"/>
        </w:rPr>
        <w:t>based therapeutic LMWH</w:t>
      </w:r>
      <w:r w:rsidR="00AA4BCC" w:rsidRPr="002827B6">
        <w:rPr>
          <w:rFonts w:cs="Arial"/>
          <w:lang w:val="en-US"/>
        </w:rPr>
        <w:t xml:space="preserve"> dosing</w:t>
      </w:r>
      <w:r w:rsidR="001C5421" w:rsidRPr="002827B6">
        <w:rPr>
          <w:rFonts w:cs="Arial"/>
          <w:lang w:val="en-US"/>
        </w:rPr>
        <w:t>.</w:t>
      </w:r>
    </w:p>
    <w:p w:rsidR="00013CF7" w:rsidRPr="002827B6" w:rsidRDefault="00013CF7" w:rsidP="008B2FB3">
      <w:pPr>
        <w:rPr>
          <w:rFonts w:cs="Arial"/>
          <w:b/>
          <w:color w:val="0070C0"/>
          <w:lang w:val="en-US"/>
        </w:rPr>
      </w:pPr>
    </w:p>
    <w:p w:rsidR="00726DFD" w:rsidRPr="002827B6" w:rsidRDefault="00726DFD" w:rsidP="004D77EB">
      <w:pPr>
        <w:spacing w:after="0"/>
        <w:rPr>
          <w:rFonts w:cs="Arial"/>
          <w:b/>
          <w:color w:val="0070C0"/>
          <w:lang w:val="en-US"/>
        </w:rPr>
      </w:pPr>
    </w:p>
    <w:p w:rsidR="00726DFD" w:rsidRPr="002827B6" w:rsidRDefault="00726DFD" w:rsidP="004D77EB">
      <w:pPr>
        <w:spacing w:after="0"/>
        <w:rPr>
          <w:rFonts w:cs="Arial"/>
          <w:b/>
          <w:color w:val="0070C0"/>
          <w:lang w:val="en-US"/>
        </w:rPr>
      </w:pPr>
    </w:p>
    <w:p w:rsidR="00915145" w:rsidRPr="002827B6" w:rsidRDefault="00013CF7" w:rsidP="004D77EB">
      <w:pPr>
        <w:spacing w:after="0"/>
        <w:rPr>
          <w:rFonts w:cs="Arial"/>
          <w:b/>
          <w:color w:val="0070C0"/>
          <w:lang w:val="en-US"/>
        </w:rPr>
      </w:pPr>
      <w:r w:rsidRPr="002827B6">
        <w:rPr>
          <w:rFonts w:cs="Arial"/>
          <w:b/>
          <w:color w:val="0070C0"/>
          <w:lang w:val="en-US"/>
        </w:rPr>
        <w:lastRenderedPageBreak/>
        <w:t>2. Frequency of dosing</w:t>
      </w:r>
    </w:p>
    <w:p w:rsidR="00013CF7" w:rsidRPr="002827B6" w:rsidRDefault="00013CF7" w:rsidP="004D77EB">
      <w:pPr>
        <w:spacing w:after="0"/>
        <w:rPr>
          <w:rFonts w:cs="Arial"/>
          <w:lang w:val="en-US"/>
        </w:rPr>
      </w:pPr>
      <w:r w:rsidRPr="002827B6">
        <w:rPr>
          <w:rFonts w:cs="Arial"/>
          <w:lang w:val="en-US"/>
        </w:rPr>
        <w:t xml:space="preserve">As mentioned previously, twice daily dosing of enoxaparin is recommended for the treatment of VTE in patients with obesity (1). </w:t>
      </w:r>
      <w:r w:rsidR="00EA03CB" w:rsidRPr="002827B6">
        <w:rPr>
          <w:rFonts w:cs="Arial"/>
          <w:lang w:val="en-US"/>
        </w:rPr>
        <w:t>Additionally</w:t>
      </w:r>
      <w:r w:rsidRPr="002827B6">
        <w:rPr>
          <w:rFonts w:cs="Arial"/>
          <w:lang w:val="en-US"/>
        </w:rPr>
        <w:t>, dalteparin can be administered twice daily in patients with an increased risk of bleeding (3).</w:t>
      </w:r>
      <w:r w:rsidR="007C010F" w:rsidRPr="002827B6">
        <w:rPr>
          <w:rFonts w:cs="Arial"/>
          <w:lang w:val="en-US"/>
        </w:rPr>
        <w:t xml:space="preserve"> Tinzaparin is licensed for once daily dosing</w:t>
      </w:r>
      <w:r w:rsidR="00EA03CB" w:rsidRPr="002827B6">
        <w:rPr>
          <w:rFonts w:cs="Arial"/>
          <w:lang w:val="en-US"/>
        </w:rPr>
        <w:t xml:space="preserve"> only</w:t>
      </w:r>
      <w:r w:rsidR="007C010F" w:rsidRPr="002827B6">
        <w:rPr>
          <w:rFonts w:cs="Arial"/>
          <w:lang w:val="en-US"/>
        </w:rPr>
        <w:t xml:space="preserve"> (2).</w:t>
      </w:r>
    </w:p>
    <w:p w:rsidR="007C010F" w:rsidRPr="002827B6" w:rsidRDefault="007C010F" w:rsidP="00013CF7">
      <w:pPr>
        <w:spacing w:after="0"/>
        <w:rPr>
          <w:rFonts w:cs="Arial"/>
          <w:lang w:val="en-US"/>
        </w:rPr>
      </w:pPr>
    </w:p>
    <w:p w:rsidR="007C010F" w:rsidRPr="002827B6" w:rsidRDefault="007C010F" w:rsidP="00013CF7">
      <w:pPr>
        <w:spacing w:after="0"/>
        <w:rPr>
          <w:rFonts w:cs="Arial"/>
          <w:lang w:val="en-US"/>
        </w:rPr>
      </w:pPr>
      <w:r w:rsidRPr="002827B6">
        <w:rPr>
          <w:rFonts w:cs="Arial"/>
          <w:lang w:val="en-US"/>
        </w:rPr>
        <w:t>The use of TBW for the calculation of LMWH treatment doses in patients with high body weight can result in the prescribing of very high individual daily doses. This raises safety concerns regarding the need to split doses to avoid excessive peaks in drug activity and injection site bruising.</w:t>
      </w:r>
    </w:p>
    <w:p w:rsidR="00CA6791" w:rsidRPr="002827B6" w:rsidRDefault="00CA6791" w:rsidP="00013CF7">
      <w:pPr>
        <w:spacing w:after="0"/>
        <w:rPr>
          <w:rFonts w:cs="Arial"/>
          <w:lang w:val="en-US"/>
        </w:rPr>
      </w:pPr>
    </w:p>
    <w:p w:rsidR="00CA6791" w:rsidRPr="002827B6" w:rsidRDefault="00CA6791" w:rsidP="00013CF7">
      <w:pPr>
        <w:spacing w:after="0"/>
        <w:rPr>
          <w:rFonts w:cs="Arial"/>
          <w:lang w:val="en-US"/>
        </w:rPr>
      </w:pPr>
      <w:r w:rsidRPr="002827B6">
        <w:rPr>
          <w:rFonts w:cs="Arial"/>
          <w:lang w:val="en-US"/>
        </w:rPr>
        <w:t>The frequency of LMWH dosing for the initial treatment of VTE in the general population has been the subject of a review b</w:t>
      </w:r>
      <w:r w:rsidR="003451A3" w:rsidRPr="002827B6">
        <w:rPr>
          <w:rFonts w:cs="Arial"/>
          <w:lang w:val="en-US"/>
        </w:rPr>
        <w:t>y the Cochrane Collaboration (24</w:t>
      </w:r>
      <w:r w:rsidRPr="002827B6">
        <w:rPr>
          <w:rFonts w:cs="Arial"/>
          <w:lang w:val="en-US"/>
        </w:rPr>
        <w:t>). The authors concluded that</w:t>
      </w:r>
      <w:r w:rsidR="00BA0B58" w:rsidRPr="002827B6">
        <w:rPr>
          <w:rFonts w:cs="Arial"/>
          <w:lang w:val="en-US"/>
        </w:rPr>
        <w:t xml:space="preserve"> </w:t>
      </w:r>
      <w:r w:rsidRPr="002827B6">
        <w:rPr>
          <w:rFonts w:cs="Arial"/>
          <w:lang w:val="en-US"/>
        </w:rPr>
        <w:t>once daily treatment is as effective and safe as twice daily treatment with LMWH, however, there was no specific analysis of results for patients with high body weight.</w:t>
      </w:r>
    </w:p>
    <w:p w:rsidR="00343A7F" w:rsidRPr="002827B6" w:rsidRDefault="00343A7F" w:rsidP="00013CF7">
      <w:pPr>
        <w:spacing w:after="0"/>
        <w:rPr>
          <w:rFonts w:cs="Arial"/>
          <w:lang w:val="en-US"/>
        </w:rPr>
      </w:pPr>
    </w:p>
    <w:p w:rsidR="00013CF7" w:rsidRPr="002827B6" w:rsidRDefault="00343A7F" w:rsidP="008B2FB3">
      <w:pPr>
        <w:rPr>
          <w:rFonts w:cs="Arial"/>
          <w:lang w:val="en-US"/>
        </w:rPr>
      </w:pPr>
      <w:r w:rsidRPr="002827B6">
        <w:rPr>
          <w:rFonts w:cs="Arial"/>
          <w:lang w:val="en-US"/>
        </w:rPr>
        <w:t xml:space="preserve">Only one retrospective, open-label study of 21 patients was identified comparing the same treatment dose of dalteparin given to patients with high body weight as a single or twice daily </w:t>
      </w:r>
      <w:r w:rsidR="003451A3" w:rsidRPr="002827B6">
        <w:rPr>
          <w:rFonts w:cs="Arial"/>
          <w:lang w:val="en-US"/>
        </w:rPr>
        <w:t>split dose (16</w:t>
      </w:r>
      <w:r w:rsidRPr="002827B6">
        <w:rPr>
          <w:rFonts w:cs="Arial"/>
          <w:lang w:val="en-US"/>
        </w:rPr>
        <w:t>). The dose was calculated based on TBW. The findings suggest that twice daily dosing is more effective in producing anti-Xa activity within the target range, however, the small sample size of th</w:t>
      </w:r>
      <w:r w:rsidR="00EA03CB" w:rsidRPr="002827B6">
        <w:rPr>
          <w:rFonts w:cs="Arial"/>
          <w:lang w:val="en-US"/>
        </w:rPr>
        <w:t>e</w:t>
      </w:r>
      <w:r w:rsidRPr="002827B6">
        <w:rPr>
          <w:rFonts w:cs="Arial"/>
          <w:lang w:val="en-US"/>
        </w:rPr>
        <w:t xml:space="preserve"> study is a significant limitation. Following a large randomized, multicentre, partially blinded clinical trial, the Enoxaparin Clinical Trial Group reported that enoxaparin 1.5 mg/kg once daily and enoxaparin 1mg/kg twice </w:t>
      </w:r>
      <w:r w:rsidR="00EA03CB" w:rsidRPr="002827B6">
        <w:rPr>
          <w:rFonts w:cs="Arial"/>
          <w:lang w:val="en-US"/>
        </w:rPr>
        <w:t>daily</w:t>
      </w:r>
      <w:r w:rsidRPr="002827B6">
        <w:rPr>
          <w:rFonts w:cs="Arial"/>
          <w:lang w:val="en-US"/>
        </w:rPr>
        <w:t xml:space="preserve"> were clinically equivalent</w:t>
      </w:r>
      <w:r w:rsidR="00CA6791" w:rsidRPr="002827B6">
        <w:rPr>
          <w:rFonts w:cs="Arial"/>
          <w:lang w:val="en-US"/>
        </w:rPr>
        <w:t xml:space="preserve"> in the treatment of venous thromboemb</w:t>
      </w:r>
      <w:r w:rsidR="00EA03CB" w:rsidRPr="002827B6">
        <w:rPr>
          <w:rFonts w:cs="Arial"/>
          <w:lang w:val="en-US"/>
        </w:rPr>
        <w:t>o</w:t>
      </w:r>
      <w:r w:rsidR="00CA6791" w:rsidRPr="002827B6">
        <w:rPr>
          <w:rFonts w:cs="Arial"/>
          <w:lang w:val="en-US"/>
        </w:rPr>
        <w:t xml:space="preserve">lic disease, despite a statistically non-significant trend of increased VTE recurrence in obese patients treated with enoxaparin once a day (n=137; 7.3%) when compared </w:t>
      </w:r>
      <w:r w:rsidR="00C4795E" w:rsidRPr="002827B6">
        <w:rPr>
          <w:rFonts w:cs="Arial"/>
          <w:lang w:val="en-US"/>
        </w:rPr>
        <w:t>to twice a day (n=146; 3.4%) (25</w:t>
      </w:r>
      <w:r w:rsidR="00CA6791" w:rsidRPr="002827B6">
        <w:rPr>
          <w:rFonts w:cs="Arial"/>
          <w:lang w:val="en-US"/>
        </w:rPr>
        <w:t>).</w:t>
      </w:r>
      <w:r w:rsidR="00C4795E" w:rsidRPr="002827B6">
        <w:rPr>
          <w:rFonts w:cs="Arial"/>
          <w:lang w:val="en-US"/>
        </w:rPr>
        <w:t xml:space="preserve"> </w:t>
      </w:r>
      <w:r w:rsidR="00EA03CB" w:rsidRPr="002827B6">
        <w:rPr>
          <w:rFonts w:cs="Arial"/>
          <w:lang w:val="en-US"/>
        </w:rPr>
        <w:t>No reports</w:t>
      </w:r>
      <w:r w:rsidR="00C4795E" w:rsidRPr="002827B6">
        <w:rPr>
          <w:rFonts w:cs="Arial"/>
          <w:lang w:val="en-US"/>
        </w:rPr>
        <w:t xml:space="preserve"> regarding altered frequency of tinzaparin dosing</w:t>
      </w:r>
      <w:r w:rsidR="00EA03CB" w:rsidRPr="002827B6">
        <w:rPr>
          <w:rFonts w:cs="Arial"/>
          <w:lang w:val="en-US"/>
        </w:rPr>
        <w:t xml:space="preserve"> were </w:t>
      </w:r>
      <w:r w:rsidR="00935CB6" w:rsidRPr="002827B6">
        <w:rPr>
          <w:rFonts w:cs="Arial"/>
          <w:lang w:val="en-US"/>
        </w:rPr>
        <w:t>identified.</w:t>
      </w:r>
    </w:p>
    <w:p w:rsidR="0062380B" w:rsidRPr="002827B6" w:rsidRDefault="003B0734" w:rsidP="008B2FB3">
      <w:pPr>
        <w:rPr>
          <w:rFonts w:cs="Arial"/>
          <w:lang w:val="en-US"/>
        </w:rPr>
      </w:pPr>
      <w:r w:rsidRPr="002827B6">
        <w:rPr>
          <w:rFonts w:cs="Arial"/>
          <w:lang w:val="en-US"/>
        </w:rPr>
        <w:t>In summary, enoxaparin should be administered twice daily in patients of high body weight. Dalteparin can be administered twice daily in patients at risk of bleeding and anti-Xa moni</w:t>
      </w:r>
      <w:r w:rsidR="00FA3647" w:rsidRPr="002827B6">
        <w:rPr>
          <w:rFonts w:cs="Arial"/>
          <w:lang w:val="en-US"/>
        </w:rPr>
        <w:t>tor</w:t>
      </w:r>
      <w:r w:rsidRPr="002827B6">
        <w:rPr>
          <w:rFonts w:cs="Arial"/>
          <w:lang w:val="en-US"/>
        </w:rPr>
        <w:t>ing should be considered to ensure therapeutic levels are achieved.</w:t>
      </w:r>
      <w:r w:rsidR="004D77EB" w:rsidRPr="002827B6">
        <w:rPr>
          <w:rFonts w:cs="Arial"/>
          <w:lang w:val="en-US"/>
        </w:rPr>
        <w:t xml:space="preserve"> Tinzaparin is licensed for once daily dosing only.</w:t>
      </w:r>
    </w:p>
    <w:p w:rsidR="004D77EB" w:rsidRPr="002827B6" w:rsidRDefault="004D77EB" w:rsidP="00013CF7">
      <w:pPr>
        <w:spacing w:after="0"/>
        <w:rPr>
          <w:rFonts w:cs="Arial"/>
          <w:b/>
          <w:color w:val="0070C0"/>
          <w:lang w:val="en-US"/>
        </w:rPr>
      </w:pPr>
    </w:p>
    <w:p w:rsidR="004D77EB" w:rsidRPr="002827B6" w:rsidRDefault="00915145" w:rsidP="00013CF7">
      <w:pPr>
        <w:spacing w:after="0"/>
        <w:rPr>
          <w:rFonts w:cs="Arial"/>
          <w:b/>
          <w:color w:val="0070C0"/>
          <w:lang w:val="en-US"/>
        </w:rPr>
      </w:pPr>
      <w:r w:rsidRPr="002827B6">
        <w:rPr>
          <w:rFonts w:cs="Arial"/>
          <w:b/>
          <w:color w:val="0070C0"/>
          <w:lang w:val="en-US"/>
        </w:rPr>
        <w:t>3. Monitoring of anti-Xa levels</w:t>
      </w:r>
    </w:p>
    <w:p w:rsidR="00573BCC" w:rsidRPr="002827B6" w:rsidRDefault="005835BF" w:rsidP="00573BCC">
      <w:pPr>
        <w:spacing w:after="0"/>
        <w:rPr>
          <w:rFonts w:cs="Arial"/>
          <w:lang w:val="en-US"/>
        </w:rPr>
      </w:pPr>
      <w:r w:rsidRPr="002827B6">
        <w:rPr>
          <w:rFonts w:cs="Arial"/>
          <w:lang w:val="en-US"/>
        </w:rPr>
        <w:t>NICE guidance recommends anticoagulation treatment with regular monitoring of therapeutic levels for people with proximal DVT or PE who weigh less than 50 kg or more than 120 kg to ensure effe</w:t>
      </w:r>
      <w:r w:rsidR="00DE5589" w:rsidRPr="002827B6">
        <w:rPr>
          <w:rFonts w:cs="Arial"/>
          <w:lang w:val="en-US"/>
        </w:rPr>
        <w:t>ctive anticoagulation (26</w:t>
      </w:r>
      <w:r w:rsidRPr="002827B6">
        <w:rPr>
          <w:rFonts w:cs="Arial"/>
          <w:lang w:val="en-US"/>
        </w:rPr>
        <w:t>)</w:t>
      </w:r>
      <w:r w:rsidR="005A3DE7" w:rsidRPr="002827B6">
        <w:rPr>
          <w:rFonts w:cs="Arial"/>
          <w:lang w:val="en-US"/>
        </w:rPr>
        <w:t xml:space="preserve">. </w:t>
      </w:r>
      <w:r w:rsidR="00EA03CB" w:rsidRPr="002827B6">
        <w:rPr>
          <w:rFonts w:cs="Arial"/>
          <w:lang w:val="en-US"/>
        </w:rPr>
        <w:t>Additionally</w:t>
      </w:r>
      <w:r w:rsidR="00573BCC" w:rsidRPr="002827B6">
        <w:rPr>
          <w:rFonts w:cs="Arial"/>
          <w:lang w:val="en-US"/>
        </w:rPr>
        <w:t>, the manufacturer of dalteparin state</w:t>
      </w:r>
      <w:r w:rsidR="00EA03CB" w:rsidRPr="002827B6">
        <w:rPr>
          <w:rFonts w:cs="Arial"/>
          <w:lang w:val="en-US"/>
        </w:rPr>
        <w:t>s</w:t>
      </w:r>
      <w:r w:rsidR="00573BCC" w:rsidRPr="002827B6">
        <w:rPr>
          <w:rFonts w:cs="Arial"/>
          <w:lang w:val="en-US"/>
        </w:rPr>
        <w:t xml:space="preserve"> that monitoring of anti-Xa levels should be considered for specific patient populations suc</w:t>
      </w:r>
      <w:r w:rsidR="004D77EB" w:rsidRPr="002827B6">
        <w:rPr>
          <w:rFonts w:cs="Arial"/>
          <w:lang w:val="en-US"/>
        </w:rPr>
        <w:t xml:space="preserve">h as those with morbid obesity </w:t>
      </w:r>
      <w:r w:rsidR="00573BCC" w:rsidRPr="002827B6">
        <w:rPr>
          <w:rFonts w:cs="Arial"/>
          <w:lang w:val="en-US"/>
        </w:rPr>
        <w:t xml:space="preserve">(3). </w:t>
      </w:r>
      <w:r w:rsidR="005A3DE7" w:rsidRPr="002827B6">
        <w:rPr>
          <w:rFonts w:cs="Arial"/>
          <w:lang w:val="en-US"/>
        </w:rPr>
        <w:t>By contrast</w:t>
      </w:r>
      <w:r w:rsidR="00573BCC" w:rsidRPr="002827B6">
        <w:rPr>
          <w:rFonts w:cs="Arial"/>
          <w:lang w:val="en-US"/>
        </w:rPr>
        <w:t>,</w:t>
      </w:r>
      <w:r w:rsidR="00013CF7" w:rsidRPr="002827B6">
        <w:rPr>
          <w:rFonts w:cs="Arial"/>
          <w:lang w:val="en-US"/>
        </w:rPr>
        <w:t xml:space="preserve"> </w:t>
      </w:r>
      <w:r w:rsidR="0080489B" w:rsidRPr="002827B6">
        <w:rPr>
          <w:rFonts w:cs="Arial"/>
          <w:lang w:val="en-US"/>
        </w:rPr>
        <w:t xml:space="preserve">The </w:t>
      </w:r>
      <w:r w:rsidR="00573BCC" w:rsidRPr="002827B6">
        <w:rPr>
          <w:rFonts w:cs="Arial"/>
          <w:lang w:val="en-US"/>
        </w:rPr>
        <w:t xml:space="preserve">American </w:t>
      </w:r>
      <w:r w:rsidR="00A74C39" w:rsidRPr="002827B6">
        <w:rPr>
          <w:rFonts w:cs="Arial"/>
          <w:lang w:val="en-US"/>
        </w:rPr>
        <w:t>Society</w:t>
      </w:r>
      <w:r w:rsidR="00573BCC" w:rsidRPr="002827B6">
        <w:rPr>
          <w:rFonts w:cs="Arial"/>
          <w:lang w:val="en-US"/>
        </w:rPr>
        <w:t xml:space="preserve"> of Hematology</w:t>
      </w:r>
      <w:r w:rsidR="00A74C39" w:rsidRPr="002827B6">
        <w:rPr>
          <w:rFonts w:cs="Arial"/>
          <w:lang w:val="en-US"/>
        </w:rPr>
        <w:t xml:space="preserve"> do</w:t>
      </w:r>
      <w:r w:rsidR="009C44AE" w:rsidRPr="002827B6">
        <w:rPr>
          <w:rFonts w:cs="Arial"/>
          <w:lang w:val="en-US"/>
        </w:rPr>
        <w:t>es</w:t>
      </w:r>
      <w:r w:rsidR="00A74C39" w:rsidRPr="002827B6">
        <w:rPr>
          <w:rFonts w:cs="Arial"/>
          <w:lang w:val="en-US"/>
        </w:rPr>
        <w:t xml:space="preserve"> not advise </w:t>
      </w:r>
      <w:r w:rsidR="00013CF7" w:rsidRPr="002827B6">
        <w:rPr>
          <w:rFonts w:cs="Arial"/>
          <w:lang w:val="en-US"/>
        </w:rPr>
        <w:t>using anti-Xa concentration monitoring to guide LMWH dose adjustment due to the lack of correlation between supratherapeutic anti-Xa concentration</w:t>
      </w:r>
      <w:r w:rsidR="00A74C39" w:rsidRPr="002827B6">
        <w:rPr>
          <w:rFonts w:cs="Arial"/>
          <w:lang w:val="en-US"/>
        </w:rPr>
        <w:t>s and bleeding (27</w:t>
      </w:r>
      <w:r w:rsidR="00013CF7" w:rsidRPr="002827B6">
        <w:rPr>
          <w:rFonts w:cs="Arial"/>
          <w:lang w:val="en-US"/>
        </w:rPr>
        <w:t>).</w:t>
      </w:r>
      <w:r w:rsidR="00573BCC" w:rsidRPr="002827B6">
        <w:rPr>
          <w:rFonts w:cs="Arial"/>
          <w:lang w:val="en-US"/>
        </w:rPr>
        <w:t xml:space="preserve"> </w:t>
      </w:r>
    </w:p>
    <w:p w:rsidR="00573BCC" w:rsidRPr="002827B6" w:rsidRDefault="00573BCC" w:rsidP="00573BCC">
      <w:pPr>
        <w:spacing w:after="0"/>
        <w:rPr>
          <w:rFonts w:cs="Arial"/>
          <w:lang w:val="en-US"/>
        </w:rPr>
      </w:pPr>
    </w:p>
    <w:p w:rsidR="00DE5589" w:rsidRPr="002827B6" w:rsidRDefault="00DE5589" w:rsidP="00915145">
      <w:pPr>
        <w:rPr>
          <w:rFonts w:cs="Arial"/>
          <w:lang w:val="en-US"/>
        </w:rPr>
      </w:pPr>
      <w:r w:rsidRPr="002827B6">
        <w:rPr>
          <w:rFonts w:cs="Arial"/>
          <w:lang w:val="en-US"/>
        </w:rPr>
        <w:t>It is generally recommended that</w:t>
      </w:r>
      <w:r w:rsidR="005A5506" w:rsidRPr="002827B6">
        <w:rPr>
          <w:rFonts w:cs="Arial"/>
          <w:lang w:val="en-US"/>
        </w:rPr>
        <w:t>, after</w:t>
      </w:r>
      <w:r w:rsidR="00A04AF7">
        <w:rPr>
          <w:rFonts w:cs="Arial"/>
          <w:lang w:val="en-US"/>
        </w:rPr>
        <w:t xml:space="preserve"> two to three</w:t>
      </w:r>
      <w:r w:rsidR="005A5506" w:rsidRPr="002827B6">
        <w:rPr>
          <w:rFonts w:cs="Arial"/>
          <w:lang w:val="en-US"/>
        </w:rPr>
        <w:t xml:space="preserve"> days of therapy,</w:t>
      </w:r>
      <w:r w:rsidRPr="002827B6">
        <w:rPr>
          <w:rFonts w:cs="Arial"/>
          <w:lang w:val="en-US"/>
        </w:rPr>
        <w:t xml:space="preserve"> a peak anti-Xa level is checked </w:t>
      </w:r>
      <w:r w:rsidR="005A5506" w:rsidRPr="002827B6">
        <w:rPr>
          <w:rFonts w:cs="Arial"/>
          <w:lang w:val="en-US"/>
        </w:rPr>
        <w:t>4</w:t>
      </w:r>
      <w:r w:rsidR="009C44AE" w:rsidRPr="002827B6">
        <w:rPr>
          <w:rFonts w:cs="Arial"/>
          <w:lang w:val="en-US"/>
        </w:rPr>
        <w:t xml:space="preserve"> </w:t>
      </w:r>
      <w:r w:rsidRPr="002827B6">
        <w:rPr>
          <w:rFonts w:cs="Arial"/>
          <w:lang w:val="en-US"/>
        </w:rPr>
        <w:t xml:space="preserve">hours </w:t>
      </w:r>
      <w:r w:rsidR="00A04AF7">
        <w:rPr>
          <w:rFonts w:cs="Arial"/>
          <w:lang w:val="en-US"/>
        </w:rPr>
        <w:t xml:space="preserve">post </w:t>
      </w:r>
      <w:r w:rsidR="005A5506" w:rsidRPr="002827B6">
        <w:rPr>
          <w:rFonts w:cs="Arial"/>
          <w:lang w:val="en-US"/>
        </w:rPr>
        <w:t>LMWH dose</w:t>
      </w:r>
      <w:r w:rsidR="005A5506" w:rsidRPr="002827B6" w:rsidDel="005A5506">
        <w:rPr>
          <w:rFonts w:cs="Arial"/>
          <w:lang w:val="en-US"/>
        </w:rPr>
        <w:t xml:space="preserve"> </w:t>
      </w:r>
      <w:r w:rsidR="00573BCC" w:rsidRPr="002827B6">
        <w:rPr>
          <w:rFonts w:cs="Arial"/>
          <w:lang w:val="en-US"/>
        </w:rPr>
        <w:t>(</w:t>
      </w:r>
      <w:r w:rsidRPr="002827B6">
        <w:rPr>
          <w:rFonts w:cs="Arial"/>
          <w:lang w:val="en-US"/>
        </w:rPr>
        <w:t>12). Local haematology departments should be consulted to advise on monitoring requirements, such as when to initiate monitoring and how frequently this is required, and the most suitable target range for anti-Xa activity due to small variations in laboratory techniques</w:t>
      </w:r>
      <w:r w:rsidR="009C44AE" w:rsidRPr="002827B6">
        <w:rPr>
          <w:rFonts w:cs="Arial"/>
          <w:lang w:val="en-US"/>
        </w:rPr>
        <w:t>.</w:t>
      </w:r>
    </w:p>
    <w:p w:rsidR="00A04AF7" w:rsidRPr="002827B6" w:rsidRDefault="00ED5520" w:rsidP="00915145">
      <w:pPr>
        <w:rPr>
          <w:rFonts w:cs="Arial"/>
          <w:lang w:val="en-US"/>
        </w:rPr>
      </w:pPr>
      <w:r w:rsidRPr="002827B6">
        <w:rPr>
          <w:rFonts w:cs="Arial"/>
          <w:lang w:val="en-US"/>
        </w:rPr>
        <w:t xml:space="preserve">Despite reservations </w:t>
      </w:r>
      <w:r w:rsidR="009C44AE" w:rsidRPr="002827B6">
        <w:rPr>
          <w:rFonts w:cs="Arial"/>
          <w:lang w:val="en-US"/>
        </w:rPr>
        <w:t xml:space="preserve">about </w:t>
      </w:r>
      <w:r w:rsidRPr="002827B6">
        <w:rPr>
          <w:rFonts w:cs="Arial"/>
          <w:lang w:val="en-US"/>
        </w:rPr>
        <w:t xml:space="preserve">how well anti-Xa levels relate to clinical outcomes, </w:t>
      </w:r>
      <w:r w:rsidR="009C44AE" w:rsidRPr="002827B6">
        <w:rPr>
          <w:rFonts w:cs="Arial"/>
          <w:lang w:val="en-US"/>
        </w:rPr>
        <w:t xml:space="preserve">it </w:t>
      </w:r>
      <w:r w:rsidRPr="002827B6">
        <w:rPr>
          <w:rFonts w:cs="Arial"/>
          <w:lang w:val="en-US"/>
        </w:rPr>
        <w:t xml:space="preserve">remains the best </w:t>
      </w:r>
      <w:r w:rsidR="00A04AF7">
        <w:rPr>
          <w:rFonts w:cs="Arial"/>
          <w:lang w:val="en-US"/>
        </w:rPr>
        <w:t xml:space="preserve">  </w:t>
      </w:r>
      <w:r w:rsidRPr="002827B6">
        <w:rPr>
          <w:rFonts w:cs="Arial"/>
          <w:lang w:val="en-US"/>
        </w:rPr>
        <w:t>parameter available to monitor the safety of LMWH use in ‘at</w:t>
      </w:r>
      <w:r w:rsidR="00573BCC" w:rsidRPr="002827B6">
        <w:rPr>
          <w:rFonts w:cs="Arial"/>
          <w:lang w:val="en-US"/>
        </w:rPr>
        <w:t xml:space="preserve"> risk’ patient groups (28, 29</w:t>
      </w:r>
      <w:r w:rsidRPr="002827B6">
        <w:rPr>
          <w:rFonts w:cs="Arial"/>
          <w:lang w:val="en-US"/>
        </w:rPr>
        <w:t>)</w:t>
      </w:r>
      <w:r w:rsidR="009C44AE" w:rsidRPr="002827B6">
        <w:rPr>
          <w:rFonts w:cs="Arial"/>
          <w:lang w:val="en-US"/>
        </w:rPr>
        <w:t>.</w:t>
      </w:r>
    </w:p>
    <w:p w:rsidR="000D6A79" w:rsidRDefault="000D6A79" w:rsidP="00A04AF7">
      <w:pPr>
        <w:rPr>
          <w:rFonts w:cs="Arial"/>
          <w:b/>
          <w:color w:val="0070C0"/>
          <w:lang w:val="en-US"/>
        </w:rPr>
      </w:pPr>
    </w:p>
    <w:p w:rsidR="000D6A79" w:rsidRDefault="000D6A79" w:rsidP="0062380B">
      <w:pPr>
        <w:spacing w:after="0"/>
        <w:rPr>
          <w:rFonts w:cs="Arial"/>
          <w:b/>
          <w:color w:val="0070C0"/>
          <w:lang w:val="en-US"/>
        </w:rPr>
      </w:pPr>
    </w:p>
    <w:p w:rsidR="00A04AF7" w:rsidRDefault="00A04AF7" w:rsidP="0062380B">
      <w:pPr>
        <w:spacing w:after="0"/>
        <w:rPr>
          <w:rFonts w:cs="Arial"/>
          <w:b/>
          <w:color w:val="0070C0"/>
          <w:lang w:val="en-US"/>
        </w:rPr>
      </w:pPr>
    </w:p>
    <w:p w:rsidR="00A04AF7" w:rsidRDefault="00A04AF7" w:rsidP="0062380B">
      <w:pPr>
        <w:spacing w:after="0"/>
        <w:rPr>
          <w:rFonts w:cs="Arial"/>
          <w:b/>
          <w:color w:val="0070C0"/>
          <w:lang w:val="en-US"/>
        </w:rPr>
      </w:pPr>
    </w:p>
    <w:p w:rsidR="00A04AF7" w:rsidRDefault="00A04AF7" w:rsidP="0062380B">
      <w:pPr>
        <w:spacing w:after="0"/>
        <w:rPr>
          <w:rFonts w:cs="Arial"/>
          <w:b/>
          <w:color w:val="0070C0"/>
          <w:lang w:val="en-US"/>
        </w:rPr>
      </w:pPr>
    </w:p>
    <w:p w:rsidR="0062380B" w:rsidRPr="002827B6" w:rsidRDefault="0062380B" w:rsidP="0062380B">
      <w:pPr>
        <w:spacing w:after="0"/>
        <w:rPr>
          <w:rFonts w:cs="Arial"/>
          <w:b/>
          <w:color w:val="0070C0"/>
          <w:lang w:val="en-US"/>
        </w:rPr>
      </w:pPr>
      <w:r w:rsidRPr="002827B6">
        <w:rPr>
          <w:rFonts w:cs="Arial"/>
          <w:b/>
          <w:color w:val="0070C0"/>
          <w:lang w:val="en-US"/>
        </w:rPr>
        <w:lastRenderedPageBreak/>
        <w:t xml:space="preserve">4. </w:t>
      </w:r>
      <w:r w:rsidR="004D77EB" w:rsidRPr="002827B6">
        <w:rPr>
          <w:rFonts w:cs="Arial"/>
          <w:b/>
          <w:color w:val="0070C0"/>
          <w:lang w:val="en-US"/>
        </w:rPr>
        <w:t>Alternative</w:t>
      </w:r>
      <w:r w:rsidR="005560AD" w:rsidRPr="002827B6">
        <w:rPr>
          <w:rFonts w:cs="Arial"/>
          <w:b/>
          <w:color w:val="0070C0"/>
          <w:lang w:val="en-US"/>
        </w:rPr>
        <w:t xml:space="preserve"> </w:t>
      </w:r>
      <w:r w:rsidR="00127CCE" w:rsidRPr="002827B6">
        <w:rPr>
          <w:rFonts w:cs="Arial"/>
          <w:b/>
          <w:color w:val="0070C0"/>
          <w:lang w:val="en-US"/>
        </w:rPr>
        <w:t>dosing strategies</w:t>
      </w:r>
    </w:p>
    <w:p w:rsidR="004D77EB" w:rsidRPr="002827B6" w:rsidRDefault="004D77EB" w:rsidP="0062380B">
      <w:pPr>
        <w:spacing w:after="0"/>
        <w:rPr>
          <w:rFonts w:cs="Arial"/>
          <w:color w:val="000000"/>
          <w:lang w:val="en-US"/>
        </w:rPr>
      </w:pPr>
      <w:r w:rsidRPr="002827B6">
        <w:rPr>
          <w:rFonts w:cs="Arial"/>
          <w:color w:val="000000"/>
          <w:lang w:val="en-US"/>
        </w:rPr>
        <w:t>There is substantially more evidence availabl</w:t>
      </w:r>
      <w:r w:rsidR="009C44AE" w:rsidRPr="002827B6">
        <w:rPr>
          <w:rFonts w:cs="Arial"/>
          <w:color w:val="000000"/>
          <w:lang w:val="en-US"/>
        </w:rPr>
        <w:t>e</w:t>
      </w:r>
      <w:r w:rsidRPr="002827B6">
        <w:rPr>
          <w:rFonts w:cs="Arial"/>
          <w:color w:val="000000"/>
          <w:lang w:val="en-US"/>
        </w:rPr>
        <w:t xml:space="preserve"> regarding the safe use of enoxaparin in patients of high body weight when compared to other LMWHs. Most recent studies have focused on the need for dose capping and alternative dosing strategies. </w:t>
      </w:r>
    </w:p>
    <w:p w:rsidR="004D77EB" w:rsidRPr="002827B6" w:rsidRDefault="004D77EB" w:rsidP="0062380B">
      <w:pPr>
        <w:spacing w:after="0"/>
        <w:rPr>
          <w:rFonts w:cs="Arial"/>
          <w:color w:val="000000"/>
          <w:lang w:val="en-US"/>
        </w:rPr>
      </w:pPr>
    </w:p>
    <w:p w:rsidR="00127CCE" w:rsidRPr="002827B6" w:rsidRDefault="00127CCE" w:rsidP="0062380B">
      <w:pPr>
        <w:spacing w:after="0"/>
        <w:rPr>
          <w:rFonts w:cs="Arial"/>
          <w:color w:val="000000"/>
          <w:lang w:val="en-US"/>
        </w:rPr>
      </w:pPr>
      <w:r w:rsidRPr="002827B6">
        <w:rPr>
          <w:rFonts w:cs="Arial"/>
          <w:color w:val="000000"/>
          <w:lang w:val="en-US"/>
        </w:rPr>
        <w:t>Current therapeutic enoxaparin dosing is generally based on TBW and</w:t>
      </w:r>
      <w:r w:rsidR="00A04AF7">
        <w:rPr>
          <w:rFonts w:cs="Arial"/>
          <w:color w:val="000000"/>
          <w:lang w:val="en-US"/>
        </w:rPr>
        <w:t>,</w:t>
      </w:r>
      <w:r w:rsidRPr="002827B6">
        <w:rPr>
          <w:rFonts w:cs="Arial"/>
          <w:color w:val="000000"/>
          <w:lang w:val="en-US"/>
        </w:rPr>
        <w:t xml:space="preserve"> as described earlier, </w:t>
      </w:r>
      <w:r w:rsidR="00E20E5B" w:rsidRPr="002827B6">
        <w:rPr>
          <w:rFonts w:cs="Arial"/>
          <w:color w:val="000000"/>
          <w:lang w:val="en-US"/>
        </w:rPr>
        <w:t xml:space="preserve">a dose cap </w:t>
      </w:r>
      <w:r w:rsidR="005560AD" w:rsidRPr="002827B6">
        <w:rPr>
          <w:rFonts w:cs="Arial"/>
          <w:color w:val="000000"/>
          <w:lang w:val="en-US"/>
        </w:rPr>
        <w:t>is often applied</w:t>
      </w:r>
      <w:r w:rsidRPr="002827B6">
        <w:rPr>
          <w:rFonts w:cs="Arial"/>
          <w:color w:val="000000"/>
          <w:lang w:val="en-US"/>
        </w:rPr>
        <w:t xml:space="preserve"> in clinical practice. To balance the risk of bleeding against the risk of thrombosis</w:t>
      </w:r>
      <w:r w:rsidR="004D77EB" w:rsidRPr="002827B6">
        <w:rPr>
          <w:rFonts w:cs="Arial"/>
          <w:color w:val="000000"/>
          <w:lang w:val="en-US"/>
        </w:rPr>
        <w:t>,</w:t>
      </w:r>
      <w:r w:rsidRPr="002827B6">
        <w:rPr>
          <w:rFonts w:cs="Arial"/>
          <w:color w:val="000000"/>
          <w:lang w:val="en-US"/>
        </w:rPr>
        <w:t xml:space="preserve"> alternative dosing strategies have b</w:t>
      </w:r>
      <w:r w:rsidR="00E20E5B" w:rsidRPr="002827B6">
        <w:rPr>
          <w:rFonts w:cs="Arial"/>
          <w:color w:val="000000"/>
          <w:lang w:val="en-US"/>
        </w:rPr>
        <w:t>een proposed. These involve the use of a lower weight</w:t>
      </w:r>
      <w:r w:rsidR="009C44AE" w:rsidRPr="002827B6">
        <w:rPr>
          <w:rFonts w:cs="Arial"/>
          <w:color w:val="000000"/>
          <w:lang w:val="en-US"/>
        </w:rPr>
        <w:t>-</w:t>
      </w:r>
      <w:r w:rsidR="00E20E5B" w:rsidRPr="002827B6">
        <w:rPr>
          <w:rFonts w:cs="Arial"/>
          <w:color w:val="000000"/>
          <w:lang w:val="en-US"/>
        </w:rPr>
        <w:t>based initial dose of between 0.75 mg/kg and 0.85 mg/kg</w:t>
      </w:r>
      <w:r w:rsidR="005560AD" w:rsidRPr="002827B6">
        <w:rPr>
          <w:rFonts w:cs="Arial"/>
          <w:color w:val="000000"/>
          <w:lang w:val="en-US"/>
        </w:rPr>
        <w:t xml:space="preserve"> (30, 31)</w:t>
      </w:r>
      <w:r w:rsidR="00E20E5B" w:rsidRPr="002827B6">
        <w:rPr>
          <w:rFonts w:cs="Arial"/>
          <w:color w:val="000000"/>
          <w:lang w:val="en-US"/>
        </w:rPr>
        <w:t>. In the literature,</w:t>
      </w:r>
      <w:r w:rsidRPr="002827B6">
        <w:rPr>
          <w:rFonts w:cs="Arial"/>
          <w:color w:val="000000"/>
          <w:lang w:val="en-US"/>
        </w:rPr>
        <w:t xml:space="preserve"> there i</w:t>
      </w:r>
      <w:r w:rsidR="00E20E5B" w:rsidRPr="002827B6">
        <w:rPr>
          <w:rFonts w:cs="Arial"/>
          <w:color w:val="000000"/>
          <w:lang w:val="en-US"/>
        </w:rPr>
        <w:t>s much controversy regarding</w:t>
      </w:r>
      <w:r w:rsidRPr="002827B6">
        <w:rPr>
          <w:rFonts w:cs="Arial"/>
          <w:color w:val="000000"/>
          <w:lang w:val="en-US"/>
        </w:rPr>
        <w:t xml:space="preserve"> </w:t>
      </w:r>
      <w:r w:rsidR="005560AD" w:rsidRPr="002827B6">
        <w:rPr>
          <w:rFonts w:cs="Arial"/>
          <w:color w:val="000000"/>
          <w:lang w:val="en-US"/>
        </w:rPr>
        <w:t xml:space="preserve">these lower dosing protocols. </w:t>
      </w:r>
      <w:r w:rsidR="00772BFF" w:rsidRPr="002827B6">
        <w:rPr>
          <w:rFonts w:cs="Arial"/>
          <w:color w:val="000000"/>
          <w:lang w:val="en-US"/>
        </w:rPr>
        <w:t xml:space="preserve">Results from a </w:t>
      </w:r>
      <w:r w:rsidR="00E20E5B" w:rsidRPr="002827B6">
        <w:rPr>
          <w:rFonts w:cs="Arial"/>
          <w:color w:val="000000"/>
          <w:lang w:val="en-US"/>
        </w:rPr>
        <w:t>recen</w:t>
      </w:r>
      <w:r w:rsidR="008A4C93" w:rsidRPr="002827B6">
        <w:rPr>
          <w:rFonts w:cs="Arial"/>
          <w:color w:val="000000"/>
          <w:lang w:val="en-US"/>
        </w:rPr>
        <w:t xml:space="preserve">t retrospective audit </w:t>
      </w:r>
      <w:r w:rsidR="00772BFF" w:rsidRPr="002827B6">
        <w:rPr>
          <w:rFonts w:cs="Arial"/>
          <w:color w:val="000000"/>
          <w:lang w:val="en-US"/>
        </w:rPr>
        <w:t xml:space="preserve">supported </w:t>
      </w:r>
      <w:r w:rsidR="00E20E5B" w:rsidRPr="002827B6">
        <w:rPr>
          <w:rFonts w:cs="Arial"/>
          <w:color w:val="000000"/>
          <w:lang w:val="en-US"/>
        </w:rPr>
        <w:t>the strategy of weight</w:t>
      </w:r>
      <w:r w:rsidR="009C44AE" w:rsidRPr="002827B6">
        <w:rPr>
          <w:rFonts w:cs="Arial"/>
          <w:color w:val="000000"/>
          <w:lang w:val="en-US"/>
        </w:rPr>
        <w:t>-</w:t>
      </w:r>
      <w:r w:rsidR="00E20E5B" w:rsidRPr="002827B6">
        <w:rPr>
          <w:rFonts w:cs="Arial"/>
          <w:color w:val="000000"/>
          <w:lang w:val="en-US"/>
        </w:rPr>
        <w:t>based dosing of enoxaparin in obesity with no maximum dose, with anti-Xa levels</w:t>
      </w:r>
      <w:r w:rsidR="0039699D" w:rsidRPr="002827B6">
        <w:rPr>
          <w:rFonts w:cs="Arial"/>
          <w:color w:val="000000"/>
          <w:lang w:val="en-US"/>
        </w:rPr>
        <w:t xml:space="preserve"> </w:t>
      </w:r>
      <w:r w:rsidR="00E20E5B" w:rsidRPr="002827B6">
        <w:rPr>
          <w:rFonts w:cs="Arial"/>
          <w:color w:val="000000"/>
          <w:lang w:val="en-US"/>
        </w:rPr>
        <w:t xml:space="preserve">suggested </w:t>
      </w:r>
      <w:r w:rsidR="00772BFF" w:rsidRPr="002827B6">
        <w:rPr>
          <w:rFonts w:cs="Arial"/>
          <w:color w:val="000000"/>
          <w:lang w:val="en-US"/>
        </w:rPr>
        <w:t xml:space="preserve">for </w:t>
      </w:r>
      <w:r w:rsidR="00E20E5B" w:rsidRPr="002827B6">
        <w:rPr>
          <w:rFonts w:cs="Arial"/>
          <w:color w:val="000000"/>
          <w:lang w:val="en-US"/>
        </w:rPr>
        <w:t>obese patients with clinical risk factors for bleeding</w:t>
      </w:r>
      <w:r w:rsidR="00C4705C" w:rsidRPr="002827B6">
        <w:rPr>
          <w:rFonts w:cs="Arial"/>
          <w:color w:val="000000"/>
          <w:lang w:val="en-US"/>
        </w:rPr>
        <w:t xml:space="preserve"> (</w:t>
      </w:r>
      <w:r w:rsidR="005560AD" w:rsidRPr="002827B6">
        <w:rPr>
          <w:rFonts w:cs="Arial"/>
          <w:color w:val="000000"/>
          <w:lang w:val="en-US"/>
        </w:rPr>
        <w:t>32</w:t>
      </w:r>
      <w:r w:rsidR="0039699D" w:rsidRPr="002827B6">
        <w:rPr>
          <w:rFonts w:cs="Arial"/>
          <w:color w:val="000000"/>
          <w:lang w:val="en-US"/>
        </w:rPr>
        <w:t>)</w:t>
      </w:r>
      <w:r w:rsidR="00E20E5B" w:rsidRPr="002827B6">
        <w:rPr>
          <w:rFonts w:cs="Arial"/>
          <w:color w:val="000000"/>
          <w:lang w:val="en-US"/>
        </w:rPr>
        <w:t xml:space="preserve">. This study involved </w:t>
      </w:r>
      <w:r w:rsidR="009C44AE" w:rsidRPr="002827B6">
        <w:rPr>
          <w:rFonts w:cs="Arial"/>
          <w:color w:val="000000"/>
          <w:lang w:val="en-US"/>
        </w:rPr>
        <w:t xml:space="preserve">three </w:t>
      </w:r>
      <w:r w:rsidR="00E20E5B" w:rsidRPr="002827B6">
        <w:rPr>
          <w:rFonts w:cs="Arial"/>
          <w:color w:val="000000"/>
          <w:lang w:val="en-US"/>
        </w:rPr>
        <w:t>groups:</w:t>
      </w:r>
      <w:r w:rsidR="0039699D" w:rsidRPr="002827B6">
        <w:rPr>
          <w:rFonts w:cs="Arial"/>
          <w:color w:val="000000"/>
          <w:lang w:val="en-US"/>
        </w:rPr>
        <w:t xml:space="preserve"> Group 1 had patients &gt;100 kg who received a dose of 1 mg/kg </w:t>
      </w:r>
      <w:r w:rsidR="009C44AE" w:rsidRPr="002827B6">
        <w:rPr>
          <w:rFonts w:cs="Arial"/>
          <w:color w:val="000000"/>
          <w:lang w:val="en-US"/>
        </w:rPr>
        <w:t>twice daily</w:t>
      </w:r>
      <w:r w:rsidR="0039699D" w:rsidRPr="002827B6">
        <w:rPr>
          <w:rFonts w:cs="Arial"/>
          <w:color w:val="000000"/>
          <w:lang w:val="en-US"/>
        </w:rPr>
        <w:t xml:space="preserve">; Group 2 had patients who weighed &lt;100 kg and received a dose of 1 mg/kg </w:t>
      </w:r>
      <w:r w:rsidR="009C44AE" w:rsidRPr="002827B6">
        <w:rPr>
          <w:rFonts w:cs="Arial"/>
          <w:color w:val="000000"/>
          <w:lang w:val="en-US"/>
        </w:rPr>
        <w:t>twice daily</w:t>
      </w:r>
      <w:r w:rsidR="0039699D" w:rsidRPr="002827B6">
        <w:rPr>
          <w:rFonts w:cs="Arial"/>
          <w:color w:val="000000"/>
          <w:lang w:val="en-US"/>
        </w:rPr>
        <w:t xml:space="preserve">; Group 3 had patients &gt;100 kg who received an enoxaparin dose of &lt; 1mg/kg </w:t>
      </w:r>
      <w:r w:rsidR="009C44AE" w:rsidRPr="002827B6">
        <w:rPr>
          <w:rFonts w:cs="Arial"/>
          <w:color w:val="000000"/>
          <w:lang w:val="en-US"/>
        </w:rPr>
        <w:t>twice daily</w:t>
      </w:r>
      <w:r w:rsidR="008A4C93" w:rsidRPr="002827B6">
        <w:rPr>
          <w:rFonts w:cs="Arial"/>
          <w:color w:val="000000"/>
          <w:lang w:val="en-US"/>
        </w:rPr>
        <w:t>. The authors</w:t>
      </w:r>
      <w:r w:rsidR="0039699D" w:rsidRPr="002827B6">
        <w:rPr>
          <w:rFonts w:cs="Arial"/>
          <w:color w:val="000000"/>
          <w:lang w:val="en-US"/>
        </w:rPr>
        <w:t xml:space="preserve"> found that median anti-Xa levels and distribution were not significantly diffe</w:t>
      </w:r>
      <w:r w:rsidR="005560AD" w:rsidRPr="002827B6">
        <w:rPr>
          <w:rFonts w:cs="Arial"/>
          <w:color w:val="000000"/>
          <w:lang w:val="en-US"/>
        </w:rPr>
        <w:t>rent between patients who weigh</w:t>
      </w:r>
      <w:r w:rsidR="0039699D" w:rsidRPr="002827B6">
        <w:rPr>
          <w:rFonts w:cs="Arial"/>
          <w:color w:val="000000"/>
          <w:lang w:val="en-US"/>
        </w:rPr>
        <w:t xml:space="preserve">ed &gt;100 </w:t>
      </w:r>
      <w:r w:rsidR="00AD24EE" w:rsidRPr="002827B6">
        <w:rPr>
          <w:rFonts w:cs="Arial"/>
          <w:color w:val="000000"/>
          <w:lang w:val="en-US"/>
        </w:rPr>
        <w:t>kg</w:t>
      </w:r>
      <w:r w:rsidR="0039699D" w:rsidRPr="002827B6">
        <w:rPr>
          <w:rFonts w:cs="Arial"/>
          <w:color w:val="000000"/>
          <w:lang w:val="en-US"/>
        </w:rPr>
        <w:t xml:space="preserve"> and patients who weighed &lt;100 </w:t>
      </w:r>
      <w:r w:rsidR="00AD24EE" w:rsidRPr="002827B6">
        <w:rPr>
          <w:rFonts w:cs="Arial"/>
          <w:color w:val="000000"/>
          <w:lang w:val="en-US"/>
        </w:rPr>
        <w:t>kg</w:t>
      </w:r>
      <w:r w:rsidR="0039699D" w:rsidRPr="002827B6">
        <w:rPr>
          <w:rFonts w:cs="Arial"/>
          <w:color w:val="000000"/>
          <w:lang w:val="en-US"/>
        </w:rPr>
        <w:t xml:space="preserve">. Furthermore, this study also found that obese patients who received an enoxaparin dose &lt; 1mg/kg </w:t>
      </w:r>
      <w:r w:rsidR="005560AD" w:rsidRPr="002827B6">
        <w:rPr>
          <w:rFonts w:cs="Arial"/>
          <w:color w:val="000000"/>
          <w:lang w:val="en-US"/>
        </w:rPr>
        <w:t>had subtherapeutic anti-</w:t>
      </w:r>
      <w:r w:rsidR="0039699D" w:rsidRPr="002827B6">
        <w:rPr>
          <w:rFonts w:cs="Arial"/>
          <w:color w:val="000000"/>
          <w:lang w:val="en-US"/>
        </w:rPr>
        <w:t xml:space="preserve"> Xa levels</w:t>
      </w:r>
      <w:r w:rsidR="00AD24EE" w:rsidRPr="002827B6">
        <w:rPr>
          <w:rFonts w:cs="Arial"/>
          <w:color w:val="000000"/>
          <w:lang w:val="en-US"/>
        </w:rPr>
        <w:t xml:space="preserve"> more frequently</w:t>
      </w:r>
      <w:r w:rsidR="0039699D" w:rsidRPr="002827B6">
        <w:rPr>
          <w:rFonts w:cs="Arial"/>
          <w:color w:val="000000"/>
          <w:lang w:val="en-US"/>
        </w:rPr>
        <w:t xml:space="preserve">. </w:t>
      </w:r>
      <w:r w:rsidR="0039699D" w:rsidRPr="002827B6">
        <w:rPr>
          <w:rFonts w:cs="Arial"/>
          <w:lang w:val="en-US"/>
        </w:rPr>
        <w:t>Conversely</w:t>
      </w:r>
      <w:r w:rsidR="00CA14CA" w:rsidRPr="002827B6">
        <w:rPr>
          <w:rFonts w:cs="Arial"/>
          <w:lang w:val="en-US"/>
        </w:rPr>
        <w:t xml:space="preserve">, </w:t>
      </w:r>
      <w:r w:rsidR="009A2DE3" w:rsidRPr="002827B6">
        <w:rPr>
          <w:rFonts w:cs="Arial"/>
          <w:lang w:val="en-US"/>
        </w:rPr>
        <w:t>another study concluded</w:t>
      </w:r>
      <w:r w:rsidR="0039699D" w:rsidRPr="002827B6">
        <w:rPr>
          <w:rFonts w:cs="Arial"/>
          <w:lang w:val="en-US"/>
        </w:rPr>
        <w:t xml:space="preserve"> that traditional</w:t>
      </w:r>
      <w:r w:rsidR="00AB06F3" w:rsidRPr="002827B6">
        <w:rPr>
          <w:rFonts w:cs="Arial"/>
          <w:lang w:val="en-US"/>
        </w:rPr>
        <w:t xml:space="preserve"> 1mg/kg </w:t>
      </w:r>
      <w:r w:rsidR="009C44AE" w:rsidRPr="002827B6">
        <w:rPr>
          <w:rFonts w:cs="Arial"/>
          <w:lang w:val="en-US"/>
        </w:rPr>
        <w:t>twice daily</w:t>
      </w:r>
      <w:r w:rsidR="00AD24EE" w:rsidRPr="002827B6">
        <w:rPr>
          <w:rFonts w:cs="Arial"/>
          <w:lang w:val="en-US"/>
        </w:rPr>
        <w:t xml:space="preserve"> dosing</w:t>
      </w:r>
      <w:r w:rsidR="009C44AE" w:rsidRPr="002827B6">
        <w:rPr>
          <w:rFonts w:cs="Arial"/>
          <w:lang w:val="en-US"/>
        </w:rPr>
        <w:t xml:space="preserve"> based on </w:t>
      </w:r>
      <w:r w:rsidR="00AB06F3" w:rsidRPr="002827B6">
        <w:rPr>
          <w:rFonts w:cs="Arial"/>
          <w:lang w:val="en-US"/>
        </w:rPr>
        <w:t>TBW</w:t>
      </w:r>
      <w:r w:rsidR="00C4705C" w:rsidRPr="002827B6">
        <w:rPr>
          <w:rFonts w:cs="Arial"/>
          <w:lang w:val="en-US"/>
        </w:rPr>
        <w:t xml:space="preserve"> may</w:t>
      </w:r>
      <w:r w:rsidR="00AB06F3" w:rsidRPr="002827B6">
        <w:rPr>
          <w:rFonts w:cs="Arial"/>
          <w:lang w:val="en-US"/>
        </w:rPr>
        <w:t xml:space="preserve"> not </w:t>
      </w:r>
      <w:r w:rsidR="00C4705C" w:rsidRPr="002827B6">
        <w:rPr>
          <w:rFonts w:cs="Arial"/>
          <w:lang w:val="en-US"/>
        </w:rPr>
        <w:t xml:space="preserve">be </w:t>
      </w:r>
      <w:r w:rsidR="00AB06F3" w:rsidRPr="002827B6">
        <w:rPr>
          <w:rFonts w:cs="Arial"/>
          <w:lang w:val="en-US"/>
        </w:rPr>
        <w:t>appropriate and suggests that a</w:t>
      </w:r>
      <w:r w:rsidR="009A2DE3" w:rsidRPr="002827B6">
        <w:rPr>
          <w:rFonts w:cs="Arial"/>
          <w:lang w:val="en-US"/>
        </w:rPr>
        <w:t xml:space="preserve"> starting</w:t>
      </w:r>
      <w:r w:rsidR="00AB06F3" w:rsidRPr="002827B6">
        <w:rPr>
          <w:rFonts w:cs="Arial"/>
          <w:lang w:val="en-US"/>
        </w:rPr>
        <w:t xml:space="preserve"> dose of 0.75-0.85 mg/kg </w:t>
      </w:r>
      <w:r w:rsidR="009C44AE" w:rsidRPr="002827B6">
        <w:rPr>
          <w:rFonts w:cs="Arial"/>
          <w:lang w:val="en-US"/>
        </w:rPr>
        <w:t xml:space="preserve">twice daily </w:t>
      </w:r>
      <w:r w:rsidR="00AB06F3" w:rsidRPr="002827B6">
        <w:rPr>
          <w:rFonts w:cs="Arial"/>
          <w:lang w:val="en-US"/>
        </w:rPr>
        <w:t xml:space="preserve">should </w:t>
      </w:r>
      <w:r w:rsidR="00C4705C" w:rsidRPr="002827B6">
        <w:rPr>
          <w:rFonts w:cs="Arial"/>
          <w:lang w:val="en-US"/>
        </w:rPr>
        <w:t>be considered (</w:t>
      </w:r>
      <w:r w:rsidR="005560AD" w:rsidRPr="002827B6">
        <w:rPr>
          <w:rFonts w:cs="Arial"/>
          <w:lang w:val="en-US"/>
        </w:rPr>
        <w:t>33</w:t>
      </w:r>
      <w:r w:rsidR="00AB06F3" w:rsidRPr="002827B6">
        <w:rPr>
          <w:rFonts w:cs="Arial"/>
          <w:lang w:val="en-US"/>
        </w:rPr>
        <w:t>).</w:t>
      </w:r>
      <w:r w:rsidR="009A2DE3" w:rsidRPr="002827B6">
        <w:rPr>
          <w:rFonts w:cs="Arial"/>
          <w:lang w:val="en-US"/>
        </w:rPr>
        <w:t xml:space="preserve"> </w:t>
      </w:r>
      <w:r w:rsidR="009A2DE3" w:rsidRPr="002827B6">
        <w:rPr>
          <w:rFonts w:cs="Arial"/>
          <w:szCs w:val="20"/>
          <w:lang w:val="en-US"/>
        </w:rPr>
        <w:t>The authors</w:t>
      </w:r>
      <w:r w:rsidR="009A2DE3" w:rsidRPr="002827B6">
        <w:rPr>
          <w:rFonts w:cs="Arial"/>
          <w:szCs w:val="20"/>
        </w:rPr>
        <w:t xml:space="preserve"> recommend that anti-Xa monitoring is conducted for all obese patients prescribed enoxaparin, irrespective of the dose,</w:t>
      </w:r>
      <w:r w:rsidR="009A2DE3" w:rsidRPr="002827B6">
        <w:rPr>
          <w:rFonts w:cs="Arial"/>
          <w:szCs w:val="20"/>
          <w:lang w:val="en-US"/>
        </w:rPr>
        <w:t xml:space="preserve"> </w:t>
      </w:r>
      <w:r w:rsidR="009A2DE3" w:rsidRPr="002827B6">
        <w:rPr>
          <w:rFonts w:cs="Arial"/>
          <w:szCs w:val="20"/>
        </w:rPr>
        <w:t>due to the complex pharmacokinetics and pharmacodynamics in obesity and the large interpatient variability.</w:t>
      </w:r>
      <w:r w:rsidR="00F032FA" w:rsidRPr="00F032FA">
        <w:rPr>
          <w:rFonts w:cs="Arial"/>
          <w:sz w:val="27"/>
          <w:szCs w:val="27"/>
        </w:rPr>
        <w:t xml:space="preserve"> </w:t>
      </w:r>
      <w:r w:rsidR="008A4C93" w:rsidRPr="002827B6">
        <w:rPr>
          <w:rFonts w:cs="Arial"/>
          <w:lang w:val="en-US"/>
        </w:rPr>
        <w:t>A single</w:t>
      </w:r>
      <w:r w:rsidR="00CA14CA" w:rsidRPr="002827B6">
        <w:rPr>
          <w:rFonts w:cs="Arial"/>
          <w:lang w:val="en-US"/>
        </w:rPr>
        <w:t xml:space="preserve"> randomized controlled trial </w:t>
      </w:r>
      <w:r w:rsidR="008A4C93" w:rsidRPr="002827B6">
        <w:rPr>
          <w:rFonts w:cs="Arial"/>
          <w:lang w:val="en-US"/>
        </w:rPr>
        <w:t>(RCT) was found, which aimed to evaluate</w:t>
      </w:r>
      <w:r w:rsidR="00CA14CA" w:rsidRPr="002827B6">
        <w:rPr>
          <w:rFonts w:cs="Arial"/>
          <w:lang w:val="en-US"/>
        </w:rPr>
        <w:t xml:space="preserve"> the treatment dose of enoxaparin in acutely ill morbidly obese patients</w:t>
      </w:r>
      <w:r w:rsidR="00A6268B" w:rsidRPr="002827B6">
        <w:rPr>
          <w:rFonts w:cs="Arial"/>
          <w:lang w:val="en-US"/>
        </w:rPr>
        <w:t>. The study</w:t>
      </w:r>
      <w:r w:rsidR="00CA14CA" w:rsidRPr="002827B6">
        <w:rPr>
          <w:rFonts w:cs="Arial"/>
          <w:lang w:val="en-US"/>
        </w:rPr>
        <w:t xml:space="preserve"> compared anti-Xa levels of patients receiving 1 mg/kg </w:t>
      </w:r>
      <w:r w:rsidR="00A6268B" w:rsidRPr="002827B6">
        <w:rPr>
          <w:rFonts w:cs="Arial"/>
          <w:lang w:val="en-US"/>
        </w:rPr>
        <w:t xml:space="preserve">twice daily </w:t>
      </w:r>
      <w:r w:rsidR="00CA14CA" w:rsidRPr="002827B6">
        <w:rPr>
          <w:rFonts w:cs="Arial"/>
          <w:lang w:val="en-US"/>
        </w:rPr>
        <w:t>with those receiving a reduce</w:t>
      </w:r>
      <w:r w:rsidR="00C4705C" w:rsidRPr="002827B6">
        <w:rPr>
          <w:rFonts w:cs="Arial"/>
          <w:lang w:val="en-US"/>
        </w:rPr>
        <w:t>d dose of 0.8 mg/kg</w:t>
      </w:r>
      <w:r w:rsidR="00A6268B" w:rsidRPr="002827B6">
        <w:rPr>
          <w:rFonts w:cs="Arial"/>
          <w:lang w:val="en-US"/>
        </w:rPr>
        <w:t xml:space="preserve"> twice daily</w:t>
      </w:r>
      <w:r w:rsidR="00C4705C" w:rsidRPr="002827B6">
        <w:rPr>
          <w:rFonts w:cs="Arial"/>
          <w:lang w:val="en-US"/>
        </w:rPr>
        <w:t xml:space="preserve"> (</w:t>
      </w:r>
      <w:r w:rsidR="00CA14CA" w:rsidRPr="002827B6">
        <w:rPr>
          <w:rFonts w:cs="Arial"/>
          <w:lang w:val="en-US"/>
        </w:rPr>
        <w:t>34).</w:t>
      </w:r>
      <w:r w:rsidR="00B05172" w:rsidRPr="002827B6">
        <w:rPr>
          <w:rFonts w:cs="Arial"/>
          <w:lang w:val="en-US"/>
        </w:rPr>
        <w:t xml:space="preserve"> </w:t>
      </w:r>
      <w:r w:rsidR="00CA14CA" w:rsidRPr="002827B6">
        <w:rPr>
          <w:rFonts w:cs="Arial"/>
          <w:lang w:val="en-US"/>
        </w:rPr>
        <w:t>The trial</w:t>
      </w:r>
      <w:r w:rsidR="00CA14CA" w:rsidRPr="002827B6">
        <w:rPr>
          <w:rFonts w:cs="Arial"/>
          <w:color w:val="000000"/>
          <w:lang w:val="en-US"/>
        </w:rPr>
        <w:t xml:space="preserve"> failed to show statistically significant differences between the two dosing strategies. However, there was a 12.4% difference in primary outcome, resulting in 89.3% of patients achieving a goal anti-Xa when initiated on 0.8 mg/kg. Although this finding was not stati</w:t>
      </w:r>
      <w:r w:rsidR="00A6268B" w:rsidRPr="002827B6">
        <w:rPr>
          <w:rFonts w:cs="Arial"/>
          <w:color w:val="000000"/>
          <w:lang w:val="en-US"/>
        </w:rPr>
        <w:t>sti</w:t>
      </w:r>
      <w:r w:rsidR="00CA14CA" w:rsidRPr="002827B6">
        <w:rPr>
          <w:rFonts w:cs="Arial"/>
          <w:color w:val="000000"/>
          <w:lang w:val="en-US"/>
        </w:rPr>
        <w:t xml:space="preserve">cally significant, it was suggested </w:t>
      </w:r>
      <w:r w:rsidR="00A6268B" w:rsidRPr="002827B6">
        <w:rPr>
          <w:rFonts w:cs="Arial"/>
          <w:color w:val="000000"/>
          <w:lang w:val="en-US"/>
        </w:rPr>
        <w:t>to be</w:t>
      </w:r>
      <w:r w:rsidR="00CA14CA" w:rsidRPr="002827B6">
        <w:rPr>
          <w:rFonts w:cs="Arial"/>
          <w:color w:val="000000"/>
          <w:lang w:val="en-US"/>
        </w:rPr>
        <w:t xml:space="preserve"> clinically relevant.</w:t>
      </w:r>
    </w:p>
    <w:p w:rsidR="0062380B" w:rsidRPr="002827B6" w:rsidRDefault="0062380B" w:rsidP="0062380B">
      <w:pPr>
        <w:spacing w:after="0"/>
        <w:rPr>
          <w:rFonts w:cs="Arial"/>
          <w:b/>
          <w:color w:val="0070C0"/>
          <w:lang w:val="en-US"/>
        </w:rPr>
      </w:pPr>
    </w:p>
    <w:p w:rsidR="0062380B" w:rsidRPr="002827B6" w:rsidRDefault="008A4C93" w:rsidP="0062380B">
      <w:pPr>
        <w:spacing w:after="0"/>
        <w:rPr>
          <w:rFonts w:cs="Arial"/>
          <w:lang w:val="en-US"/>
        </w:rPr>
      </w:pPr>
      <w:r w:rsidRPr="002827B6">
        <w:rPr>
          <w:rFonts w:cs="Arial"/>
          <w:lang w:val="en-US"/>
        </w:rPr>
        <w:t>In summary, despite the general recommendation that dose capping should be avoided, alternative dose capping strategies are</w:t>
      </w:r>
      <w:r w:rsidR="00BA0B58" w:rsidRPr="002827B6">
        <w:rPr>
          <w:rFonts w:cs="Arial"/>
          <w:lang w:val="en-US"/>
        </w:rPr>
        <w:t xml:space="preserve"> </w:t>
      </w:r>
      <w:r w:rsidRPr="002827B6">
        <w:rPr>
          <w:rFonts w:cs="Arial"/>
          <w:lang w:val="en-US"/>
        </w:rPr>
        <w:t>proposed in the literature. Results are contradictory and inconclusive. Furthe</w:t>
      </w:r>
      <w:r w:rsidR="00E56591" w:rsidRPr="002827B6">
        <w:rPr>
          <w:rFonts w:cs="Arial"/>
          <w:lang w:val="en-US"/>
        </w:rPr>
        <w:t>r, larger</w:t>
      </w:r>
      <w:r w:rsidR="00A6268B" w:rsidRPr="002827B6">
        <w:rPr>
          <w:rFonts w:cs="Arial"/>
          <w:lang w:val="en-US"/>
        </w:rPr>
        <w:t>-</w:t>
      </w:r>
      <w:r w:rsidR="00E56591" w:rsidRPr="002827B6">
        <w:rPr>
          <w:rFonts w:cs="Arial"/>
          <w:lang w:val="en-US"/>
        </w:rPr>
        <w:t>scale RCTs are required to explore these alternative dosing strategies.</w:t>
      </w:r>
    </w:p>
    <w:p w:rsidR="0062380B" w:rsidRPr="002827B6" w:rsidRDefault="0062380B" w:rsidP="0062380B">
      <w:pPr>
        <w:spacing w:after="0"/>
        <w:rPr>
          <w:rFonts w:cs="Arial"/>
          <w:b/>
          <w:color w:val="0070C0"/>
          <w:lang w:val="en-US"/>
        </w:rPr>
      </w:pPr>
    </w:p>
    <w:p w:rsidR="00915145" w:rsidRPr="002827B6" w:rsidRDefault="00B05172" w:rsidP="002910C4">
      <w:pPr>
        <w:pStyle w:val="Heading2"/>
        <w:rPr>
          <w:rFonts w:cs="Arial"/>
          <w:sz w:val="20"/>
        </w:rPr>
      </w:pPr>
      <w:r w:rsidRPr="002827B6">
        <w:rPr>
          <w:rFonts w:cs="Arial"/>
          <w:sz w:val="20"/>
        </w:rPr>
        <w:t>5</w:t>
      </w:r>
      <w:r w:rsidR="00915145" w:rsidRPr="002827B6">
        <w:rPr>
          <w:rFonts w:cs="Arial"/>
          <w:sz w:val="20"/>
        </w:rPr>
        <w:t>. Practicalities around safe prescribing and administration</w:t>
      </w:r>
    </w:p>
    <w:p w:rsidR="00915145" w:rsidRPr="002827B6" w:rsidRDefault="00915145" w:rsidP="002910C4">
      <w:pPr>
        <w:rPr>
          <w:rFonts w:cs="Arial"/>
          <w:lang w:val="en-US"/>
        </w:rPr>
      </w:pPr>
      <w:r w:rsidRPr="002827B6">
        <w:rPr>
          <w:rFonts w:cs="Arial"/>
          <w:lang w:val="en-US"/>
        </w:rPr>
        <w:t>If it is considered necessary to split the daily dose of LMWH, a risk assessment must be made to ensure that increasing the frequency of dosing does not impact on other aspects of patient treatment</w:t>
      </w:r>
      <w:r w:rsidR="00A6268B" w:rsidRPr="002827B6">
        <w:rPr>
          <w:rFonts w:cs="Arial"/>
          <w:lang w:val="en-US"/>
        </w:rPr>
        <w:t>.</w:t>
      </w:r>
      <w:r w:rsidRPr="002827B6">
        <w:rPr>
          <w:rFonts w:cs="Arial"/>
          <w:lang w:val="en-US"/>
        </w:rPr>
        <w:t xml:space="preserve"> For example, care must be taken to avoid giving LMWHs too close to any recent or planned spinal interventions (including s</w:t>
      </w:r>
      <w:r w:rsidR="002910C4" w:rsidRPr="002827B6">
        <w:rPr>
          <w:rFonts w:cs="Arial"/>
          <w:lang w:val="en-US"/>
        </w:rPr>
        <w:t xml:space="preserve">pinal or epidural anaesthetics, </w:t>
      </w:r>
      <w:r w:rsidRPr="002827B6">
        <w:rPr>
          <w:rFonts w:cs="Arial"/>
          <w:lang w:val="en-US"/>
        </w:rPr>
        <w:t>removal of epidural catheters, lumbar punctures, etc) as this can result in serious adverse event</w:t>
      </w:r>
      <w:r w:rsidR="00A6268B" w:rsidRPr="002827B6">
        <w:rPr>
          <w:rFonts w:cs="Arial"/>
          <w:lang w:val="en-US"/>
        </w:rPr>
        <w:t>s</w:t>
      </w:r>
      <w:r w:rsidR="00C4705C" w:rsidRPr="002827B6">
        <w:rPr>
          <w:rFonts w:cs="Arial"/>
          <w:lang w:val="en-US"/>
        </w:rPr>
        <w:t xml:space="preserve"> (1-3, 35)</w:t>
      </w:r>
      <w:r w:rsidRPr="002827B6">
        <w:rPr>
          <w:rFonts w:cs="Arial"/>
          <w:lang w:val="en-US"/>
        </w:rPr>
        <w:t>.</w:t>
      </w:r>
    </w:p>
    <w:p w:rsidR="002910C4" w:rsidRPr="002827B6" w:rsidRDefault="002910C4" w:rsidP="002910C4">
      <w:pPr>
        <w:rPr>
          <w:rFonts w:cs="Arial"/>
          <w:lang w:val="en-US"/>
        </w:rPr>
      </w:pPr>
      <w:r w:rsidRPr="002827B6">
        <w:rPr>
          <w:rFonts w:cs="Arial"/>
          <w:lang w:val="en-US"/>
        </w:rPr>
        <w:t>The complexity of dose calculations should also be taken into account and, where possible, clear dose banding advice should be produced to enable the us</w:t>
      </w:r>
      <w:r w:rsidR="00C4705C" w:rsidRPr="002827B6">
        <w:rPr>
          <w:rFonts w:cs="Arial"/>
          <w:lang w:val="en-US"/>
        </w:rPr>
        <w:t>e of pre-filled syringes (36</w:t>
      </w:r>
      <w:r w:rsidRPr="002827B6">
        <w:rPr>
          <w:rFonts w:cs="Arial"/>
          <w:lang w:val="en-US"/>
        </w:rPr>
        <w:t>). This may involve rounding doses up or down as necessary.</w:t>
      </w:r>
    </w:p>
    <w:p w:rsidR="002D4711" w:rsidRPr="002827B6" w:rsidRDefault="002D4711" w:rsidP="00D02C41">
      <w:pPr>
        <w:pStyle w:val="Heading2"/>
        <w:rPr>
          <w:rFonts w:cs="Arial"/>
          <w:sz w:val="20"/>
        </w:rPr>
      </w:pPr>
    </w:p>
    <w:p w:rsidR="002D4711" w:rsidRPr="002827B6" w:rsidRDefault="002D4711" w:rsidP="00D02C41">
      <w:pPr>
        <w:pStyle w:val="Heading2"/>
        <w:rPr>
          <w:rFonts w:cs="Arial"/>
        </w:rPr>
      </w:pPr>
    </w:p>
    <w:p w:rsidR="005848E6" w:rsidRPr="002827B6" w:rsidRDefault="00D02C41" w:rsidP="00B05172">
      <w:pPr>
        <w:pStyle w:val="Heading2"/>
        <w:spacing w:line="276" w:lineRule="auto"/>
        <w:rPr>
          <w:rFonts w:cs="Arial"/>
        </w:rPr>
      </w:pPr>
      <w:r w:rsidRPr="002827B6">
        <w:rPr>
          <w:rFonts w:cs="Arial"/>
        </w:rPr>
        <w:t>Summary</w:t>
      </w:r>
    </w:p>
    <w:p w:rsidR="004E456D" w:rsidRPr="002827B6" w:rsidRDefault="004E456D" w:rsidP="00B05172">
      <w:pPr>
        <w:spacing w:after="0"/>
        <w:rPr>
          <w:rFonts w:cs="Arial"/>
          <w:lang w:val="en-US"/>
        </w:rPr>
      </w:pPr>
      <w:r w:rsidRPr="002827B6">
        <w:rPr>
          <w:rFonts w:cs="Arial"/>
          <w:lang w:val="en-US"/>
        </w:rPr>
        <w:t>Treatment of VTE in patients with high body weight constitutes a challenge in clinical practice. Adjustments in dose calculation may be necessary in certain circumstances and may justify the off-label use of LMWHs. This decision should be made following careful consideration of both the clinical and practical risks introduced by changing standard practice in the prescribing of LMWHs. Monitoring of anti-Xa levels is key to the safe use of these medicines in this patient group.</w:t>
      </w:r>
    </w:p>
    <w:p w:rsidR="004E456D" w:rsidRPr="002827B6" w:rsidRDefault="004E456D" w:rsidP="00B05172">
      <w:pPr>
        <w:spacing w:after="0"/>
        <w:rPr>
          <w:rFonts w:cs="Arial"/>
          <w:lang w:val="en-US"/>
        </w:rPr>
      </w:pPr>
    </w:p>
    <w:p w:rsidR="004E456D" w:rsidRPr="002827B6" w:rsidRDefault="005848E6" w:rsidP="00726DFD">
      <w:pPr>
        <w:spacing w:after="0"/>
        <w:rPr>
          <w:rFonts w:cs="Arial"/>
          <w:lang w:val="en-US"/>
        </w:rPr>
      </w:pPr>
      <w:r w:rsidRPr="002827B6">
        <w:rPr>
          <w:rFonts w:cs="Arial"/>
          <w:lang w:val="en-US"/>
        </w:rPr>
        <w:t>The lack of clear guidance within the product licenses and the published literature may require the development of local specialist advice to support t</w:t>
      </w:r>
      <w:r w:rsidR="004E456D" w:rsidRPr="002827B6">
        <w:rPr>
          <w:rFonts w:cs="Arial"/>
          <w:lang w:val="en-US"/>
        </w:rPr>
        <w:t>he management of these patients.</w:t>
      </w:r>
      <w:r w:rsidRPr="002827B6">
        <w:rPr>
          <w:rFonts w:cs="Arial"/>
          <w:lang w:val="en-US"/>
        </w:rPr>
        <w:t xml:space="preserve"> Such a guideline has been developed within</w:t>
      </w:r>
      <w:r w:rsidR="004E456D" w:rsidRPr="002827B6">
        <w:rPr>
          <w:rFonts w:cs="Arial"/>
          <w:lang w:val="en-US"/>
        </w:rPr>
        <w:t xml:space="preserve"> NHS Greater Glasgow and Clyde (available on request). It should be noted that this guidance is based on local specialist consensus and describes off-label use of LMWHs.</w:t>
      </w:r>
    </w:p>
    <w:p w:rsidR="005848E6" w:rsidRPr="002827B6" w:rsidRDefault="005848E6" w:rsidP="00726DFD">
      <w:pPr>
        <w:spacing w:after="0"/>
        <w:rPr>
          <w:rFonts w:cs="Arial"/>
          <w:lang w:val="en-US"/>
        </w:rPr>
      </w:pPr>
    </w:p>
    <w:p w:rsidR="00E3408C" w:rsidRPr="002827B6" w:rsidRDefault="00D02C41" w:rsidP="00726DFD">
      <w:pPr>
        <w:spacing w:after="0"/>
        <w:rPr>
          <w:rFonts w:cs="Arial"/>
        </w:rPr>
      </w:pPr>
      <w:r w:rsidRPr="002827B6">
        <w:rPr>
          <w:rStyle w:val="Heading3Char"/>
          <w:rFonts w:eastAsia="Calibri" w:cs="Arial"/>
        </w:rPr>
        <w:t>Limitations</w:t>
      </w:r>
    </w:p>
    <w:p w:rsidR="00726DFD" w:rsidRPr="002827B6" w:rsidRDefault="00E3408C" w:rsidP="00726DFD">
      <w:pPr>
        <w:spacing w:after="0"/>
        <w:rPr>
          <w:rFonts w:cs="Arial"/>
        </w:rPr>
      </w:pPr>
      <w:r w:rsidRPr="002827B6">
        <w:rPr>
          <w:rFonts w:cs="Arial"/>
        </w:rPr>
        <w:t>This guidance is for adult patients only and does not apply to pregnant women. The content of this document is based on limited clinical evidence and should only be used as a guide for dosing adjustments until further data are available. This is not a comprehensive review of all LMWHs and only includes information on enoxaparin, dalteparin and tinzaparin.</w:t>
      </w:r>
      <w:r w:rsidR="00D02C41" w:rsidRPr="002827B6">
        <w:rPr>
          <w:rFonts w:cs="Arial"/>
        </w:rPr>
        <w:t xml:space="preserve"> </w:t>
      </w:r>
    </w:p>
    <w:p w:rsidR="00726DFD" w:rsidRPr="002827B6" w:rsidRDefault="00726DFD" w:rsidP="00726DFD">
      <w:pPr>
        <w:spacing w:after="0"/>
        <w:rPr>
          <w:rFonts w:cs="Arial"/>
          <w:b/>
          <w:color w:val="0070C0"/>
          <w:lang w:val="en-US"/>
        </w:rPr>
      </w:pPr>
    </w:p>
    <w:p w:rsidR="009D6BE5" w:rsidRPr="002827B6" w:rsidRDefault="00D02C41" w:rsidP="00726DFD">
      <w:pPr>
        <w:spacing w:after="0"/>
        <w:rPr>
          <w:rFonts w:cs="Arial"/>
          <w:b/>
          <w:color w:val="0070C0"/>
          <w:lang w:val="en-US"/>
        </w:rPr>
      </w:pPr>
      <w:r w:rsidRPr="002827B6">
        <w:rPr>
          <w:rFonts w:cs="Arial"/>
          <w:b/>
          <w:color w:val="0070C0"/>
          <w:lang w:val="en-US"/>
        </w:rPr>
        <w:t>References</w:t>
      </w:r>
    </w:p>
    <w:p w:rsidR="009D6BE5" w:rsidRPr="002827B6" w:rsidRDefault="00E3408C" w:rsidP="00726DFD">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76" w:lineRule="auto"/>
        <w:rPr>
          <w:rFonts w:ascii="Arial" w:hAnsi="Arial" w:cs="Arial"/>
          <w:b w:val="0"/>
          <w:sz w:val="20"/>
          <w:szCs w:val="20"/>
        </w:rPr>
      </w:pPr>
      <w:r w:rsidRPr="002827B6">
        <w:rPr>
          <w:rFonts w:ascii="Arial" w:hAnsi="Arial" w:cs="Arial"/>
          <w:b w:val="0"/>
          <w:sz w:val="20"/>
          <w:szCs w:val="20"/>
          <w:lang w:val="en-US"/>
        </w:rPr>
        <w:t>(</w:t>
      </w:r>
      <w:r w:rsidR="009D6BE5" w:rsidRPr="002827B6">
        <w:rPr>
          <w:rFonts w:ascii="Arial" w:hAnsi="Arial" w:cs="Arial"/>
          <w:b w:val="0"/>
          <w:sz w:val="20"/>
          <w:szCs w:val="20"/>
          <w:lang w:val="en-US"/>
        </w:rPr>
        <w:t>1</w:t>
      </w:r>
      <w:r w:rsidRPr="002827B6">
        <w:rPr>
          <w:rFonts w:ascii="Arial" w:hAnsi="Arial" w:cs="Arial"/>
          <w:b w:val="0"/>
          <w:sz w:val="20"/>
          <w:szCs w:val="20"/>
          <w:lang w:val="en-US"/>
        </w:rPr>
        <w:t>)</w:t>
      </w:r>
      <w:r w:rsidR="009D6BE5" w:rsidRPr="002827B6">
        <w:rPr>
          <w:rFonts w:ascii="Arial" w:hAnsi="Arial" w:cs="Arial"/>
          <w:b w:val="0"/>
          <w:sz w:val="20"/>
          <w:szCs w:val="20"/>
          <w:lang w:val="en-US"/>
        </w:rPr>
        <w:t xml:space="preserve"> Summary of Product Characteristics- </w:t>
      </w:r>
      <w:r w:rsidR="00C57D60" w:rsidRPr="002827B6">
        <w:rPr>
          <w:rFonts w:ascii="Arial" w:hAnsi="Arial" w:cs="Arial"/>
          <w:b w:val="0"/>
          <w:sz w:val="20"/>
          <w:szCs w:val="20"/>
          <w:lang w:val="en-US"/>
        </w:rPr>
        <w:t>Clexane® pre-filled syringes (Enoxaparin). Sanofi. Accessed</w:t>
      </w:r>
      <w:r w:rsidR="00E2669A" w:rsidRPr="002827B6">
        <w:rPr>
          <w:rFonts w:ascii="Arial" w:hAnsi="Arial" w:cs="Arial"/>
          <w:b w:val="0"/>
          <w:sz w:val="20"/>
          <w:szCs w:val="20"/>
          <w:lang w:val="en-US"/>
        </w:rPr>
        <w:t xml:space="preserve"> </w:t>
      </w:r>
      <w:hyperlink r:id="rId9" w:history="1">
        <w:r w:rsidR="004074BA" w:rsidRPr="002827B6">
          <w:rPr>
            <w:rStyle w:val="Hyperlink"/>
            <w:rFonts w:ascii="Arial" w:hAnsi="Arial" w:cs="Arial"/>
            <w:b w:val="0"/>
            <w:sz w:val="20"/>
            <w:szCs w:val="20"/>
          </w:rPr>
          <w:t>http://www.medicines.org.uk/emc/product/4499/smpc</w:t>
        </w:r>
      </w:hyperlink>
      <w:r w:rsidR="004074BA" w:rsidRPr="002827B6">
        <w:rPr>
          <w:rFonts w:ascii="Arial" w:hAnsi="Arial" w:cs="Arial"/>
          <w:b w:val="0"/>
          <w:sz w:val="20"/>
          <w:szCs w:val="20"/>
        </w:rPr>
        <w:t xml:space="preserve">  on 04/06/2020 </w:t>
      </w:r>
      <w:r w:rsidR="00E2669A" w:rsidRPr="002827B6">
        <w:rPr>
          <w:rFonts w:ascii="Arial" w:hAnsi="Arial" w:cs="Arial"/>
          <w:b w:val="0"/>
          <w:sz w:val="20"/>
          <w:szCs w:val="20"/>
        </w:rPr>
        <w:t>[Date of revision of the text 26/05/2020].</w:t>
      </w:r>
    </w:p>
    <w:p w:rsidR="009D6BE5" w:rsidRPr="002827B6" w:rsidRDefault="00E3408C" w:rsidP="00263D8C">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hAnsi="Arial" w:cs="Arial"/>
          <w:b w:val="0"/>
          <w:sz w:val="20"/>
          <w:szCs w:val="20"/>
        </w:rPr>
      </w:pPr>
      <w:r w:rsidRPr="002827B6">
        <w:rPr>
          <w:rFonts w:ascii="Arial" w:hAnsi="Arial" w:cs="Arial"/>
          <w:b w:val="0"/>
          <w:sz w:val="20"/>
          <w:szCs w:val="20"/>
          <w:lang w:val="en-US"/>
        </w:rPr>
        <w:t>(2)</w:t>
      </w:r>
      <w:r w:rsidR="00C57D60" w:rsidRPr="002827B6">
        <w:rPr>
          <w:rFonts w:ascii="Arial" w:hAnsi="Arial" w:cs="Arial"/>
          <w:b w:val="0"/>
          <w:sz w:val="20"/>
          <w:szCs w:val="20"/>
          <w:lang w:val="en-US"/>
        </w:rPr>
        <w:t xml:space="preserve"> Summary of Product Characteristics-</w:t>
      </w:r>
      <w:r w:rsidR="00E2669A" w:rsidRPr="002827B6">
        <w:rPr>
          <w:rFonts w:ascii="Arial" w:hAnsi="Arial" w:cs="Arial"/>
          <w:b w:val="0"/>
          <w:sz w:val="20"/>
          <w:szCs w:val="20"/>
        </w:rPr>
        <w:t>I</w:t>
      </w:r>
      <w:r w:rsidR="00C57D60" w:rsidRPr="002827B6">
        <w:rPr>
          <w:rFonts w:ascii="Arial" w:hAnsi="Arial" w:cs="Arial"/>
          <w:b w:val="0"/>
          <w:sz w:val="20"/>
          <w:szCs w:val="20"/>
        </w:rPr>
        <w:t>nnohep Syringe 20,000 IU/ml Solution for injection in pre-filled syringe</w:t>
      </w:r>
      <w:r w:rsidR="00C57D60" w:rsidRPr="002827B6">
        <w:rPr>
          <w:rFonts w:ascii="Arial" w:hAnsi="Arial" w:cs="Arial"/>
          <w:b w:val="0"/>
          <w:sz w:val="20"/>
          <w:szCs w:val="20"/>
          <w:lang w:val="en-US"/>
        </w:rPr>
        <w:t xml:space="preserve"> </w:t>
      </w:r>
      <w:r w:rsidR="00C57D60" w:rsidRPr="002827B6">
        <w:rPr>
          <w:rFonts w:ascii="Arial" w:hAnsi="Arial" w:cs="Arial"/>
          <w:b w:val="0"/>
          <w:sz w:val="20"/>
          <w:szCs w:val="20"/>
        </w:rPr>
        <w:t>(Tinzaparin). Leo Laboratories Limited. Accessed</w:t>
      </w:r>
      <w:r w:rsidR="00E2669A" w:rsidRPr="002827B6">
        <w:rPr>
          <w:rFonts w:ascii="Arial" w:hAnsi="Arial" w:cs="Arial"/>
          <w:b w:val="0"/>
          <w:sz w:val="20"/>
          <w:szCs w:val="20"/>
        </w:rPr>
        <w:t xml:space="preserve"> </w:t>
      </w:r>
      <w:hyperlink r:id="rId10" w:history="1">
        <w:r w:rsidR="00463084" w:rsidRPr="000D6A79">
          <w:rPr>
            <w:rStyle w:val="Hyperlink"/>
            <w:rFonts w:ascii="Arial" w:hAnsi="Arial" w:cs="Arial"/>
            <w:b w:val="0"/>
            <w:sz w:val="20"/>
            <w:szCs w:val="20"/>
          </w:rPr>
          <w:t>http://www.medicines.org.uk/emc/product/3631/smpc</w:t>
        </w:r>
      </w:hyperlink>
      <w:r w:rsidR="004074BA" w:rsidRPr="002827B6">
        <w:rPr>
          <w:rFonts w:ascii="Arial" w:hAnsi="Arial" w:cs="Arial"/>
          <w:b w:val="0"/>
          <w:sz w:val="20"/>
          <w:szCs w:val="20"/>
        </w:rPr>
        <w:t xml:space="preserve"> </w:t>
      </w:r>
      <w:r w:rsidR="000D2AF8" w:rsidRPr="002827B6">
        <w:rPr>
          <w:rFonts w:ascii="Arial" w:hAnsi="Arial" w:cs="Arial"/>
          <w:b w:val="0"/>
          <w:sz w:val="20"/>
          <w:szCs w:val="20"/>
        </w:rPr>
        <w:t>on 04/06/2020</w:t>
      </w:r>
      <w:r w:rsidR="00E2669A" w:rsidRPr="002827B6">
        <w:rPr>
          <w:rFonts w:ascii="Arial" w:hAnsi="Arial" w:cs="Arial"/>
          <w:b w:val="0"/>
          <w:sz w:val="20"/>
          <w:szCs w:val="20"/>
        </w:rPr>
        <w:t xml:space="preserve"> [Date of revision of the text 13/04/2020].</w:t>
      </w:r>
    </w:p>
    <w:p w:rsidR="00E2669A" w:rsidRPr="002827B6" w:rsidRDefault="00E3408C" w:rsidP="00263D8C">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hAnsi="Arial" w:cs="Arial"/>
          <w:b w:val="0"/>
          <w:sz w:val="20"/>
          <w:szCs w:val="20"/>
        </w:rPr>
      </w:pPr>
      <w:r w:rsidRPr="002827B6">
        <w:rPr>
          <w:rFonts w:ascii="Arial" w:hAnsi="Arial" w:cs="Arial"/>
          <w:b w:val="0"/>
          <w:sz w:val="20"/>
          <w:szCs w:val="20"/>
          <w:lang w:val="en-US"/>
        </w:rPr>
        <w:t>(</w:t>
      </w:r>
      <w:r w:rsidR="009D6BE5" w:rsidRPr="002827B6">
        <w:rPr>
          <w:rFonts w:ascii="Arial" w:hAnsi="Arial" w:cs="Arial"/>
          <w:b w:val="0"/>
          <w:sz w:val="20"/>
          <w:szCs w:val="20"/>
          <w:lang w:val="en-US"/>
        </w:rPr>
        <w:t>3</w:t>
      </w:r>
      <w:r w:rsidRPr="002827B6">
        <w:rPr>
          <w:rFonts w:ascii="Arial" w:hAnsi="Arial" w:cs="Arial"/>
          <w:b w:val="0"/>
          <w:sz w:val="20"/>
          <w:szCs w:val="20"/>
          <w:lang w:val="en-US"/>
        </w:rPr>
        <w:t>)</w:t>
      </w:r>
      <w:r w:rsidR="00C57D60" w:rsidRPr="002827B6">
        <w:rPr>
          <w:rFonts w:ascii="Arial" w:hAnsi="Arial" w:cs="Arial"/>
          <w:sz w:val="20"/>
          <w:szCs w:val="20"/>
          <w:lang w:val="en-US"/>
        </w:rPr>
        <w:t xml:space="preserve"> </w:t>
      </w:r>
      <w:r w:rsidR="00C57D60" w:rsidRPr="002827B6">
        <w:rPr>
          <w:rFonts w:ascii="Arial" w:hAnsi="Arial" w:cs="Arial"/>
          <w:b w:val="0"/>
          <w:sz w:val="20"/>
          <w:szCs w:val="20"/>
          <w:lang w:val="en-US"/>
        </w:rPr>
        <w:t xml:space="preserve">Summary of Product Characteristics- </w:t>
      </w:r>
      <w:r w:rsidR="00C57D60" w:rsidRPr="002827B6">
        <w:rPr>
          <w:rFonts w:ascii="Arial" w:hAnsi="Arial" w:cs="Arial"/>
          <w:b w:val="0"/>
          <w:sz w:val="20"/>
          <w:szCs w:val="20"/>
        </w:rPr>
        <w:t>Fragmin 18,000 IU/0.72ml solution for injection (Dalteparin). Pfizer Limited. Accessed</w:t>
      </w:r>
      <w:r w:rsidR="00E2669A" w:rsidRPr="002827B6">
        <w:rPr>
          <w:rFonts w:ascii="Arial" w:hAnsi="Arial" w:cs="Arial"/>
          <w:b w:val="0"/>
          <w:sz w:val="20"/>
          <w:szCs w:val="20"/>
        </w:rPr>
        <w:t xml:space="preserve"> </w:t>
      </w:r>
      <w:hyperlink r:id="rId11" w:history="1">
        <w:r w:rsidR="000D2AF8" w:rsidRPr="002827B6">
          <w:rPr>
            <w:rStyle w:val="Hyperlink"/>
            <w:rFonts w:ascii="Arial" w:hAnsi="Arial" w:cs="Arial"/>
            <w:b w:val="0"/>
            <w:sz w:val="20"/>
            <w:szCs w:val="20"/>
          </w:rPr>
          <w:t>http://www.medicines.org.uk/emc/product/4243/smpc</w:t>
        </w:r>
      </w:hyperlink>
      <w:r w:rsidR="000D2AF8" w:rsidRPr="002827B6">
        <w:rPr>
          <w:rFonts w:ascii="Arial" w:hAnsi="Arial" w:cs="Arial"/>
          <w:b w:val="0"/>
          <w:sz w:val="20"/>
          <w:szCs w:val="20"/>
        </w:rPr>
        <w:t xml:space="preserve"> on 04/06/2020</w:t>
      </w:r>
      <w:r w:rsidR="00E2669A" w:rsidRPr="002827B6">
        <w:rPr>
          <w:rFonts w:ascii="Arial" w:hAnsi="Arial" w:cs="Arial"/>
          <w:b w:val="0"/>
          <w:sz w:val="20"/>
          <w:szCs w:val="20"/>
        </w:rPr>
        <w:t xml:space="preserve"> [Date of revision of the text 17/04/2020].</w:t>
      </w:r>
    </w:p>
    <w:p w:rsidR="00E3408C" w:rsidRPr="002827B6" w:rsidRDefault="00135A6F" w:rsidP="00263D8C">
      <w:pPr>
        <w:spacing w:after="0"/>
        <w:rPr>
          <w:rFonts w:cs="Arial"/>
          <w:lang w:eastAsia="en-GB"/>
        </w:rPr>
      </w:pPr>
      <w:r w:rsidRPr="002827B6">
        <w:rPr>
          <w:rFonts w:cs="Arial"/>
          <w:lang w:eastAsia="en-GB"/>
        </w:rPr>
        <w:t>(4) Cheymol G. Effects of obesity on pharmacokinetics. Implications for drug therapy. Clin Pharmacokinet 2000; 39(3): 215-231.</w:t>
      </w:r>
    </w:p>
    <w:p w:rsidR="005A3DE7" w:rsidRPr="002827B6" w:rsidRDefault="005A3DE7" w:rsidP="00263D8C">
      <w:pPr>
        <w:spacing w:after="0"/>
        <w:rPr>
          <w:rFonts w:cs="Arial"/>
          <w:szCs w:val="20"/>
        </w:rPr>
      </w:pPr>
      <w:r w:rsidRPr="002827B6">
        <w:rPr>
          <w:rFonts w:cs="Arial"/>
          <w:szCs w:val="20"/>
        </w:rPr>
        <w:t xml:space="preserve">(5) Green B, Duffull SB. What is the best size descriptor to use for pharmacokinetic studies in the obese? Br J Clin Pharmacol 2004; 58 (2): 119-133. </w:t>
      </w:r>
    </w:p>
    <w:p w:rsidR="005A3DE7" w:rsidRPr="002827B6" w:rsidRDefault="005A3DE7" w:rsidP="00263D8C">
      <w:pPr>
        <w:spacing w:after="0"/>
        <w:rPr>
          <w:rFonts w:cs="Arial"/>
          <w:szCs w:val="20"/>
        </w:rPr>
      </w:pPr>
      <w:r w:rsidRPr="002827B6">
        <w:rPr>
          <w:rFonts w:cs="Arial"/>
          <w:szCs w:val="20"/>
        </w:rPr>
        <w:t>(6) Barras MA, Kirkpatrick CMJ, Green B. Current</w:t>
      </w:r>
      <w:r w:rsidR="00726C70" w:rsidRPr="002827B6">
        <w:rPr>
          <w:rFonts w:cs="Arial"/>
          <w:szCs w:val="20"/>
        </w:rPr>
        <w:t xml:space="preserve"> </w:t>
      </w:r>
      <w:r w:rsidRPr="002827B6">
        <w:rPr>
          <w:rFonts w:cs="Arial"/>
          <w:szCs w:val="20"/>
        </w:rPr>
        <w:t>dosing of low-molecular-weight</w:t>
      </w:r>
      <w:r w:rsidR="00545582" w:rsidRPr="002827B6">
        <w:rPr>
          <w:rFonts w:cs="Arial"/>
          <w:szCs w:val="20"/>
        </w:rPr>
        <w:t xml:space="preserve"> </w:t>
      </w:r>
      <w:r w:rsidRPr="002827B6">
        <w:rPr>
          <w:rFonts w:cs="Arial"/>
          <w:szCs w:val="20"/>
        </w:rPr>
        <w:t>heparins does not reflect licensed product labels: an international survey. Br J Clin Pharmacol 2010; 69 (5): 520-528</w:t>
      </w:r>
      <w:r w:rsidR="00E77D40" w:rsidRPr="002827B6">
        <w:rPr>
          <w:rFonts w:cs="Arial"/>
          <w:szCs w:val="20"/>
        </w:rPr>
        <w:t>.</w:t>
      </w:r>
      <w:r w:rsidRPr="002827B6">
        <w:rPr>
          <w:rFonts w:cs="Arial"/>
          <w:szCs w:val="20"/>
        </w:rPr>
        <w:t xml:space="preserve"> </w:t>
      </w:r>
    </w:p>
    <w:p w:rsidR="005A3DE7" w:rsidRPr="002827B6" w:rsidRDefault="005A3DE7" w:rsidP="00263D8C">
      <w:pPr>
        <w:spacing w:after="0"/>
        <w:rPr>
          <w:rFonts w:cs="Arial"/>
          <w:szCs w:val="20"/>
        </w:rPr>
      </w:pPr>
      <w:r w:rsidRPr="002827B6">
        <w:rPr>
          <w:rFonts w:cs="Arial"/>
          <w:szCs w:val="20"/>
        </w:rPr>
        <w:t xml:space="preserve">(7) Thomson P, Brocklebank C, Semchuk W. Treatment dosing of low-molecular-weight heparins and the dose cap dilemma: considerations for patients in Canada. Can J Hosp Pharm 2009; 62(5): 367-374. </w:t>
      </w:r>
    </w:p>
    <w:p w:rsidR="005A3DE7" w:rsidRPr="002827B6" w:rsidRDefault="005A3DE7" w:rsidP="00263D8C">
      <w:pPr>
        <w:spacing w:after="0"/>
        <w:rPr>
          <w:rFonts w:cs="Arial"/>
          <w:szCs w:val="20"/>
        </w:rPr>
      </w:pPr>
      <w:r w:rsidRPr="002827B6">
        <w:rPr>
          <w:rFonts w:cs="Arial"/>
          <w:szCs w:val="20"/>
        </w:rPr>
        <w:t>(8) Andrassy K, Eschenfelder V. Are the pharmacokinetic parameters of low molecular weight heparins predictive of their clinical efficacy? Thromb Res 1996; 81 (2S): S29-S38.</w:t>
      </w:r>
    </w:p>
    <w:p w:rsidR="005A3DE7" w:rsidRPr="002827B6" w:rsidRDefault="005A3DE7" w:rsidP="00263D8C">
      <w:pPr>
        <w:spacing w:after="0"/>
        <w:rPr>
          <w:rFonts w:cs="Arial"/>
          <w:szCs w:val="20"/>
        </w:rPr>
      </w:pPr>
      <w:r w:rsidRPr="002827B6">
        <w:rPr>
          <w:rFonts w:cs="Arial"/>
          <w:szCs w:val="20"/>
        </w:rPr>
        <w:t xml:space="preserve"> (9) Frydman A. Low-molecular-weight</w:t>
      </w:r>
      <w:r w:rsidR="00545582" w:rsidRPr="002827B6">
        <w:rPr>
          <w:rFonts w:cs="Arial"/>
          <w:szCs w:val="20"/>
        </w:rPr>
        <w:t xml:space="preserve"> </w:t>
      </w:r>
      <w:r w:rsidRPr="002827B6">
        <w:rPr>
          <w:rFonts w:cs="Arial"/>
          <w:szCs w:val="20"/>
        </w:rPr>
        <w:t xml:space="preserve">heparins: an overview of their pharmacodynamics, pharmacokinetics and metabolism in humans. Haemostasis 1996; 26 (suppl 2): 24-38. </w:t>
      </w:r>
    </w:p>
    <w:p w:rsidR="005A3DE7" w:rsidRPr="002827B6" w:rsidRDefault="005A3DE7" w:rsidP="00263D8C">
      <w:pPr>
        <w:spacing w:after="0"/>
        <w:rPr>
          <w:rFonts w:cs="Arial"/>
          <w:szCs w:val="20"/>
        </w:rPr>
      </w:pPr>
      <w:r w:rsidRPr="002827B6">
        <w:rPr>
          <w:rFonts w:cs="Arial"/>
          <w:szCs w:val="20"/>
        </w:rPr>
        <w:t xml:space="preserve">(10) Ihaddadene R, Carrier M. The use of anticoagulants for the treatment and prevention of venous thromboembolism in obese patients: implications for safety. Expert Opin Drug Saf 2016; 15(1): 65-74. </w:t>
      </w:r>
    </w:p>
    <w:p w:rsidR="005A3DE7" w:rsidRPr="002827B6" w:rsidRDefault="005A3DE7" w:rsidP="00526245">
      <w:pPr>
        <w:spacing w:after="0"/>
        <w:rPr>
          <w:rFonts w:cs="Arial"/>
          <w:szCs w:val="20"/>
        </w:rPr>
      </w:pPr>
      <w:r w:rsidRPr="002827B6">
        <w:rPr>
          <w:rFonts w:cs="Arial"/>
          <w:szCs w:val="20"/>
        </w:rPr>
        <w:t>(11) Messerli FH, Christie B, DeCarvalho JGR et al. Obesity and essential hypertension. Hemodynamics, intravascular volume, sodium excretion, and plasma renin activity. Arch Intern Med 1981; 141: 81-85.</w:t>
      </w:r>
    </w:p>
    <w:p w:rsidR="00526245" w:rsidRPr="002827B6" w:rsidRDefault="00526245" w:rsidP="00526245">
      <w:pPr>
        <w:spacing w:after="0"/>
        <w:rPr>
          <w:rFonts w:cs="Arial"/>
          <w:szCs w:val="20"/>
        </w:rPr>
      </w:pPr>
      <w:r w:rsidRPr="002827B6">
        <w:rPr>
          <w:rFonts w:cs="Arial"/>
          <w:szCs w:val="20"/>
        </w:rPr>
        <w:t>(12) Garcia DA, Baglin TP, Weitz JI, Samama MM. Parenteral anticoagulants. Antithrombotic therapy and prevention of thrombosis, 9</w:t>
      </w:r>
      <w:r w:rsidRPr="002827B6">
        <w:rPr>
          <w:rFonts w:cs="Arial"/>
          <w:sz w:val="13"/>
          <w:szCs w:val="13"/>
        </w:rPr>
        <w:t xml:space="preserve">th </w:t>
      </w:r>
      <w:r w:rsidRPr="002827B6">
        <w:rPr>
          <w:rFonts w:cs="Arial"/>
          <w:szCs w:val="20"/>
        </w:rPr>
        <w:t xml:space="preserve">ed: American college of chest physicians evidence-based clinical practice guidelines. Chest 2012; 141 (2) (Suppl): e24S-e43S. </w:t>
      </w:r>
    </w:p>
    <w:p w:rsidR="00526245" w:rsidRPr="002827B6" w:rsidRDefault="00526245" w:rsidP="00526245">
      <w:pPr>
        <w:spacing w:after="0"/>
        <w:rPr>
          <w:rFonts w:cs="Arial"/>
          <w:szCs w:val="20"/>
        </w:rPr>
      </w:pPr>
      <w:r w:rsidRPr="002827B6">
        <w:rPr>
          <w:rFonts w:cs="Arial"/>
          <w:szCs w:val="20"/>
        </w:rPr>
        <w:t>(13) Nutescu EA, Spinler SA, Wittkowsky A, Dager WE. Low-molecular-weight</w:t>
      </w:r>
      <w:r w:rsidR="00FD7DE4" w:rsidRPr="002827B6">
        <w:rPr>
          <w:rFonts w:cs="Arial"/>
          <w:szCs w:val="20"/>
        </w:rPr>
        <w:t xml:space="preserve"> </w:t>
      </w:r>
      <w:r w:rsidRPr="002827B6">
        <w:rPr>
          <w:rFonts w:cs="Arial"/>
          <w:szCs w:val="20"/>
        </w:rPr>
        <w:t>heparins in renal impairment and obesity: available evidence and clinical practice recommendations across medical and surgical settings. Ann Pharmacother 2009; 43: 1064-1083.</w:t>
      </w:r>
    </w:p>
    <w:p w:rsidR="00EA4422" w:rsidRPr="002827B6" w:rsidRDefault="00D72694" w:rsidP="00526245">
      <w:pPr>
        <w:spacing w:after="0"/>
        <w:rPr>
          <w:rFonts w:cs="Arial"/>
          <w:color w:val="212121"/>
          <w:szCs w:val="20"/>
        </w:rPr>
      </w:pPr>
      <w:r w:rsidRPr="002827B6">
        <w:rPr>
          <w:rFonts w:cs="Arial"/>
          <w:szCs w:val="20"/>
        </w:rPr>
        <w:t xml:space="preserve">(14) </w:t>
      </w:r>
      <w:r w:rsidRPr="002827B6">
        <w:rPr>
          <w:rFonts w:cs="Arial"/>
          <w:color w:val="212121"/>
          <w:szCs w:val="20"/>
        </w:rPr>
        <w:t xml:space="preserve">Schünemann HJ, Cushman M, Burnett AE, et al. American Society of Hematology 2018 guidelines for management of venous thromboembolism: prophylaxis for hospitalized and nonhospitalized medical patients. </w:t>
      </w:r>
      <w:r w:rsidRPr="002827B6">
        <w:rPr>
          <w:rFonts w:cs="Arial"/>
          <w:i/>
          <w:iCs/>
          <w:color w:val="212121"/>
          <w:szCs w:val="20"/>
        </w:rPr>
        <w:t>Blood Adv</w:t>
      </w:r>
      <w:r w:rsidRPr="002827B6">
        <w:rPr>
          <w:rFonts w:cs="Arial"/>
          <w:color w:val="212121"/>
          <w:szCs w:val="20"/>
        </w:rPr>
        <w:t>. 2018;</w:t>
      </w:r>
      <w:r w:rsidR="00452E52" w:rsidRPr="002827B6">
        <w:rPr>
          <w:rFonts w:cs="Arial"/>
          <w:color w:val="212121"/>
          <w:szCs w:val="20"/>
        </w:rPr>
        <w:t xml:space="preserve"> </w:t>
      </w:r>
      <w:r w:rsidRPr="002827B6">
        <w:rPr>
          <w:rFonts w:cs="Arial"/>
          <w:color w:val="212121"/>
          <w:szCs w:val="20"/>
        </w:rPr>
        <w:t>2(22):</w:t>
      </w:r>
      <w:r w:rsidR="00452E52" w:rsidRPr="002827B6">
        <w:rPr>
          <w:rFonts w:cs="Arial"/>
          <w:color w:val="212121"/>
          <w:szCs w:val="20"/>
        </w:rPr>
        <w:t xml:space="preserve"> </w:t>
      </w:r>
      <w:r w:rsidRPr="002827B6">
        <w:rPr>
          <w:rFonts w:cs="Arial"/>
          <w:color w:val="212121"/>
          <w:szCs w:val="20"/>
        </w:rPr>
        <w:t>3198-3225.</w:t>
      </w:r>
    </w:p>
    <w:p w:rsidR="00452E52" w:rsidRPr="002827B6" w:rsidRDefault="00FD7DE4" w:rsidP="00526245">
      <w:pPr>
        <w:spacing w:after="0"/>
        <w:rPr>
          <w:rFonts w:cs="Arial"/>
          <w:szCs w:val="20"/>
        </w:rPr>
      </w:pPr>
      <w:r w:rsidRPr="002827B6" w:rsidDel="00FD7DE4">
        <w:rPr>
          <w:rFonts w:cs="Arial"/>
          <w:szCs w:val="20"/>
        </w:rPr>
        <w:t xml:space="preserve"> </w:t>
      </w:r>
      <w:r w:rsidR="00452E52" w:rsidRPr="002827B6">
        <w:rPr>
          <w:rFonts w:cs="Arial"/>
          <w:szCs w:val="20"/>
        </w:rPr>
        <w:t xml:space="preserve">(15) Sanderink G, Liboux A, Jariwala N et al. The pharmacokinetics and pharmacodynamics of enoxaparin in obese volunteers. Clin Pharmacol Ther 2002; 72: 308-318. </w:t>
      </w:r>
    </w:p>
    <w:p w:rsidR="00452E52" w:rsidRPr="002827B6" w:rsidRDefault="00452E52" w:rsidP="00526245">
      <w:pPr>
        <w:spacing w:after="0"/>
        <w:rPr>
          <w:rFonts w:cs="Arial"/>
          <w:szCs w:val="20"/>
        </w:rPr>
      </w:pPr>
      <w:r w:rsidRPr="002827B6">
        <w:rPr>
          <w:rFonts w:cs="Arial"/>
          <w:szCs w:val="20"/>
        </w:rPr>
        <w:lastRenderedPageBreak/>
        <w:t xml:space="preserve">(16) Smith J, Canton EM. Weight-based administration of dalteparin in obese patients. Am J Health Syst Pharm 2003; 60: 683-687. </w:t>
      </w:r>
    </w:p>
    <w:p w:rsidR="00452E52" w:rsidRPr="002827B6" w:rsidRDefault="00452E52" w:rsidP="00526245">
      <w:pPr>
        <w:spacing w:after="0"/>
        <w:rPr>
          <w:rFonts w:cs="Arial"/>
          <w:szCs w:val="20"/>
        </w:rPr>
      </w:pPr>
      <w:r w:rsidRPr="002827B6">
        <w:rPr>
          <w:rFonts w:cs="Arial"/>
          <w:szCs w:val="20"/>
        </w:rPr>
        <w:t xml:space="preserve">(17) Wilson S, Wilbur K, Burton E, Anderson DR . Effect of patient weight on the anticoagulant response to adjusted therapeutic dosage of low-molecular-weight heparin for the treatment of venous thromboembolism. Haemostasis 2001; 31: 42-48. </w:t>
      </w:r>
    </w:p>
    <w:p w:rsidR="00452E52" w:rsidRPr="002827B6" w:rsidRDefault="00452E52" w:rsidP="00526245">
      <w:pPr>
        <w:spacing w:after="0"/>
        <w:rPr>
          <w:rFonts w:cs="Arial"/>
          <w:szCs w:val="20"/>
        </w:rPr>
      </w:pPr>
      <w:r w:rsidRPr="002827B6">
        <w:rPr>
          <w:rFonts w:cs="Arial"/>
          <w:szCs w:val="20"/>
        </w:rPr>
        <w:t xml:space="preserve">(18) Hainer JW, Barrett JS, Assaid CA et al. Dosing in heavy-weight/ obese patients with the LMWH tinzaparin: a pharmacodynamic study. Thromb Haemost 2002; 87: 817-823. </w:t>
      </w:r>
    </w:p>
    <w:p w:rsidR="00452E52" w:rsidRPr="002827B6" w:rsidRDefault="00452E52" w:rsidP="00526245">
      <w:pPr>
        <w:spacing w:after="0"/>
        <w:rPr>
          <w:rFonts w:cs="Arial"/>
          <w:szCs w:val="20"/>
        </w:rPr>
      </w:pPr>
      <w:r w:rsidRPr="002827B6">
        <w:rPr>
          <w:rFonts w:cs="Arial"/>
          <w:szCs w:val="20"/>
        </w:rPr>
        <w:t>(19) Bazinet A, Almanric K, Brunet C et al. Dosage of enoxaparin among obese and renal impairment patients. Thromb Res 2005; 116: 41-50.</w:t>
      </w:r>
    </w:p>
    <w:p w:rsidR="00452E52" w:rsidRPr="002827B6" w:rsidRDefault="00452E52" w:rsidP="00526245">
      <w:pPr>
        <w:spacing w:after="0"/>
        <w:rPr>
          <w:rFonts w:cs="Arial"/>
          <w:szCs w:val="20"/>
        </w:rPr>
      </w:pPr>
      <w:r w:rsidRPr="002827B6">
        <w:rPr>
          <w:rFonts w:cs="Arial"/>
          <w:szCs w:val="20"/>
        </w:rPr>
        <w:t>(20) Al-Yaseen E, Wells PS, Anderson J et al. The safety of dosing dalteparin based on actual body weight for the treatment of acute venous thromboembolism in obese patients. J Thromb Haemost 2005; 3: 100-102.</w:t>
      </w:r>
    </w:p>
    <w:p w:rsidR="00452E52" w:rsidRPr="002827B6" w:rsidRDefault="00452E52" w:rsidP="00526245">
      <w:pPr>
        <w:spacing w:after="0"/>
        <w:rPr>
          <w:rFonts w:cs="Arial"/>
          <w:szCs w:val="20"/>
        </w:rPr>
      </w:pPr>
      <w:r w:rsidRPr="002827B6">
        <w:rPr>
          <w:rFonts w:cs="Arial"/>
          <w:szCs w:val="20"/>
        </w:rPr>
        <w:t xml:space="preserve">(21) Green B, Duffull SB. Development of a dosing strategy for enoxaparin in obese patients. Br J Clin Pharmacol 2003; 56: 96-103. </w:t>
      </w:r>
    </w:p>
    <w:p w:rsidR="00EA4422" w:rsidRPr="002827B6" w:rsidRDefault="00452E52" w:rsidP="00B76B0B">
      <w:pPr>
        <w:spacing w:after="0"/>
        <w:rPr>
          <w:rFonts w:cs="Arial"/>
          <w:szCs w:val="20"/>
        </w:rPr>
      </w:pPr>
      <w:r w:rsidRPr="002827B6">
        <w:rPr>
          <w:rFonts w:cs="Arial"/>
          <w:szCs w:val="20"/>
        </w:rPr>
        <w:t>(22) Barras MA, Duffull SB, Atherton JJ et al. Individualized compared with conventional dosing of enoxaparin. Clin Pharmacol Ther 2008; 83(6): 882-888.</w:t>
      </w:r>
    </w:p>
    <w:p w:rsidR="00EA4422" w:rsidRPr="002827B6" w:rsidRDefault="00B76B0B" w:rsidP="00B76B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Arial"/>
          <w:szCs w:val="20"/>
          <w:lang w:eastAsia="en-GB"/>
        </w:rPr>
      </w:pPr>
      <w:r w:rsidRPr="002827B6">
        <w:rPr>
          <w:rFonts w:cs="Arial"/>
          <w:szCs w:val="20"/>
          <w:lang w:eastAsia="en-GB"/>
        </w:rPr>
        <w:t xml:space="preserve">(23) </w:t>
      </w:r>
      <w:r w:rsidR="00EA4422" w:rsidRPr="002827B6">
        <w:rPr>
          <w:rFonts w:cs="Arial"/>
          <w:szCs w:val="20"/>
          <w:lang w:eastAsia="en-GB"/>
        </w:rPr>
        <w:t>Rocca B, Fox KAA, Ajjan RA et al. Antithrombotic therapy and body mass: An expert position paper of the ESC Working Group on Thrombosis. Eur Heart J. 2018; 39(19): 1672-1686.</w:t>
      </w:r>
    </w:p>
    <w:p w:rsidR="00EA4422" w:rsidRPr="002827B6" w:rsidRDefault="003451A3" w:rsidP="00B76B0B">
      <w:pPr>
        <w:spacing w:after="0"/>
        <w:rPr>
          <w:rFonts w:cs="Arial"/>
          <w:szCs w:val="20"/>
        </w:rPr>
      </w:pPr>
      <w:r w:rsidRPr="002827B6">
        <w:rPr>
          <w:rFonts w:cs="Arial"/>
          <w:szCs w:val="20"/>
        </w:rPr>
        <w:t>(24) Bhutia S, Wong PF. Once versus twice daily low molecular weight heparin for the initial treatment of venous thromboembolism. Cochrane Database of Systematic Reviews 2013; issue 7. Art no. CD003074.</w:t>
      </w:r>
    </w:p>
    <w:p w:rsidR="00C4795E" w:rsidRPr="002827B6" w:rsidRDefault="00C4795E" w:rsidP="00B76B0B">
      <w:pPr>
        <w:spacing w:after="0"/>
        <w:rPr>
          <w:rFonts w:cs="Arial"/>
          <w:szCs w:val="20"/>
        </w:rPr>
      </w:pPr>
      <w:r w:rsidRPr="002827B6">
        <w:rPr>
          <w:rFonts w:cs="Arial"/>
          <w:szCs w:val="20"/>
        </w:rPr>
        <w:t>(25) Merli G, Spiro TE, Olsson CG et al. Subcutaneous enoxaparin once or twice daily compared with intravenous unfractionated heparin for treatment of venous thromboembolic disease. Ann Intern Med 2001; 134 (3): 191-202.</w:t>
      </w:r>
    </w:p>
    <w:p w:rsidR="00A74C39" w:rsidRPr="002827B6" w:rsidRDefault="00A74C39" w:rsidP="00A74C39">
      <w:pPr>
        <w:spacing w:after="0"/>
        <w:rPr>
          <w:rFonts w:cs="Arial"/>
          <w:szCs w:val="20"/>
          <w:lang w:val="en-US"/>
        </w:rPr>
      </w:pPr>
      <w:r w:rsidRPr="002827B6">
        <w:rPr>
          <w:rFonts w:cs="Arial"/>
          <w:szCs w:val="20"/>
        </w:rPr>
        <w:t xml:space="preserve">(26) </w:t>
      </w:r>
      <w:r w:rsidR="00FA3229" w:rsidRPr="002827B6">
        <w:rPr>
          <w:rFonts w:cs="Arial"/>
          <w:szCs w:val="20"/>
        </w:rPr>
        <w:t xml:space="preserve">National Institute for Health and Care Excellence. </w:t>
      </w:r>
      <w:r w:rsidRPr="002827B6">
        <w:rPr>
          <w:rFonts w:cs="Arial"/>
          <w:szCs w:val="20"/>
        </w:rPr>
        <w:t xml:space="preserve">Venous thromboembolic diseases: diagnosis, management and thrombophilia testing. London: </w:t>
      </w:r>
      <w:r w:rsidR="00FA3229" w:rsidRPr="002827B6">
        <w:rPr>
          <w:rFonts w:cs="Arial"/>
          <w:szCs w:val="20"/>
        </w:rPr>
        <w:t>NICE</w:t>
      </w:r>
      <w:r w:rsidRPr="002827B6">
        <w:rPr>
          <w:rFonts w:cs="Arial"/>
          <w:szCs w:val="20"/>
        </w:rPr>
        <w:t>;</w:t>
      </w:r>
      <w:r w:rsidR="002827B6">
        <w:rPr>
          <w:rFonts w:cs="Arial"/>
          <w:szCs w:val="20"/>
        </w:rPr>
        <w:t xml:space="preserve"> </w:t>
      </w:r>
      <w:r w:rsidRPr="002827B6">
        <w:rPr>
          <w:rFonts w:cs="Arial"/>
          <w:szCs w:val="20"/>
        </w:rPr>
        <w:t xml:space="preserve">2020 </w:t>
      </w:r>
      <w:r w:rsidR="00FA3229" w:rsidRPr="002827B6">
        <w:rPr>
          <w:rFonts w:cs="Arial"/>
          <w:szCs w:val="20"/>
        </w:rPr>
        <w:t>(Clinical guidelines [NG158]</w:t>
      </w:r>
      <w:r w:rsidR="00E77D40" w:rsidRPr="002827B6">
        <w:rPr>
          <w:rFonts w:cs="Arial"/>
          <w:szCs w:val="20"/>
        </w:rPr>
        <w:t>).</w:t>
      </w:r>
    </w:p>
    <w:p w:rsidR="00A74C39" w:rsidRPr="002827B6" w:rsidRDefault="00A74C39" w:rsidP="00A74C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2827B6">
        <w:rPr>
          <w:sz w:val="20"/>
          <w:szCs w:val="20"/>
        </w:rPr>
        <w:t xml:space="preserve">(27) Witt DM, Nieuwlaat R, Clark NP, et al. American Society of Hematology 2018 guidelines for management of venous thromboembolism: optimal management of anticoagulation therapy. </w:t>
      </w:r>
      <w:r w:rsidR="00463084" w:rsidRPr="002827B6">
        <w:rPr>
          <w:iCs/>
          <w:sz w:val="20"/>
          <w:szCs w:val="20"/>
        </w:rPr>
        <w:t>Blood Adv</w:t>
      </w:r>
      <w:r w:rsidRPr="002827B6">
        <w:rPr>
          <w:sz w:val="20"/>
          <w:szCs w:val="20"/>
        </w:rPr>
        <w:t>. 2018; 2(22): 3257-3291.</w:t>
      </w:r>
    </w:p>
    <w:p w:rsidR="00573BCC" w:rsidRPr="002827B6" w:rsidRDefault="00573BCC" w:rsidP="00A74C3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2827B6">
        <w:rPr>
          <w:sz w:val="20"/>
          <w:szCs w:val="20"/>
        </w:rPr>
        <w:t>(28) Gouin-Thibault I, Pautas E, Siguret V. Safety profile of different low-molecular weight heparins used at therapeutic dose. Drug Saf</w:t>
      </w:r>
      <w:r w:rsidR="00FA3229" w:rsidRPr="002827B6">
        <w:rPr>
          <w:sz w:val="20"/>
          <w:szCs w:val="20"/>
        </w:rPr>
        <w:t>.</w:t>
      </w:r>
      <w:r w:rsidRPr="002827B6">
        <w:rPr>
          <w:sz w:val="20"/>
          <w:szCs w:val="20"/>
        </w:rPr>
        <w:t xml:space="preserve"> 2005; 28 (4): 333-349. </w:t>
      </w:r>
    </w:p>
    <w:p w:rsidR="00C4705C" w:rsidRPr="002827B6" w:rsidRDefault="00573BCC" w:rsidP="00C4705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2827B6">
        <w:rPr>
          <w:sz w:val="20"/>
          <w:szCs w:val="20"/>
        </w:rPr>
        <w:t>(29) Lim W. Using low molecular weight heparin in special patient populations. J Thromb Thrombolysis 2010; 29: 233-240.</w:t>
      </w:r>
    </w:p>
    <w:p w:rsidR="00C4705C" w:rsidRPr="002827B6" w:rsidRDefault="00C4705C" w:rsidP="00C4705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sidRPr="002827B6">
        <w:rPr>
          <w:sz w:val="20"/>
          <w:szCs w:val="20"/>
        </w:rPr>
        <w:t>(30)</w:t>
      </w:r>
      <w:r w:rsidRPr="002827B6">
        <w:rPr>
          <w:szCs w:val="20"/>
        </w:rPr>
        <w:t xml:space="preserve"> </w:t>
      </w:r>
      <w:r w:rsidRPr="002827B6">
        <w:rPr>
          <w:sz w:val="20"/>
          <w:szCs w:val="20"/>
        </w:rPr>
        <w:t>Deal EN, Hollands JM, Riney JN, Skrupky LP, Smith JR, Reichley RM</w:t>
      </w:r>
      <w:r w:rsidR="00FA3229" w:rsidRPr="002827B6">
        <w:rPr>
          <w:sz w:val="20"/>
          <w:szCs w:val="20"/>
        </w:rPr>
        <w:t>.</w:t>
      </w:r>
      <w:r w:rsidRPr="002827B6">
        <w:rPr>
          <w:sz w:val="20"/>
          <w:szCs w:val="20"/>
        </w:rPr>
        <w:t xml:space="preserve"> Evaluation of therapeutic anticoagulation with enoxaparin and associated anti-Xa monitoring in patients with morbid obesity: a case series. J Thromb Thrombolysis</w:t>
      </w:r>
      <w:r w:rsidR="00FA3229" w:rsidRPr="002827B6">
        <w:rPr>
          <w:sz w:val="20"/>
          <w:szCs w:val="20"/>
        </w:rPr>
        <w:t xml:space="preserve"> 2011;</w:t>
      </w:r>
      <w:r w:rsidRPr="002827B6">
        <w:rPr>
          <w:sz w:val="20"/>
          <w:szCs w:val="20"/>
        </w:rPr>
        <w:t xml:space="preserve"> 32(2):188–194</w:t>
      </w:r>
      <w:r w:rsidR="00E77D40" w:rsidRPr="002827B6">
        <w:rPr>
          <w:sz w:val="20"/>
          <w:szCs w:val="20"/>
        </w:rPr>
        <w:t>.</w:t>
      </w:r>
    </w:p>
    <w:p w:rsidR="00C4705C" w:rsidRPr="002827B6" w:rsidRDefault="00C4705C" w:rsidP="00C4705C">
      <w:pPr>
        <w:spacing w:after="0"/>
        <w:rPr>
          <w:rFonts w:cs="Arial"/>
          <w:szCs w:val="20"/>
        </w:rPr>
      </w:pPr>
      <w:proofErr w:type="gramStart"/>
      <w:r w:rsidRPr="002827B6">
        <w:rPr>
          <w:rFonts w:cs="Arial"/>
          <w:szCs w:val="20"/>
        </w:rPr>
        <w:t>(31) Lalama JT, Feeney ME, Vandiver JW, Beavers KD, Walter LN, McClintic JR. Assessing an enoxaparin dosing protocol in morbidly obese patients.</w:t>
      </w:r>
      <w:proofErr w:type="gramEnd"/>
      <w:r w:rsidRPr="002827B6">
        <w:rPr>
          <w:rFonts w:cs="Arial"/>
          <w:szCs w:val="20"/>
        </w:rPr>
        <w:t xml:space="preserve"> </w:t>
      </w:r>
      <w:proofErr w:type="gramStart"/>
      <w:r w:rsidR="00463084" w:rsidRPr="002827B6">
        <w:rPr>
          <w:rFonts w:cs="Arial"/>
          <w:iCs/>
          <w:szCs w:val="20"/>
        </w:rPr>
        <w:t>J Thromb Thrombolysis</w:t>
      </w:r>
      <w:r w:rsidRPr="002827B6">
        <w:rPr>
          <w:rFonts w:cs="Arial"/>
          <w:szCs w:val="20"/>
        </w:rPr>
        <w:t>.</w:t>
      </w:r>
      <w:proofErr w:type="gramEnd"/>
      <w:r w:rsidRPr="002827B6">
        <w:rPr>
          <w:rFonts w:cs="Arial"/>
          <w:szCs w:val="20"/>
        </w:rPr>
        <w:t xml:space="preserve"> 2015</w:t>
      </w:r>
      <w:proofErr w:type="gramStart"/>
      <w:r w:rsidRPr="002827B6">
        <w:rPr>
          <w:rFonts w:cs="Arial"/>
          <w:szCs w:val="20"/>
        </w:rPr>
        <w:t>;39</w:t>
      </w:r>
      <w:proofErr w:type="gramEnd"/>
      <w:r w:rsidRPr="002827B6">
        <w:rPr>
          <w:rFonts w:cs="Arial"/>
          <w:szCs w:val="20"/>
        </w:rPr>
        <w:t>(4):516-521.</w:t>
      </w:r>
    </w:p>
    <w:p w:rsidR="00C4705C" w:rsidRPr="000D6A79" w:rsidRDefault="00C4705C" w:rsidP="00C470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0" w:line="240" w:lineRule="auto"/>
        <w:rPr>
          <w:rFonts w:cs="Arial"/>
          <w:szCs w:val="20"/>
          <w:lang w:eastAsia="en-GB"/>
        </w:rPr>
      </w:pPr>
      <w:r w:rsidRPr="002827B6">
        <w:rPr>
          <w:rFonts w:cs="Arial"/>
          <w:szCs w:val="20"/>
          <w:lang w:eastAsia="en-GB"/>
        </w:rPr>
        <w:t xml:space="preserve">(32) Maclachlan KH, Stevens HP, Tran HA, Chunilal SD. Weight-Based Enoxaparin for Venous Thromboembolism in Obesity Gives Similar Anti-Xa Levels to Patients &lt;100 kg, with No Increase in </w:t>
      </w:r>
      <w:r w:rsidRPr="000D6A79">
        <w:rPr>
          <w:rFonts w:cs="Arial"/>
          <w:szCs w:val="20"/>
          <w:lang w:eastAsia="en-GB"/>
        </w:rPr>
        <w:t>Major Bleeding. Semin Thromb</w:t>
      </w:r>
      <w:r w:rsidR="00A679F9" w:rsidRPr="000D6A79">
        <w:rPr>
          <w:rFonts w:cs="Arial"/>
          <w:szCs w:val="20"/>
          <w:lang w:eastAsia="en-GB"/>
        </w:rPr>
        <w:t xml:space="preserve"> </w:t>
      </w:r>
      <w:r w:rsidRPr="000D6A79">
        <w:rPr>
          <w:rFonts w:cs="Arial"/>
          <w:szCs w:val="20"/>
          <w:lang w:eastAsia="en-GB"/>
        </w:rPr>
        <w:t>Hemost. 2019. 45(1): 94-99.</w:t>
      </w:r>
    </w:p>
    <w:p w:rsidR="00C4705C" w:rsidRPr="000D6A79" w:rsidRDefault="00C4705C" w:rsidP="00C4705C">
      <w:pPr>
        <w:pStyle w:val="c-bibliographic-informationcitation1"/>
        <w:spacing w:after="0"/>
        <w:rPr>
          <w:rFonts w:ascii="Arial" w:hAnsi="Arial" w:cs="Arial"/>
          <w:sz w:val="20"/>
          <w:szCs w:val="20"/>
        </w:rPr>
      </w:pPr>
      <w:r w:rsidRPr="000D6A79">
        <w:rPr>
          <w:rFonts w:ascii="Arial" w:hAnsi="Arial" w:cs="Arial"/>
          <w:sz w:val="20"/>
          <w:szCs w:val="20"/>
        </w:rPr>
        <w:t>(33)</w:t>
      </w:r>
      <w:r w:rsidR="00726C70" w:rsidRPr="000D6A79">
        <w:rPr>
          <w:rFonts w:ascii="Arial" w:hAnsi="Arial" w:cs="Arial"/>
          <w:sz w:val="20"/>
          <w:szCs w:val="20"/>
        </w:rPr>
        <w:t xml:space="preserve"> </w:t>
      </w:r>
      <w:r w:rsidRPr="000D6A79">
        <w:rPr>
          <w:rFonts w:ascii="Arial" w:hAnsi="Arial" w:cs="Arial"/>
          <w:sz w:val="20"/>
          <w:szCs w:val="20"/>
        </w:rPr>
        <w:t xml:space="preserve">van </w:t>
      </w:r>
      <w:proofErr w:type="spellStart"/>
      <w:r w:rsidRPr="000D6A79">
        <w:rPr>
          <w:rFonts w:ascii="Arial" w:hAnsi="Arial" w:cs="Arial"/>
          <w:sz w:val="20"/>
          <w:szCs w:val="20"/>
        </w:rPr>
        <w:t>Oosterom</w:t>
      </w:r>
      <w:proofErr w:type="spellEnd"/>
      <w:r w:rsidRPr="000D6A79">
        <w:rPr>
          <w:rFonts w:ascii="Arial" w:hAnsi="Arial" w:cs="Arial"/>
          <w:sz w:val="20"/>
          <w:szCs w:val="20"/>
        </w:rPr>
        <w:t xml:space="preserve">, N., Winckel, K. &amp; Barras, M. Evaluation of weight based enoxaparin dosing on anti-Xa concentrations in patients with obesity. </w:t>
      </w:r>
      <w:proofErr w:type="gramStart"/>
      <w:r w:rsidRPr="000D6A79">
        <w:rPr>
          <w:rFonts w:ascii="Arial" w:hAnsi="Arial" w:cs="Arial"/>
          <w:iCs/>
          <w:sz w:val="20"/>
          <w:szCs w:val="20"/>
        </w:rPr>
        <w:t>J Thromb Thrombolysis.</w:t>
      </w:r>
      <w:proofErr w:type="gramEnd"/>
      <w:r w:rsidRPr="000D6A79">
        <w:rPr>
          <w:rFonts w:ascii="Arial" w:hAnsi="Arial" w:cs="Arial"/>
          <w:iCs/>
          <w:sz w:val="20"/>
          <w:szCs w:val="20"/>
        </w:rPr>
        <w:t xml:space="preserve"> 2019.</w:t>
      </w:r>
      <w:r w:rsidRPr="000D6A79">
        <w:rPr>
          <w:rFonts w:ascii="Arial" w:hAnsi="Arial" w:cs="Arial"/>
          <w:sz w:val="20"/>
          <w:szCs w:val="20"/>
        </w:rPr>
        <w:t xml:space="preserve"> </w:t>
      </w:r>
      <w:r w:rsidRPr="000D6A79">
        <w:rPr>
          <w:rFonts w:ascii="Arial" w:hAnsi="Arial" w:cs="Arial"/>
          <w:bCs/>
          <w:sz w:val="20"/>
          <w:szCs w:val="20"/>
        </w:rPr>
        <w:t>48</w:t>
      </w:r>
      <w:r w:rsidRPr="000D6A79">
        <w:rPr>
          <w:rFonts w:ascii="Arial" w:hAnsi="Arial" w:cs="Arial"/>
          <w:b/>
          <w:bCs/>
          <w:sz w:val="20"/>
          <w:szCs w:val="20"/>
        </w:rPr>
        <w:t xml:space="preserve">: </w:t>
      </w:r>
      <w:r w:rsidRPr="000D6A79">
        <w:rPr>
          <w:rFonts w:ascii="Arial" w:hAnsi="Arial" w:cs="Arial"/>
          <w:sz w:val="20"/>
          <w:szCs w:val="20"/>
        </w:rPr>
        <w:t xml:space="preserve">387–393.  </w:t>
      </w:r>
    </w:p>
    <w:p w:rsidR="00C4705C" w:rsidRPr="000D6A79" w:rsidRDefault="00C4705C" w:rsidP="00C4705C">
      <w:pPr>
        <w:spacing w:after="0"/>
        <w:rPr>
          <w:rFonts w:cs="Arial"/>
          <w:szCs w:val="20"/>
        </w:rPr>
      </w:pPr>
      <w:r w:rsidRPr="000D6A79">
        <w:rPr>
          <w:rFonts w:cs="Arial"/>
          <w:szCs w:val="20"/>
        </w:rPr>
        <w:t xml:space="preserve">(34)Curry MA, LaFollette JA, Alexander BR, Evans KS, Tran RH, Kempton CL. Evaluation of Treatment-Dose Enoxaparin in Acutely Ill Morbidly Obese Patients at an Academic Medical Center: A Randomized Clinical Trial. </w:t>
      </w:r>
      <w:r w:rsidRPr="000D6A79">
        <w:rPr>
          <w:rFonts w:cs="Arial"/>
          <w:iCs/>
          <w:szCs w:val="20"/>
        </w:rPr>
        <w:t>Ann Pharmacother</w:t>
      </w:r>
      <w:r w:rsidRPr="000D6A79">
        <w:rPr>
          <w:rFonts w:cs="Arial"/>
          <w:szCs w:val="20"/>
        </w:rPr>
        <w:t>. 2019. 53(6): 567-573.</w:t>
      </w:r>
    </w:p>
    <w:p w:rsidR="00C4705C" w:rsidRPr="002827B6" w:rsidRDefault="00C4705C" w:rsidP="00C4705C">
      <w:pPr>
        <w:spacing w:after="0"/>
        <w:rPr>
          <w:rFonts w:cs="Arial"/>
          <w:lang w:eastAsia="en-GB"/>
        </w:rPr>
      </w:pPr>
      <w:r w:rsidRPr="002827B6">
        <w:rPr>
          <w:rFonts w:cs="Arial"/>
          <w:szCs w:val="20"/>
        </w:rPr>
        <w:t>(35) NHS England. Harm from using low molecular weight heparins when contraindicated – Patient Safety Alert NHS/PSA/W/2015/001 [19</w:t>
      </w:r>
      <w:r w:rsidRPr="002827B6">
        <w:rPr>
          <w:rFonts w:cs="Arial"/>
          <w:sz w:val="13"/>
          <w:szCs w:val="13"/>
        </w:rPr>
        <w:t xml:space="preserve">th </w:t>
      </w:r>
      <w:r w:rsidRPr="002827B6">
        <w:rPr>
          <w:rFonts w:cs="Arial"/>
          <w:szCs w:val="20"/>
        </w:rPr>
        <w:t>January 2015].</w:t>
      </w:r>
    </w:p>
    <w:p w:rsidR="00C4705C" w:rsidRPr="002827B6" w:rsidRDefault="00C4705C" w:rsidP="00B76B0B">
      <w:pPr>
        <w:spacing w:after="0"/>
        <w:rPr>
          <w:rFonts w:cs="Arial"/>
          <w:lang w:eastAsia="en-GB"/>
        </w:rPr>
      </w:pPr>
      <w:r w:rsidRPr="002827B6">
        <w:rPr>
          <w:rFonts w:cs="Arial"/>
          <w:lang w:eastAsia="en-GB"/>
        </w:rPr>
        <w:t>(36)</w:t>
      </w:r>
      <w:r w:rsidRPr="002827B6">
        <w:rPr>
          <w:rFonts w:cs="Arial"/>
          <w:szCs w:val="20"/>
        </w:rPr>
        <w:t xml:space="preserve"> NHS National Patient Safety Agency. Reducing treatment dose errors with low molecular weight heparins – NPSA Alert NPSA/2010/RRR014 [30</w:t>
      </w:r>
      <w:r w:rsidRPr="002827B6">
        <w:rPr>
          <w:rFonts w:cs="Arial"/>
          <w:sz w:val="13"/>
          <w:szCs w:val="13"/>
        </w:rPr>
        <w:t xml:space="preserve">th </w:t>
      </w:r>
      <w:r w:rsidRPr="002827B6">
        <w:rPr>
          <w:rFonts w:cs="Arial"/>
          <w:szCs w:val="20"/>
        </w:rPr>
        <w:t>July 2010].</w:t>
      </w:r>
    </w:p>
    <w:p w:rsidR="00D02C41" w:rsidRPr="00B1695F" w:rsidRDefault="00D02C41" w:rsidP="00D02C41">
      <w:pPr>
        <w:pStyle w:val="Heading2"/>
      </w:pPr>
      <w:r w:rsidRPr="00B00B12">
        <w:lastRenderedPageBreak/>
        <w:t xml:space="preserve">Quality Assurance </w:t>
      </w:r>
    </w:p>
    <w:p w:rsidR="00A04AF7" w:rsidRDefault="00A04AF7" w:rsidP="00A04AF7">
      <w:pPr>
        <w:pStyle w:val="Heading3"/>
        <w:spacing w:before="0"/>
        <w:rPr>
          <w:lang w:val="en-US"/>
        </w:rPr>
      </w:pPr>
    </w:p>
    <w:p w:rsidR="00A04AF7" w:rsidRDefault="00D02C41" w:rsidP="00D96B5B">
      <w:pPr>
        <w:pStyle w:val="Heading3"/>
        <w:spacing w:before="0"/>
        <w:rPr>
          <w:lang w:val="en-US"/>
        </w:rPr>
      </w:pPr>
      <w:r w:rsidRPr="00B00B12">
        <w:rPr>
          <w:lang w:val="en-US"/>
        </w:rPr>
        <w:t xml:space="preserve">Prepared </w:t>
      </w:r>
      <w:r w:rsidR="008842FA">
        <w:rPr>
          <w:lang w:val="en-US"/>
        </w:rPr>
        <w:t>by</w:t>
      </w:r>
    </w:p>
    <w:p w:rsidR="00D02C41" w:rsidRPr="00A04AF7" w:rsidRDefault="008842FA" w:rsidP="00D96B5B">
      <w:pPr>
        <w:pStyle w:val="Heading3"/>
        <w:spacing w:before="0"/>
        <w:rPr>
          <w:lang w:val="en-US"/>
        </w:rPr>
      </w:pPr>
      <w:r w:rsidRPr="008842FA">
        <w:rPr>
          <w:b w:val="0"/>
          <w:color w:val="auto"/>
          <w:lang w:val="en-US"/>
        </w:rPr>
        <w:t>D</w:t>
      </w:r>
      <w:r w:rsidR="00D02C41" w:rsidRPr="008842FA">
        <w:rPr>
          <w:b w:val="0"/>
          <w:color w:val="auto"/>
          <w:lang w:val="en-US"/>
        </w:rPr>
        <w:t>e</w:t>
      </w:r>
      <w:r w:rsidRPr="008842FA">
        <w:rPr>
          <w:b w:val="0"/>
          <w:color w:val="auto"/>
          <w:lang w:val="en-US"/>
        </w:rPr>
        <w:t>bbie Thomson, Medicines Information Pharmacist, NHS Greater Glasgow and Clyde</w:t>
      </w:r>
      <w:r w:rsidR="00D02C41" w:rsidRPr="008842FA">
        <w:rPr>
          <w:b w:val="0"/>
          <w:color w:val="auto"/>
          <w:lang w:val="en-US"/>
        </w:rPr>
        <w:t xml:space="preserve"> </w:t>
      </w:r>
    </w:p>
    <w:p w:rsidR="00A04AF7" w:rsidRDefault="00A04AF7" w:rsidP="00D96B5B">
      <w:pPr>
        <w:pStyle w:val="Heading3"/>
        <w:spacing w:before="0"/>
        <w:rPr>
          <w:lang w:val="en-US"/>
        </w:rPr>
      </w:pPr>
    </w:p>
    <w:p w:rsidR="00A04AF7" w:rsidRPr="00A04AF7" w:rsidRDefault="00D02C41" w:rsidP="00D96B5B">
      <w:pPr>
        <w:pStyle w:val="Heading3"/>
        <w:spacing w:before="0"/>
        <w:rPr>
          <w:lang w:val="en-US"/>
        </w:rPr>
      </w:pPr>
      <w:r w:rsidRPr="00B00B12">
        <w:rPr>
          <w:lang w:val="en-US"/>
        </w:rPr>
        <w:t>Date Prepared</w:t>
      </w:r>
    </w:p>
    <w:p w:rsidR="008842FA" w:rsidRPr="00A04AF7" w:rsidRDefault="008842FA" w:rsidP="00D96B5B">
      <w:pPr>
        <w:spacing w:after="0"/>
        <w:rPr>
          <w:rStyle w:val="Heading3Char"/>
          <w:rFonts w:eastAsia="Calibri"/>
          <w:b w:val="0"/>
          <w:bCs w:val="0"/>
          <w:color w:val="auto"/>
          <w:szCs w:val="22"/>
          <w:lang w:val="en-US"/>
        </w:rPr>
      </w:pPr>
      <w:r>
        <w:rPr>
          <w:lang w:val="en-US"/>
        </w:rPr>
        <w:t>June 2020</w:t>
      </w:r>
    </w:p>
    <w:p w:rsidR="00A04AF7" w:rsidRDefault="00A04AF7" w:rsidP="00D96B5B">
      <w:pPr>
        <w:rPr>
          <w:rStyle w:val="Heading3Char"/>
          <w:rFonts w:eastAsia="Calibri"/>
        </w:rPr>
      </w:pPr>
    </w:p>
    <w:p w:rsidR="00D02C41" w:rsidRDefault="00D02C41" w:rsidP="00D96B5B">
      <w:pPr>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E77D40">
        <w:rPr>
          <w:rFonts w:eastAsia="Times New Roman" w:cs="Arial"/>
          <w:szCs w:val="20"/>
          <w:lang w:val="en-US"/>
        </w:rPr>
        <w:t>Morven Henry, Medicines Information Pharmacist, NHS Greater Glasgow and Clyde</w:t>
      </w:r>
    </w:p>
    <w:p w:rsidR="00D02C41" w:rsidRDefault="00D02C41" w:rsidP="00D96B5B">
      <w:pPr>
        <w:pStyle w:val="Heading3"/>
        <w:spacing w:before="240"/>
        <w:rPr>
          <w:lang w:val="en-US"/>
        </w:rPr>
      </w:pPr>
      <w:r w:rsidRPr="00B00B12">
        <w:rPr>
          <w:lang w:val="en-US"/>
        </w:rPr>
        <w:br/>
        <w:t>Date of chec</w:t>
      </w:r>
      <w:r>
        <w:rPr>
          <w:lang w:val="en-US"/>
        </w:rPr>
        <w:t>k</w:t>
      </w:r>
    </w:p>
    <w:p w:rsidR="00D96B5B" w:rsidRDefault="00E77D40" w:rsidP="00D96B5B">
      <w:pPr>
        <w:rPr>
          <w:lang w:val="en-US"/>
        </w:rPr>
      </w:pPr>
      <w:r>
        <w:rPr>
          <w:lang w:val="en-US"/>
        </w:rPr>
        <w:t>July 2020</w:t>
      </w:r>
    </w:p>
    <w:p w:rsidR="00D02C41" w:rsidRPr="00527D92" w:rsidRDefault="00D02C41" w:rsidP="00D96B5B">
      <w:pPr>
        <w:pStyle w:val="Heading3"/>
      </w:pPr>
      <w:r w:rsidRPr="00527D92">
        <w:rPr>
          <w:rStyle w:val="Heading3Char"/>
          <w:b/>
          <w:bCs/>
        </w:rPr>
        <w:t>Contac</w:t>
      </w:r>
      <w:r w:rsidRPr="00527D92">
        <w:t>t</w:t>
      </w:r>
    </w:p>
    <w:p w:rsidR="00D02C41" w:rsidRDefault="00A1607A" w:rsidP="00D96B5B">
      <w:pPr>
        <w:rPr>
          <w:lang w:val="en-US"/>
        </w:rPr>
      </w:pPr>
      <w:r>
        <w:rPr>
          <w:lang w:val="en-US"/>
        </w:rPr>
        <w:t>medinfo@ggc.scot.nhs.uk</w:t>
      </w:r>
    </w:p>
    <w:p w:rsidR="00D02C41" w:rsidRPr="00B00B12" w:rsidRDefault="00D02C41" w:rsidP="00D02C41">
      <w:pPr>
        <w:pStyle w:val="Heading3"/>
        <w:rPr>
          <w:lang w:val="en-US"/>
        </w:rPr>
      </w:pPr>
      <w:r w:rsidRPr="00B00B12">
        <w:rPr>
          <w:lang w:val="en-US"/>
        </w:rPr>
        <w:t>Search strategy</w:t>
      </w:r>
    </w:p>
    <w:p w:rsidR="009544C7" w:rsidRDefault="00D02C41" w:rsidP="00D02C41">
      <w:pPr>
        <w:numPr>
          <w:ilvl w:val="0"/>
          <w:numId w:val="3"/>
        </w:numPr>
        <w:rPr>
          <w:lang w:val="en-US"/>
        </w:rPr>
      </w:pPr>
      <w:proofErr w:type="spellStart"/>
      <w:r w:rsidRPr="00B00B12">
        <w:rPr>
          <w:lang w:val="en-US"/>
        </w:rPr>
        <w:t>Embase</w:t>
      </w:r>
      <w:proofErr w:type="spellEnd"/>
      <w:r w:rsidRPr="00B00B12">
        <w:rPr>
          <w:lang w:val="en-US"/>
        </w:rPr>
        <w:t xml:space="preserve"> </w:t>
      </w:r>
    </w:p>
    <w:p w:rsidR="00D02C41" w:rsidRDefault="009544C7" w:rsidP="009544C7">
      <w:pPr>
        <w:ind w:left="360"/>
        <w:rPr>
          <w:lang w:val="en-US"/>
        </w:rPr>
      </w:pPr>
      <w:r>
        <w:rPr>
          <w:lang w:val="en-US"/>
        </w:rPr>
        <w:t xml:space="preserve">                      :exp low molecular weright heparin/ AND exp pharmacokinetics/ and limit ‘2016-</w:t>
      </w:r>
      <w:r w:rsidR="001C7FBC">
        <w:rPr>
          <w:lang w:val="en-US"/>
        </w:rPr>
        <w:t xml:space="preserve">     </w:t>
      </w:r>
      <w:r>
        <w:rPr>
          <w:lang w:val="en-US"/>
        </w:rPr>
        <w:t>current’ AND exp obesity/</w:t>
      </w:r>
    </w:p>
    <w:p w:rsidR="009544C7" w:rsidRPr="00B00B12" w:rsidRDefault="009544C7" w:rsidP="009544C7">
      <w:pPr>
        <w:ind w:left="360"/>
        <w:rPr>
          <w:lang w:val="en-US"/>
        </w:rPr>
      </w:pPr>
      <w:r>
        <w:rPr>
          <w:lang w:val="en-US"/>
        </w:rPr>
        <w:t xml:space="preserve">                     :exp </w:t>
      </w:r>
      <w:r w:rsidR="001C7FBC">
        <w:rPr>
          <w:lang w:val="en-US"/>
        </w:rPr>
        <w:t>low molecular weight heparin/ AND exp obesity/ and limit ‘2016-current’ AND exp thromboembolism</w:t>
      </w:r>
    </w:p>
    <w:p w:rsidR="001C7FBC" w:rsidRDefault="00D02C41" w:rsidP="00D02C41">
      <w:pPr>
        <w:numPr>
          <w:ilvl w:val="0"/>
          <w:numId w:val="3"/>
        </w:numPr>
        <w:rPr>
          <w:lang w:val="en-US"/>
        </w:rPr>
      </w:pPr>
      <w:r w:rsidRPr="001C7FBC">
        <w:rPr>
          <w:lang w:val="en-US"/>
        </w:rPr>
        <w:t xml:space="preserve">Medline </w:t>
      </w:r>
    </w:p>
    <w:p w:rsidR="001C7FBC" w:rsidRDefault="001C7FBC" w:rsidP="001C7FBC">
      <w:pPr>
        <w:ind w:left="360"/>
        <w:rPr>
          <w:lang w:val="en-US"/>
        </w:rPr>
      </w:pPr>
      <w:r>
        <w:rPr>
          <w:lang w:val="en-US"/>
        </w:rPr>
        <w:t xml:space="preserve">                    :exp Heparin, Low-Molecular-Weight/ AND exp pharmacokinetics/ AND [exp weight gain/ OR obesity /OR exp obesity, morbid] AND limit ‘2016-current’</w:t>
      </w:r>
    </w:p>
    <w:p w:rsidR="001C7FBC" w:rsidRDefault="00637937" w:rsidP="00A04AF7">
      <w:pPr>
        <w:ind w:left="360"/>
        <w:rPr>
          <w:lang w:val="en-US"/>
        </w:rPr>
      </w:pPr>
      <w:r>
        <w:rPr>
          <w:lang w:val="en-US"/>
        </w:rPr>
        <w:t xml:space="preserve">                   </w:t>
      </w:r>
      <w:proofErr w:type="gramStart"/>
      <w:r w:rsidR="001C7FBC">
        <w:rPr>
          <w:lang w:val="en-US"/>
        </w:rPr>
        <w:t>:exp</w:t>
      </w:r>
      <w:proofErr w:type="gramEnd"/>
      <w:r w:rsidR="001C7FBC">
        <w:rPr>
          <w:lang w:val="en-US"/>
        </w:rPr>
        <w:t xml:space="preserve"> Heparin, Low-Molecular-Weight/ AND [exp weight gain/ OR obesity /OR exp obesity, morbid] AND limit ‘2016-current’</w:t>
      </w:r>
    </w:p>
    <w:p w:rsidR="00D02C41" w:rsidRPr="001C7FBC" w:rsidRDefault="001C7FBC" w:rsidP="00D02C41">
      <w:pPr>
        <w:numPr>
          <w:ilvl w:val="0"/>
          <w:numId w:val="3"/>
        </w:numPr>
        <w:rPr>
          <w:lang w:val="en-US"/>
        </w:rPr>
      </w:pPr>
      <w:r>
        <w:rPr>
          <w:lang w:val="en-US"/>
        </w:rPr>
        <w:t>Electronic Medicines Compendium</w:t>
      </w:r>
    </w:p>
    <w:p w:rsidR="001C7FBC" w:rsidRDefault="001C7FBC" w:rsidP="00D02C41">
      <w:pPr>
        <w:numPr>
          <w:ilvl w:val="0"/>
          <w:numId w:val="3"/>
        </w:numPr>
        <w:rPr>
          <w:lang w:val="en-US"/>
        </w:rPr>
      </w:pPr>
      <w:r>
        <w:rPr>
          <w:lang w:val="en-US"/>
        </w:rPr>
        <w:t>Cochrane Library</w:t>
      </w:r>
    </w:p>
    <w:p w:rsidR="00A06BF6" w:rsidRPr="001C7FBC" w:rsidRDefault="001C7FBC" w:rsidP="00A06BF6">
      <w:pPr>
        <w:numPr>
          <w:ilvl w:val="0"/>
          <w:numId w:val="3"/>
        </w:numPr>
      </w:pPr>
      <w:r w:rsidRPr="001C7FBC">
        <w:rPr>
          <w:lang w:val="en-US"/>
        </w:rPr>
        <w:t>Micromedex</w:t>
      </w:r>
    </w:p>
    <w:p w:rsidR="001C7FBC" w:rsidRPr="001C7FBC" w:rsidRDefault="001C7FBC" w:rsidP="00A06BF6">
      <w:pPr>
        <w:numPr>
          <w:ilvl w:val="0"/>
          <w:numId w:val="3"/>
        </w:numPr>
      </w:pPr>
      <w:r>
        <w:rPr>
          <w:lang w:val="en-US"/>
        </w:rPr>
        <w:t>Martindale</w:t>
      </w:r>
    </w:p>
    <w:p w:rsidR="001C7FBC" w:rsidRPr="001C7FBC" w:rsidRDefault="001C7FBC" w:rsidP="00A06BF6">
      <w:pPr>
        <w:numPr>
          <w:ilvl w:val="0"/>
          <w:numId w:val="3"/>
        </w:numPr>
      </w:pPr>
      <w:r>
        <w:rPr>
          <w:lang w:val="en-US"/>
        </w:rPr>
        <w:t>NHS Evidence</w:t>
      </w:r>
    </w:p>
    <w:p w:rsidR="001C7FBC" w:rsidRPr="001C7FBC" w:rsidRDefault="001C7FBC" w:rsidP="00A06BF6">
      <w:pPr>
        <w:numPr>
          <w:ilvl w:val="0"/>
          <w:numId w:val="3"/>
        </w:numPr>
      </w:pPr>
      <w:r>
        <w:rPr>
          <w:lang w:val="en-US"/>
        </w:rPr>
        <w:t>National Institute for Health and Care Excellence</w:t>
      </w:r>
    </w:p>
    <w:p w:rsidR="001C7FBC" w:rsidRPr="001C7FBC" w:rsidRDefault="001C7FBC" w:rsidP="00A06BF6">
      <w:pPr>
        <w:numPr>
          <w:ilvl w:val="0"/>
          <w:numId w:val="3"/>
        </w:numPr>
      </w:pPr>
      <w:r>
        <w:rPr>
          <w:lang w:val="en-US"/>
        </w:rPr>
        <w:t>Scottish Intercollegiate Guidelines Network</w:t>
      </w:r>
    </w:p>
    <w:p w:rsidR="001C7FBC" w:rsidRPr="001C7FBC" w:rsidRDefault="001C7FBC" w:rsidP="00A06BF6">
      <w:pPr>
        <w:numPr>
          <w:ilvl w:val="0"/>
          <w:numId w:val="3"/>
        </w:numPr>
      </w:pPr>
      <w:r>
        <w:rPr>
          <w:lang w:val="en-US"/>
        </w:rPr>
        <w:t>NHS National Patient Safety Agency and Department of health Central Alerting System</w:t>
      </w:r>
    </w:p>
    <w:p w:rsidR="001C7FBC" w:rsidRDefault="001C7FBC" w:rsidP="00A06BF6">
      <w:pPr>
        <w:numPr>
          <w:ilvl w:val="0"/>
          <w:numId w:val="3"/>
        </w:numPr>
      </w:pPr>
      <w:r>
        <w:rPr>
          <w:lang w:val="en-US"/>
        </w:rPr>
        <w:t>American College of chest physicians Clinical guidelines</w:t>
      </w:r>
    </w:p>
    <w:p w:rsidR="00A06BF6" w:rsidRDefault="00A06BF6" w:rsidP="00A06BF6"/>
    <w:p w:rsidR="004F475C" w:rsidRPr="00A06BF6" w:rsidRDefault="004F475C" w:rsidP="00A06BF6"/>
    <w:sectPr w:rsidR="004F475C" w:rsidRPr="00A06BF6" w:rsidSect="004F475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F7" w:rsidRDefault="00A04AF7" w:rsidP="00B2372E">
      <w:pPr>
        <w:spacing w:after="0" w:line="240" w:lineRule="auto"/>
      </w:pPr>
      <w:r>
        <w:separator/>
      </w:r>
    </w:p>
  </w:endnote>
  <w:endnote w:type="continuationSeparator" w:id="0">
    <w:p w:rsidR="00A04AF7" w:rsidRDefault="00A04AF7" w:rsidP="00B23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F7" w:rsidRPr="006945F6" w:rsidRDefault="00A04AF7"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A04AF7" w:rsidRPr="006945F6" w:rsidRDefault="00A04AF7" w:rsidP="00B2372E">
    <w:pPr>
      <w:pStyle w:val="Footer"/>
      <w:ind w:right="360"/>
      <w:rPr>
        <w:color w:val="A6A6A6"/>
      </w:rPr>
    </w:pPr>
    <w:hyperlink r:id="rId1" w:history="1">
      <w:r w:rsidRPr="00AB2D91">
        <w:rPr>
          <w:rStyle w:val="Hyperlink"/>
        </w:rPr>
        <w:t>www.sps.nhs.uk</w:t>
      </w:r>
    </w:hyperlink>
    <w:r>
      <w:rPr>
        <w:color w:val="A6A6A6"/>
      </w:rPr>
      <w:t xml:space="preserve"> </w:t>
    </w:r>
  </w:p>
  <w:p w:rsidR="00A04AF7" w:rsidRDefault="00A04A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F7" w:rsidRDefault="00A04AF7" w:rsidP="00B2372E">
      <w:pPr>
        <w:spacing w:after="0" w:line="240" w:lineRule="auto"/>
      </w:pPr>
      <w:r>
        <w:separator/>
      </w:r>
    </w:p>
  </w:footnote>
  <w:footnote w:type="continuationSeparator" w:id="0">
    <w:p w:rsidR="00A04AF7" w:rsidRDefault="00A04AF7" w:rsidP="00B23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F7" w:rsidRPr="00B1695F" w:rsidRDefault="00A04AF7"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57728" behindDoc="0" locked="0" layoutInCell="1" allowOverlap="1">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pic:spPr>
              </pic:pic>
            </a:graphicData>
          </a:graphic>
        </wp:anchor>
      </w:drawing>
    </w:r>
    <w:r w:rsidRPr="00456093">
      <w:rPr>
        <w:b/>
        <w:noProof/>
        <w:color w:val="0070C0"/>
        <w:sz w:val="24"/>
        <w:lang w:val="en-US" w:eastAsia="zh-TW"/>
      </w:rPr>
      <w:pict>
        <v:shapetype id="_x0000_t202" coordsize="21600,21600" o:spt="202" path="m,l,21600r21600,l21600,xe">
          <v:stroke joinstyle="miter"/>
          <v:path gradientshapeok="t" o:connecttype="rect"/>
        </v:shapetype>
        <v:shape id="_x0000_s2053" type="#_x0000_t202" style="position:absolute;margin-left:14.8pt;margin-top:-6.9pt;width:109.7pt;height:22.25pt;z-index:251658752;mso-position-horizontal-relative:text;mso-position-vertical-relative:text;mso-width-relative:margin;mso-height-relative:margin" filled="f" stroked="f">
          <v:textbox style="mso-next-textbox:#_x0000_s2053">
            <w:txbxContent>
              <w:p w:rsidR="00A04AF7" w:rsidRPr="00B1695F" w:rsidRDefault="00A04AF7" w:rsidP="003A21B9">
                <w:pPr>
                  <w:pStyle w:val="Header"/>
                  <w:tabs>
                    <w:tab w:val="clear" w:pos="4513"/>
                    <w:tab w:val="clear" w:pos="9026"/>
                    <w:tab w:val="left" w:pos="7650"/>
                  </w:tabs>
                  <w:rPr>
                    <w:b/>
                    <w:color w:val="0070C0"/>
                  </w:rPr>
                </w:pPr>
                <w:r w:rsidRPr="00B1695F">
                  <w:rPr>
                    <w:b/>
                    <w:color w:val="0070C0"/>
                    <w:sz w:val="24"/>
                  </w:rPr>
                  <w:t>Medicines Q&amp;As</w:t>
                </w:r>
              </w:p>
              <w:p w:rsidR="00A04AF7" w:rsidRDefault="00A04AF7"/>
            </w:txbxContent>
          </v:textbox>
        </v:shape>
      </w:pict>
    </w:r>
  </w:p>
  <w:p w:rsidR="00A04AF7" w:rsidRDefault="00A04AF7">
    <w:pPr>
      <w:pStyle w:val="Header"/>
    </w:pPr>
    <w:r w:rsidRPr="00456093">
      <w:rPr>
        <w:b/>
        <w:noProof/>
        <w:color w:val="0070C0"/>
        <w:sz w:val="24"/>
        <w:lang w:eastAsia="en-GB"/>
      </w:rPr>
      <w:pict>
        <v:line id="_x0000_s2049" style="position:absolute;z-index:251656704" from=".55pt,1.25pt" to="139.3pt,1.25pt" strokecolor="#0070c0" strokeweight="1.7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872C2D"/>
    <w:multiLevelType w:val="hybridMultilevel"/>
    <w:tmpl w:val="65AAA02E"/>
    <w:lvl w:ilvl="0" w:tplc="1D4AFD3A">
      <w:start w:val="1"/>
      <w:numFmt w:val="decimal"/>
      <w:lvlText w:val="%1."/>
      <w:lvlJc w:val="left"/>
      <w:pPr>
        <w:ind w:left="720" w:hanging="360"/>
      </w:pPr>
      <w:rPr>
        <w:rFonts w:hint="default"/>
        <w:color w:val="4F81B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7F432B"/>
    <w:multiLevelType w:val="hybridMultilevel"/>
    <w:tmpl w:val="0262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E85327"/>
    <w:multiLevelType w:val="hybridMultilevel"/>
    <w:tmpl w:val="1FF41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0E3D5A"/>
    <w:multiLevelType w:val="hybridMultilevel"/>
    <w:tmpl w:val="54CCAA82"/>
    <w:lvl w:ilvl="0" w:tplc="7FC08268">
      <w:start w:val="1"/>
      <w:numFmt w:val="decimal"/>
      <w:lvlText w:val="%1."/>
      <w:lvlJc w:val="left"/>
      <w:pPr>
        <w:ind w:left="720" w:hanging="360"/>
      </w:pPr>
      <w:rPr>
        <w:rFonts w:hint="default"/>
        <w:color w:val="4F81B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1964558"/>
    <w:multiLevelType w:val="hybridMultilevel"/>
    <w:tmpl w:val="FC0AA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12"/>
  </w:num>
  <w:num w:numId="4">
    <w:abstractNumId w:val="3"/>
  </w:num>
  <w:num w:numId="5">
    <w:abstractNumId w:val="2"/>
  </w:num>
  <w:num w:numId="6">
    <w:abstractNumId w:val="9"/>
  </w:num>
  <w:num w:numId="7">
    <w:abstractNumId w:val="7"/>
  </w:num>
  <w:num w:numId="8">
    <w:abstractNumId w:val="1"/>
  </w:num>
  <w:num w:numId="9">
    <w:abstractNumId w:val="10"/>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4"/>
  </w:num>
  <w:num w:numId="12">
    <w:abstractNumId w:val="8"/>
  </w:num>
  <w:num w:numId="13">
    <w:abstractNumId w:val="6"/>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B2372E"/>
    <w:rsid w:val="00003BA2"/>
    <w:rsid w:val="00013CF7"/>
    <w:rsid w:val="000676B1"/>
    <w:rsid w:val="000765B0"/>
    <w:rsid w:val="000D2AF8"/>
    <w:rsid w:val="000D6A79"/>
    <w:rsid w:val="00127CCE"/>
    <w:rsid w:val="00135A6F"/>
    <w:rsid w:val="001B66D0"/>
    <w:rsid w:val="001C5421"/>
    <w:rsid w:val="001C7FBC"/>
    <w:rsid w:val="001D6798"/>
    <w:rsid w:val="00203926"/>
    <w:rsid w:val="00255716"/>
    <w:rsid w:val="00263D8C"/>
    <w:rsid w:val="002827B6"/>
    <w:rsid w:val="002910C4"/>
    <w:rsid w:val="00295CB0"/>
    <w:rsid w:val="00295D32"/>
    <w:rsid w:val="002D4711"/>
    <w:rsid w:val="002F4AEF"/>
    <w:rsid w:val="003056EA"/>
    <w:rsid w:val="00330EE7"/>
    <w:rsid w:val="00343A7F"/>
    <w:rsid w:val="003451A3"/>
    <w:rsid w:val="0039699D"/>
    <w:rsid w:val="003A21B9"/>
    <w:rsid w:val="003B0734"/>
    <w:rsid w:val="003E65FD"/>
    <w:rsid w:val="004074BA"/>
    <w:rsid w:val="00427F92"/>
    <w:rsid w:val="00452E52"/>
    <w:rsid w:val="00454129"/>
    <w:rsid w:val="00456093"/>
    <w:rsid w:val="00463084"/>
    <w:rsid w:val="004D77EB"/>
    <w:rsid w:val="004E456D"/>
    <w:rsid w:val="004E5695"/>
    <w:rsid w:val="004F475C"/>
    <w:rsid w:val="00526245"/>
    <w:rsid w:val="00545582"/>
    <w:rsid w:val="005560AD"/>
    <w:rsid w:val="00556193"/>
    <w:rsid w:val="00573BCC"/>
    <w:rsid w:val="005835BF"/>
    <w:rsid w:val="005848E6"/>
    <w:rsid w:val="005A3DE7"/>
    <w:rsid w:val="005A5506"/>
    <w:rsid w:val="00601FC6"/>
    <w:rsid w:val="0062380B"/>
    <w:rsid w:val="00633B72"/>
    <w:rsid w:val="00637937"/>
    <w:rsid w:val="006B418F"/>
    <w:rsid w:val="006C0BDC"/>
    <w:rsid w:val="00726C70"/>
    <w:rsid w:val="00726DFD"/>
    <w:rsid w:val="00772BFF"/>
    <w:rsid w:val="00794D8C"/>
    <w:rsid w:val="007C010F"/>
    <w:rsid w:val="007F5BBD"/>
    <w:rsid w:val="0080489B"/>
    <w:rsid w:val="00812BE9"/>
    <w:rsid w:val="00884248"/>
    <w:rsid w:val="008842FA"/>
    <w:rsid w:val="008A4C93"/>
    <w:rsid w:val="008B2FB3"/>
    <w:rsid w:val="008E40B3"/>
    <w:rsid w:val="008E43D2"/>
    <w:rsid w:val="008F565D"/>
    <w:rsid w:val="00915145"/>
    <w:rsid w:val="00935CB6"/>
    <w:rsid w:val="00944AF7"/>
    <w:rsid w:val="00946DDB"/>
    <w:rsid w:val="009544C7"/>
    <w:rsid w:val="00963718"/>
    <w:rsid w:val="00972555"/>
    <w:rsid w:val="009832F2"/>
    <w:rsid w:val="009A2DE3"/>
    <w:rsid w:val="009C44AE"/>
    <w:rsid w:val="009D6BE5"/>
    <w:rsid w:val="00A04AF7"/>
    <w:rsid w:val="00A06BF6"/>
    <w:rsid w:val="00A1607A"/>
    <w:rsid w:val="00A5099A"/>
    <w:rsid w:val="00A6268B"/>
    <w:rsid w:val="00A679F9"/>
    <w:rsid w:val="00A74C39"/>
    <w:rsid w:val="00A828F3"/>
    <w:rsid w:val="00A92709"/>
    <w:rsid w:val="00AA4BCC"/>
    <w:rsid w:val="00AB06F3"/>
    <w:rsid w:val="00AD24EE"/>
    <w:rsid w:val="00B05172"/>
    <w:rsid w:val="00B20883"/>
    <w:rsid w:val="00B2372E"/>
    <w:rsid w:val="00B261CB"/>
    <w:rsid w:val="00B76B0B"/>
    <w:rsid w:val="00B9130C"/>
    <w:rsid w:val="00BA0B58"/>
    <w:rsid w:val="00C420CF"/>
    <w:rsid w:val="00C45377"/>
    <w:rsid w:val="00C4705C"/>
    <w:rsid w:val="00C4795E"/>
    <w:rsid w:val="00C57D60"/>
    <w:rsid w:val="00CA14CA"/>
    <w:rsid w:val="00CA6791"/>
    <w:rsid w:val="00CB65D8"/>
    <w:rsid w:val="00CD2D9D"/>
    <w:rsid w:val="00D02C41"/>
    <w:rsid w:val="00D51F08"/>
    <w:rsid w:val="00D72694"/>
    <w:rsid w:val="00D96B5B"/>
    <w:rsid w:val="00DB0F27"/>
    <w:rsid w:val="00DD6E5E"/>
    <w:rsid w:val="00DE5589"/>
    <w:rsid w:val="00E17FC0"/>
    <w:rsid w:val="00E20E5B"/>
    <w:rsid w:val="00E2669A"/>
    <w:rsid w:val="00E3408C"/>
    <w:rsid w:val="00E56591"/>
    <w:rsid w:val="00E610FE"/>
    <w:rsid w:val="00E71C8C"/>
    <w:rsid w:val="00E77D40"/>
    <w:rsid w:val="00EA03CB"/>
    <w:rsid w:val="00EA4422"/>
    <w:rsid w:val="00ED5520"/>
    <w:rsid w:val="00F032FA"/>
    <w:rsid w:val="00F274E2"/>
    <w:rsid w:val="00F8233F"/>
    <w:rsid w:val="00FA3229"/>
    <w:rsid w:val="00FA3647"/>
    <w:rsid w:val="00FB3835"/>
    <w:rsid w:val="00FD7D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iPriority w:val="99"/>
    <w:unhideWhenUsed/>
    <w:rsid w:val="00B2372E"/>
    <w:pPr>
      <w:tabs>
        <w:tab w:val="center" w:pos="4513"/>
        <w:tab w:val="right" w:pos="9026"/>
      </w:tabs>
      <w:spacing w:after="0" w:line="240" w:lineRule="auto"/>
    </w:pPr>
    <w:rPr>
      <w:szCs w:val="20"/>
    </w:rPr>
  </w:style>
  <w:style w:type="character" w:customStyle="1" w:styleId="HeaderChar">
    <w:name w:val="Header Char"/>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rPr>
      <w:szCs w:val="20"/>
    </w:rPr>
  </w:style>
  <w:style w:type="character" w:customStyle="1" w:styleId="FooterChar">
    <w:name w:val="Footer Char"/>
    <w:link w:val="Footer"/>
    <w:rsid w:val="00B2372E"/>
    <w:rPr>
      <w:rFonts w:ascii="Arial" w:eastAsia="Calibri" w:hAnsi="Arial" w:cs="Times New Roman"/>
      <w:sz w:val="20"/>
    </w:rPr>
  </w:style>
  <w:style w:type="paragraph" w:styleId="NoSpacing">
    <w:name w:val="No Spacing"/>
    <w:uiPriority w:val="1"/>
    <w:qFormat/>
    <w:rsid w:val="00B2372E"/>
    <w:rPr>
      <w:rFonts w:ascii="Arial" w:hAnsi="Arial"/>
      <w:szCs w:val="22"/>
      <w:lang w:eastAsia="en-US"/>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21B9"/>
    <w:rPr>
      <w:rFonts w:ascii="Tahoma" w:eastAsia="Calibri" w:hAnsi="Tahoma" w:cs="Tahoma"/>
      <w:sz w:val="16"/>
      <w:szCs w:val="16"/>
    </w:rPr>
  </w:style>
  <w:style w:type="paragraph" w:customStyle="1" w:styleId="Default">
    <w:name w:val="Default"/>
    <w:uiPriority w:val="99"/>
    <w:rsid w:val="008842FA"/>
    <w:pPr>
      <w:autoSpaceDE w:val="0"/>
      <w:autoSpaceDN w:val="0"/>
      <w:adjustRightInd w:val="0"/>
    </w:pPr>
    <w:rPr>
      <w:rFonts w:ascii="Arial" w:hAnsi="Arial" w:cs="Arial"/>
      <w:color w:val="000000"/>
      <w:sz w:val="24"/>
      <w:szCs w:val="24"/>
    </w:rPr>
  </w:style>
  <w:style w:type="paragraph" w:customStyle="1" w:styleId="H1">
    <w:name w:val="H1"/>
    <w:basedOn w:val="Normal"/>
    <w:next w:val="Normal"/>
    <w:uiPriority w:val="99"/>
    <w:rsid w:val="00C57D60"/>
    <w:pPr>
      <w:keepNext/>
      <w:widowControl w:val="0"/>
      <w:autoSpaceDE w:val="0"/>
      <w:autoSpaceDN w:val="0"/>
      <w:adjustRightInd w:val="0"/>
      <w:spacing w:before="100" w:after="100" w:line="240" w:lineRule="auto"/>
    </w:pPr>
    <w:rPr>
      <w:rFonts w:ascii="Times New Roman" w:hAnsi="Times New Roman"/>
      <w:b/>
      <w:bCs/>
      <w:sz w:val="48"/>
      <w:szCs w:val="48"/>
      <w:lang w:eastAsia="en-GB"/>
    </w:rPr>
  </w:style>
  <w:style w:type="character" w:styleId="FollowedHyperlink">
    <w:name w:val="FollowedHyperlink"/>
    <w:basedOn w:val="DefaultParagraphFont"/>
    <w:uiPriority w:val="99"/>
    <w:semiHidden/>
    <w:unhideWhenUsed/>
    <w:rsid w:val="00E2669A"/>
    <w:rPr>
      <w:color w:val="800080"/>
      <w:u w:val="single"/>
    </w:rPr>
  </w:style>
  <w:style w:type="paragraph" w:customStyle="1" w:styleId="c-bibliographic-informationcitation1">
    <w:name w:val="c-bibliographic-information__citation1"/>
    <w:basedOn w:val="Normal"/>
    <w:rsid w:val="00884248"/>
    <w:pPr>
      <w:spacing w:after="120" w:line="240" w:lineRule="auto"/>
    </w:pPr>
    <w:rPr>
      <w:rFonts w:ascii="Segoe UI" w:eastAsia="Times New Roman" w:hAnsi="Segoe UI" w:cs="Segoe UI"/>
      <w:sz w:val="24"/>
      <w:szCs w:val="24"/>
      <w:lang w:eastAsia="en-GB"/>
    </w:rPr>
  </w:style>
  <w:style w:type="paragraph" w:customStyle="1" w:styleId="Normal0">
    <w:name w:val="[Normal]"/>
    <w:uiPriority w:val="99"/>
    <w:rsid w:val="00884248"/>
    <w:pPr>
      <w:widowControl w:val="0"/>
      <w:autoSpaceDE w:val="0"/>
      <w:autoSpaceDN w:val="0"/>
      <w:adjustRightInd w:val="0"/>
    </w:pPr>
    <w:rPr>
      <w:rFonts w:ascii="Arial" w:hAnsi="Arial" w:cs="Arial"/>
      <w:sz w:val="24"/>
      <w:szCs w:val="24"/>
    </w:rPr>
  </w:style>
  <w:style w:type="character" w:styleId="CommentReference">
    <w:name w:val="annotation reference"/>
    <w:basedOn w:val="DefaultParagraphFont"/>
    <w:uiPriority w:val="99"/>
    <w:semiHidden/>
    <w:unhideWhenUsed/>
    <w:rsid w:val="009C44AE"/>
    <w:rPr>
      <w:sz w:val="16"/>
      <w:szCs w:val="16"/>
    </w:rPr>
  </w:style>
  <w:style w:type="paragraph" w:styleId="CommentText">
    <w:name w:val="annotation text"/>
    <w:basedOn w:val="Normal"/>
    <w:link w:val="CommentTextChar"/>
    <w:uiPriority w:val="99"/>
    <w:semiHidden/>
    <w:unhideWhenUsed/>
    <w:rsid w:val="009C44AE"/>
    <w:rPr>
      <w:szCs w:val="20"/>
    </w:rPr>
  </w:style>
  <w:style w:type="character" w:customStyle="1" w:styleId="CommentTextChar">
    <w:name w:val="Comment Text Char"/>
    <w:basedOn w:val="DefaultParagraphFont"/>
    <w:link w:val="CommentText"/>
    <w:uiPriority w:val="99"/>
    <w:semiHidden/>
    <w:rsid w:val="009C44A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C44AE"/>
    <w:rPr>
      <w:b/>
      <w:bCs/>
    </w:rPr>
  </w:style>
  <w:style w:type="character" w:customStyle="1" w:styleId="CommentSubjectChar">
    <w:name w:val="Comment Subject Char"/>
    <w:basedOn w:val="CommentTextChar"/>
    <w:link w:val="CommentSubject"/>
    <w:uiPriority w:val="99"/>
    <w:semiHidden/>
    <w:rsid w:val="009C44AE"/>
    <w:rPr>
      <w:b/>
      <w:bCs/>
    </w:rPr>
  </w:style>
  <w:style w:type="paragraph" w:styleId="Revision">
    <w:name w:val="Revision"/>
    <w:hidden/>
    <w:uiPriority w:val="99"/>
    <w:semiHidden/>
    <w:rsid w:val="002827B6"/>
    <w:rPr>
      <w:rFonts w:ascii="Arial" w:hAnsi="Arial"/>
      <w:szCs w:val="22"/>
      <w:lang w:eastAsia="en-US"/>
    </w:rPr>
  </w:style>
</w:styles>
</file>

<file path=word/webSettings.xml><?xml version="1.0" encoding="utf-8"?>
<w:webSettings xmlns:r="http://schemas.openxmlformats.org/officeDocument/2006/relationships" xmlns:w="http://schemas.openxmlformats.org/wordprocessingml/2006/main">
  <w:divs>
    <w:div w:id="628097090">
      <w:bodyDiv w:val="1"/>
      <w:marLeft w:val="0"/>
      <w:marRight w:val="0"/>
      <w:marTop w:val="0"/>
      <w:marBottom w:val="0"/>
      <w:divBdr>
        <w:top w:val="none" w:sz="0" w:space="0" w:color="auto"/>
        <w:left w:val="none" w:sz="0" w:space="0" w:color="auto"/>
        <w:bottom w:val="none" w:sz="0" w:space="0" w:color="auto"/>
        <w:right w:val="none" w:sz="0" w:space="0" w:color="auto"/>
      </w:divBdr>
      <w:divsChild>
        <w:div w:id="919559379">
          <w:marLeft w:val="0"/>
          <w:marRight w:val="0"/>
          <w:marTop w:val="0"/>
          <w:marBottom w:val="0"/>
          <w:divBdr>
            <w:top w:val="none" w:sz="0" w:space="0" w:color="auto"/>
            <w:left w:val="none" w:sz="0" w:space="0" w:color="auto"/>
            <w:bottom w:val="none" w:sz="0" w:space="0" w:color="auto"/>
            <w:right w:val="none" w:sz="0" w:space="0" w:color="auto"/>
          </w:divBdr>
          <w:divsChild>
            <w:div w:id="919679918">
              <w:marLeft w:val="0"/>
              <w:marRight w:val="0"/>
              <w:marTop w:val="0"/>
              <w:marBottom w:val="0"/>
              <w:divBdr>
                <w:top w:val="none" w:sz="0" w:space="0" w:color="auto"/>
                <w:left w:val="none" w:sz="0" w:space="0" w:color="auto"/>
                <w:bottom w:val="none" w:sz="0" w:space="0" w:color="auto"/>
                <w:right w:val="none" w:sz="0" w:space="0" w:color="auto"/>
              </w:divBdr>
              <w:divsChild>
                <w:div w:id="2134056229">
                  <w:marLeft w:val="0"/>
                  <w:marRight w:val="0"/>
                  <w:marTop w:val="0"/>
                  <w:marBottom w:val="0"/>
                  <w:divBdr>
                    <w:top w:val="none" w:sz="0" w:space="0" w:color="auto"/>
                    <w:left w:val="none" w:sz="0" w:space="0" w:color="auto"/>
                    <w:bottom w:val="none" w:sz="0" w:space="0" w:color="auto"/>
                    <w:right w:val="none" w:sz="0" w:space="0" w:color="auto"/>
                  </w:divBdr>
                  <w:divsChild>
                    <w:div w:id="1388996715">
                      <w:marLeft w:val="0"/>
                      <w:marRight w:val="0"/>
                      <w:marTop w:val="0"/>
                      <w:marBottom w:val="0"/>
                      <w:divBdr>
                        <w:top w:val="none" w:sz="0" w:space="0" w:color="auto"/>
                        <w:left w:val="none" w:sz="0" w:space="0" w:color="auto"/>
                        <w:bottom w:val="none" w:sz="0" w:space="0" w:color="auto"/>
                        <w:right w:val="none" w:sz="0" w:space="0" w:color="auto"/>
                      </w:divBdr>
                      <w:divsChild>
                        <w:div w:id="900751636">
                          <w:marLeft w:val="0"/>
                          <w:marRight w:val="0"/>
                          <w:marTop w:val="0"/>
                          <w:marBottom w:val="600"/>
                          <w:divBdr>
                            <w:top w:val="none" w:sz="0" w:space="0" w:color="auto"/>
                            <w:left w:val="none" w:sz="0" w:space="0" w:color="auto"/>
                            <w:bottom w:val="none" w:sz="0" w:space="0" w:color="auto"/>
                            <w:right w:val="none" w:sz="0" w:space="0" w:color="auto"/>
                          </w:divBdr>
                          <w:divsChild>
                            <w:div w:id="1078290878">
                              <w:marLeft w:val="0"/>
                              <w:marRight w:val="0"/>
                              <w:marTop w:val="0"/>
                              <w:marBottom w:val="0"/>
                              <w:divBdr>
                                <w:top w:val="none" w:sz="0" w:space="0" w:color="auto"/>
                                <w:left w:val="none" w:sz="0" w:space="0" w:color="auto"/>
                                <w:bottom w:val="none" w:sz="0" w:space="0" w:color="auto"/>
                                <w:right w:val="none" w:sz="0" w:space="0" w:color="auto"/>
                              </w:divBdr>
                              <w:divsChild>
                                <w:div w:id="4146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ines.org.uk/emc/product/4243/smp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icines.org.uk/emc/product/3631/smpc" TargetMode="External"/><Relationship Id="rId4" Type="http://schemas.openxmlformats.org/officeDocument/2006/relationships/settings" Target="settings.xml"/><Relationship Id="rId9" Type="http://schemas.openxmlformats.org/officeDocument/2006/relationships/hyperlink" Target="http://www.medicines.org.uk/emc/product/4499/smp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EB91B-951A-4AE0-A26A-3A3EB4F2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23986</CharactersWithSpaces>
  <SharedDoc>false</SharedDoc>
  <HLinks>
    <vt:vector size="36" baseType="variant">
      <vt:variant>
        <vt:i4>1310739</vt:i4>
      </vt:variant>
      <vt:variant>
        <vt:i4>12</vt:i4>
      </vt:variant>
      <vt:variant>
        <vt:i4>0</vt:i4>
      </vt:variant>
      <vt:variant>
        <vt:i4>5</vt:i4>
      </vt:variant>
      <vt:variant>
        <vt:lpwstr>http://www.medicines.org.uk/emc/product/4243/smpc</vt:lpwstr>
      </vt:variant>
      <vt:variant>
        <vt:lpwstr/>
      </vt:variant>
      <vt:variant>
        <vt:i4>1179667</vt:i4>
      </vt:variant>
      <vt:variant>
        <vt:i4>9</vt:i4>
      </vt:variant>
      <vt:variant>
        <vt:i4>0</vt:i4>
      </vt:variant>
      <vt:variant>
        <vt:i4>5</vt:i4>
      </vt:variant>
      <vt:variant>
        <vt:lpwstr>http://www.medicines.org.uk/emc/product/3631/smpc</vt:lpwstr>
      </vt:variant>
      <vt:variant>
        <vt:lpwstr/>
      </vt:variant>
      <vt:variant>
        <vt:i4>1572894</vt:i4>
      </vt:variant>
      <vt:variant>
        <vt:i4>6</vt:i4>
      </vt:variant>
      <vt:variant>
        <vt:i4>0</vt:i4>
      </vt:variant>
      <vt:variant>
        <vt:i4>5</vt:i4>
      </vt:variant>
      <vt:variant>
        <vt:lpwstr>http://www.medicines.org.uk/emc/product/4499/smpc</vt:lpwstr>
      </vt:variant>
      <vt:variant>
        <vt:lpwstr/>
      </vt:variant>
      <vt:variant>
        <vt:i4>4849664</vt:i4>
      </vt:variant>
      <vt:variant>
        <vt:i4>3</vt:i4>
      </vt:variant>
      <vt:variant>
        <vt:i4>0</vt:i4>
      </vt:variant>
      <vt:variant>
        <vt:i4>5</vt:i4>
      </vt:variant>
      <vt:variant>
        <vt:lpwstr>https://www.sps.nhs.uk/articles/about-ukmi-medicines-qas/</vt:lpwstr>
      </vt:variant>
      <vt:variant>
        <vt:lpwstr/>
      </vt:variant>
      <vt:variant>
        <vt:i4>6881404</vt:i4>
      </vt:variant>
      <vt:variant>
        <vt:i4>0</vt:i4>
      </vt:variant>
      <vt:variant>
        <vt:i4>0</vt:i4>
      </vt:variant>
      <vt:variant>
        <vt:i4>5</vt:i4>
      </vt:variant>
      <vt:variant>
        <vt:lpwstr>http://www.ukmi.nhs.uk/ukmi/about/default.asp?pageRef=1</vt:lpwstr>
      </vt:variant>
      <vt:variant>
        <vt:lpwstr/>
      </vt:variant>
      <vt:variant>
        <vt:i4>7077923</vt:i4>
      </vt:variant>
      <vt:variant>
        <vt:i4>0</vt:i4>
      </vt:variant>
      <vt:variant>
        <vt:i4>0</vt:i4>
      </vt:variant>
      <vt:variant>
        <vt:i4>5</vt:i4>
      </vt:variant>
      <vt:variant>
        <vt:lpwstr>http://www.sps.nhs.uk/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thomsde759</cp:lastModifiedBy>
  <cp:revision>4</cp:revision>
  <dcterms:created xsi:type="dcterms:W3CDTF">2020-09-10T13:35:00Z</dcterms:created>
  <dcterms:modified xsi:type="dcterms:W3CDTF">2020-09-14T08:07:00Z</dcterms:modified>
</cp:coreProperties>
</file>