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37" w:rsidRPr="002D0B37" w:rsidRDefault="002D0B37" w:rsidP="002D0B37">
      <w:pPr>
        <w:jc w:val="center"/>
        <w:rPr>
          <w:b/>
          <w:sz w:val="28"/>
          <w:szCs w:val="28"/>
          <w:u w:val="single"/>
        </w:rPr>
      </w:pPr>
      <w:r w:rsidRPr="002D0B37">
        <w:rPr>
          <w:b/>
          <w:sz w:val="28"/>
          <w:szCs w:val="28"/>
          <w:u w:val="single"/>
        </w:rPr>
        <w:t xml:space="preserve">UKMI Medicines Compliance Aid </w:t>
      </w:r>
      <w:r w:rsidR="002E1E87">
        <w:rPr>
          <w:b/>
          <w:sz w:val="28"/>
          <w:szCs w:val="28"/>
          <w:u w:val="single"/>
        </w:rPr>
        <w:t xml:space="preserve">Stability </w:t>
      </w:r>
      <w:r w:rsidR="00E75CDD">
        <w:rPr>
          <w:b/>
          <w:sz w:val="28"/>
          <w:szCs w:val="28"/>
          <w:u w:val="single"/>
        </w:rPr>
        <w:t>Information</w:t>
      </w:r>
    </w:p>
    <w:p w:rsidR="00792AA6" w:rsidRDefault="00792AA6" w:rsidP="002D0B37">
      <w:pPr>
        <w:jc w:val="center"/>
        <w:rPr>
          <w:color w:val="FF0000"/>
        </w:rPr>
      </w:pPr>
      <w:r>
        <w:rPr>
          <w:color w:val="FF0000"/>
        </w:rPr>
        <w:t>Please note - the information on individual drugs and their stability in medicines compliance aids is being updated in 2019.</w:t>
      </w:r>
      <w:r>
        <w:rPr>
          <w:color w:val="FF0000"/>
        </w:rPr>
        <w:t xml:space="preserve"> The references on this document have been updated in anticipation of this. </w:t>
      </w:r>
    </w:p>
    <w:p w:rsidR="002E1E87" w:rsidRPr="002E1E87" w:rsidRDefault="002E1E87" w:rsidP="002D0B37">
      <w:pPr>
        <w:jc w:val="center"/>
        <w:rPr>
          <w:b/>
          <w:color w:val="333333"/>
          <w:shd w:val="clear" w:color="auto" w:fill="FFFFFF"/>
        </w:rPr>
      </w:pPr>
      <w:r w:rsidRPr="002E1E87">
        <w:rPr>
          <w:b/>
          <w:color w:val="333333"/>
          <w:shd w:val="clear" w:color="auto" w:fill="FFFFFF"/>
        </w:rPr>
        <w:t>The</w:t>
      </w:r>
      <w:r w:rsidRPr="002E1E87">
        <w:rPr>
          <w:rStyle w:val="apple-converted-space"/>
          <w:b/>
          <w:color w:val="333333"/>
          <w:shd w:val="clear" w:color="auto" w:fill="FFFFFF"/>
        </w:rPr>
        <w:t> </w:t>
      </w:r>
      <w:r w:rsidR="00E75CDD">
        <w:rPr>
          <w:b/>
          <w:color w:val="333333"/>
          <w:shd w:val="clear" w:color="auto" w:fill="FFFFFF"/>
        </w:rPr>
        <w:t>information</w:t>
      </w:r>
      <w:r w:rsidRPr="002E1E87">
        <w:rPr>
          <w:b/>
          <w:color w:val="333333"/>
          <w:shd w:val="clear" w:color="auto" w:fill="FFFFFF"/>
        </w:rPr>
        <w:t> UKMI provides about the stability of medicines in medicines compliance aids (MCAs) is intended</w:t>
      </w:r>
      <w:r w:rsidRPr="002E1E87">
        <w:rPr>
          <w:rStyle w:val="apple-converted-space"/>
          <w:b/>
          <w:color w:val="333333"/>
          <w:shd w:val="clear" w:color="auto" w:fill="FFFFFF"/>
        </w:rPr>
        <w:t> </w:t>
      </w:r>
      <w:r w:rsidRPr="002E1E87">
        <w:rPr>
          <w:b/>
          <w:color w:val="333333"/>
          <w:shd w:val="clear" w:color="auto" w:fill="FFFFFF"/>
        </w:rPr>
        <w:t>for</w:t>
      </w:r>
      <w:r w:rsidRPr="002E1E87">
        <w:rPr>
          <w:rStyle w:val="apple-converted-space"/>
          <w:b/>
          <w:color w:val="333333"/>
          <w:shd w:val="clear" w:color="auto" w:fill="FFFFFF"/>
        </w:rPr>
        <w:t> </w:t>
      </w:r>
      <w:r w:rsidRPr="002E1E87">
        <w:rPr>
          <w:b/>
          <w:color w:val="333333"/>
          <w:shd w:val="clear" w:color="auto" w:fill="FFFFFF"/>
        </w:rPr>
        <w:t>use by healthcare professionals</w:t>
      </w:r>
    </w:p>
    <w:p w:rsidR="00310CEA" w:rsidRDefault="00310CEA" w:rsidP="002D0B37">
      <w:pPr>
        <w:jc w:val="center"/>
        <w:rPr>
          <w:b/>
        </w:rPr>
      </w:pPr>
      <w:r w:rsidRPr="00EF42E4">
        <w:rPr>
          <w:b/>
        </w:rPr>
        <w:t>For any enquiries about this</w:t>
      </w:r>
      <w:r w:rsidR="00FA77E5">
        <w:rPr>
          <w:b/>
        </w:rPr>
        <w:t xml:space="preserve"> database</w:t>
      </w:r>
      <w:r w:rsidRPr="00EF42E4">
        <w:rPr>
          <w:b/>
        </w:rPr>
        <w:t xml:space="preserve"> please email Tiffany Barrett at </w:t>
      </w:r>
      <w:hyperlink r:id="rId9" w:history="1">
        <w:r w:rsidR="00A60234" w:rsidRPr="000B29D4">
          <w:rPr>
            <w:rStyle w:val="Hyperlink"/>
            <w:b/>
          </w:rPr>
          <w:t>ubh-tr.swmi@nhs.net</w:t>
        </w:r>
      </w:hyperlink>
      <w:r w:rsidR="00A60234">
        <w:rPr>
          <w:b/>
        </w:rPr>
        <w:t xml:space="preserve"> </w:t>
      </w:r>
      <w:r w:rsidRPr="00EF42E4">
        <w:rPr>
          <w:b/>
        </w:rPr>
        <w:t xml:space="preserve"> </w:t>
      </w:r>
    </w:p>
    <w:p w:rsidR="002E1E87" w:rsidRPr="002E1E87" w:rsidRDefault="002E1E87" w:rsidP="002E1E87">
      <w:pPr>
        <w:rPr>
          <w:b/>
          <w:bCs/>
          <w:u w:val="single"/>
        </w:rPr>
      </w:pPr>
      <w:r w:rsidRPr="002E1E87">
        <w:rPr>
          <w:b/>
          <w:bCs/>
          <w:u w:val="single"/>
        </w:rPr>
        <w:t xml:space="preserve">About UKMI MCA stability </w:t>
      </w:r>
      <w:r w:rsidR="00E75CDD">
        <w:rPr>
          <w:b/>
          <w:bCs/>
          <w:u w:val="single"/>
        </w:rPr>
        <w:t xml:space="preserve">information </w:t>
      </w:r>
    </w:p>
    <w:p w:rsidR="009571B8" w:rsidRDefault="009571B8" w:rsidP="004717D2">
      <w:pPr>
        <w:rPr>
          <w:b/>
        </w:rPr>
      </w:pPr>
      <w:r>
        <w:rPr>
          <w:b/>
        </w:rPr>
        <w:t xml:space="preserve">Manufacturers of medicines have robust data on the stability of their products when stored in their original </w:t>
      </w:r>
      <w:r w:rsidR="005C6BD0">
        <w:rPr>
          <w:b/>
        </w:rPr>
        <w:t>packaging</w:t>
      </w:r>
      <w:r>
        <w:rPr>
          <w:b/>
        </w:rPr>
        <w:t>.  There is very little reliable data available on the stability of medicines after they are removed from their original packaging and stored under different conditions.</w:t>
      </w:r>
    </w:p>
    <w:p w:rsidR="00C26D44" w:rsidRDefault="005C6BD0" w:rsidP="004717D2">
      <w:r w:rsidRPr="00B8114D">
        <w:rPr>
          <w:b/>
          <w:u w:val="single"/>
        </w:rPr>
        <w:t xml:space="preserve">What </w:t>
      </w:r>
      <w:r w:rsidR="002E1E87" w:rsidRPr="002E1E87">
        <w:rPr>
          <w:b/>
          <w:bCs/>
          <w:u w:val="single"/>
        </w:rPr>
        <w:t xml:space="preserve">UKMI MCA stability </w:t>
      </w:r>
      <w:r w:rsidR="00E75CDD">
        <w:rPr>
          <w:b/>
          <w:bCs/>
          <w:u w:val="single"/>
        </w:rPr>
        <w:t>information</w:t>
      </w:r>
      <w:r w:rsidR="002E1E87">
        <w:rPr>
          <w:b/>
          <w:bCs/>
          <w:u w:val="single"/>
        </w:rPr>
        <w:t xml:space="preserve"> </w:t>
      </w:r>
      <w:r w:rsidR="00877181" w:rsidRPr="00B8114D">
        <w:rPr>
          <w:b/>
          <w:u w:val="single"/>
        </w:rPr>
        <w:t>does</w:t>
      </w:r>
      <w:r w:rsidR="00C26D44">
        <w:t xml:space="preserve"> – it makes</w:t>
      </w:r>
      <w:r w:rsidR="004717D2" w:rsidRPr="00136598">
        <w:t xml:space="preserve"> recommendations on the </w:t>
      </w:r>
      <w:r w:rsidR="00A22420" w:rsidRPr="00136598">
        <w:t>suitability</w:t>
      </w:r>
      <w:r w:rsidR="00757D58">
        <w:t xml:space="preserve"> </w:t>
      </w:r>
      <w:r w:rsidR="004717D2" w:rsidRPr="00136598">
        <w:t xml:space="preserve">of solid dose forms </w:t>
      </w:r>
      <w:r w:rsidR="00A22420" w:rsidRPr="00136598">
        <w:t>for transfer</w:t>
      </w:r>
      <w:r w:rsidR="004717D2" w:rsidRPr="00136598">
        <w:t xml:space="preserve"> from the manufacturers’ </w:t>
      </w:r>
      <w:r w:rsidR="000D0545" w:rsidRPr="00136598">
        <w:t>original</w:t>
      </w:r>
      <w:r w:rsidR="004717D2" w:rsidRPr="00136598">
        <w:t xml:space="preserve"> packaging to multi-compartment compliance aids (MCAs).</w:t>
      </w:r>
      <w:r w:rsidR="00757D58" w:rsidRPr="00757D58">
        <w:t xml:space="preserve"> </w:t>
      </w:r>
      <w:r w:rsidR="00757D58">
        <w:t xml:space="preserve"> These recommendations are </w:t>
      </w:r>
      <w:r w:rsidR="00521218">
        <w:t>based on</w:t>
      </w:r>
      <w:r w:rsidR="00757D58">
        <w:t xml:space="preserve"> </w:t>
      </w:r>
    </w:p>
    <w:p w:rsidR="00C26D44" w:rsidRDefault="00757D58" w:rsidP="00C26D44">
      <w:pPr>
        <w:pStyle w:val="ListParagraph"/>
        <w:numPr>
          <w:ilvl w:val="0"/>
          <w:numId w:val="4"/>
        </w:numPr>
      </w:pPr>
      <w:proofErr w:type="spellStart"/>
      <w:proofErr w:type="gramStart"/>
      <w:r>
        <w:t>physic</w:t>
      </w:r>
      <w:r w:rsidR="009571B8">
        <w:t>o</w:t>
      </w:r>
      <w:proofErr w:type="spellEnd"/>
      <w:r>
        <w:t>-chemical</w:t>
      </w:r>
      <w:proofErr w:type="gramEnd"/>
      <w:r>
        <w:t xml:space="preserve"> stability </w:t>
      </w:r>
      <w:r w:rsidR="00521218">
        <w:t>and characteristics of the medicine and</w:t>
      </w:r>
      <w:r>
        <w:t xml:space="preserve"> its formulation(s).</w:t>
      </w:r>
    </w:p>
    <w:p w:rsidR="00C26D44" w:rsidRDefault="00C26D44" w:rsidP="00C26D44">
      <w:pPr>
        <w:pStyle w:val="ListParagraph"/>
        <w:numPr>
          <w:ilvl w:val="0"/>
          <w:numId w:val="4"/>
        </w:numPr>
      </w:pPr>
      <w:r>
        <w:t>advice, where available, from manufacturers</w:t>
      </w:r>
    </w:p>
    <w:p w:rsidR="00521218" w:rsidRDefault="00C26D44" w:rsidP="00521218">
      <w:pPr>
        <w:pStyle w:val="ListParagraph"/>
        <w:numPr>
          <w:ilvl w:val="0"/>
          <w:numId w:val="4"/>
        </w:numPr>
      </w:pPr>
      <w:r>
        <w:t>data</w:t>
      </w:r>
      <w:r w:rsidR="00521218">
        <w:t>, where available,</w:t>
      </w:r>
      <w:r>
        <w:t xml:space="preserve"> on storage in MCAs</w:t>
      </w:r>
    </w:p>
    <w:p w:rsidR="00277B65" w:rsidRDefault="00277B65" w:rsidP="00277B65">
      <w:pPr>
        <w:pStyle w:val="ListParagraph"/>
        <w:ind w:left="360"/>
      </w:pPr>
    </w:p>
    <w:p w:rsidR="00277B65" w:rsidRPr="00136598" w:rsidRDefault="00277B65" w:rsidP="00277B65">
      <w:pPr>
        <w:pStyle w:val="ListParagraph"/>
        <w:ind w:left="0"/>
      </w:pPr>
      <w:r w:rsidRPr="00277B65">
        <w:t xml:space="preserve">Most entries are based on a lead brand.  Some, </w:t>
      </w:r>
      <w:r w:rsidRPr="00B8114D">
        <w:rPr>
          <w:u w:val="single"/>
        </w:rPr>
        <w:t>but not all</w:t>
      </w:r>
      <w:r w:rsidRPr="00277B65">
        <w:t xml:space="preserve">, generic products are included. </w:t>
      </w:r>
      <w:r>
        <w:t xml:space="preserve"> </w:t>
      </w:r>
      <w:r w:rsidRPr="00277B65">
        <w:t xml:space="preserve">Some medicines are not included in this guide.  For example there </w:t>
      </w:r>
      <w:proofErr w:type="gramStart"/>
      <w:r w:rsidRPr="00277B65">
        <w:t>are</w:t>
      </w:r>
      <w:proofErr w:type="gramEnd"/>
      <w:r w:rsidRPr="00277B65">
        <w:t xml:space="preserve"> </w:t>
      </w:r>
      <w:r w:rsidR="002E1E87">
        <w:t xml:space="preserve">very few </w:t>
      </w:r>
      <w:r w:rsidRPr="00277B65">
        <w:t xml:space="preserve">oral chemotherapy agents included as it is widely accepted that these medicines are unsuitable for use in a MCA.  Similarly some dose forms are generally not included for similar reasons e.g. effervescent, dispersible tablets.  </w:t>
      </w:r>
      <w:r>
        <w:t xml:space="preserve"> </w:t>
      </w:r>
    </w:p>
    <w:p w:rsidR="00277B65" w:rsidRDefault="005C6BD0" w:rsidP="004717D2">
      <w:r>
        <w:t xml:space="preserve">The recommendations </w:t>
      </w:r>
      <w:r w:rsidR="000D0545" w:rsidRPr="00136598">
        <w:t xml:space="preserve">should be used alongside </w:t>
      </w:r>
      <w:r>
        <w:t>the guidance</w:t>
      </w:r>
      <w:r w:rsidR="00277B65">
        <w:t xml:space="preserve"> from</w:t>
      </w:r>
      <w:r w:rsidR="000D0545" w:rsidRPr="00136598">
        <w:t xml:space="preserve"> the Royal Pharmaceutical</w:t>
      </w:r>
      <w:r w:rsidR="00D1458E">
        <w:t xml:space="preserve"> Society</w:t>
      </w:r>
      <w:r w:rsidR="00A60234">
        <w:t xml:space="preserve"> guidance </w:t>
      </w:r>
      <w:r w:rsidR="00A60234" w:rsidRPr="00A60234">
        <w:rPr>
          <w:i/>
        </w:rPr>
        <w:t>Improving Patient Outcomes: The better use of multi-compartment compliance aids</w:t>
      </w:r>
      <w:r w:rsidR="00D1458E">
        <w:t xml:space="preserve"> (</w:t>
      </w:r>
      <w:hyperlink r:id="rId10" w:history="1">
        <w:r w:rsidR="001C4917">
          <w:rPr>
            <w:rStyle w:val="Hyperlink"/>
          </w:rPr>
          <w:t>RPS MCA 2013</w:t>
        </w:r>
      </w:hyperlink>
      <w:r w:rsidR="001C4917">
        <w:t xml:space="preserve">) which is fully endorsed by the </w:t>
      </w:r>
      <w:r w:rsidR="000D0545" w:rsidRPr="00136598">
        <w:t>UKMi</w:t>
      </w:r>
      <w:r w:rsidR="00757D58">
        <w:t xml:space="preserve"> executive</w:t>
      </w:r>
      <w:r w:rsidR="000D0545" w:rsidRPr="00136598">
        <w:t>.</w:t>
      </w:r>
      <w:r w:rsidR="00D1458E">
        <w:t xml:space="preserve">  </w:t>
      </w:r>
    </w:p>
    <w:p w:rsidR="00757D58" w:rsidRDefault="00C26D44" w:rsidP="004717D2">
      <w:r w:rsidRPr="00B8114D">
        <w:rPr>
          <w:b/>
          <w:u w:val="single"/>
        </w:rPr>
        <w:t xml:space="preserve">What </w:t>
      </w:r>
      <w:r w:rsidR="002E1E87" w:rsidRPr="002E1E87">
        <w:rPr>
          <w:b/>
          <w:bCs/>
          <w:u w:val="single"/>
        </w:rPr>
        <w:t xml:space="preserve">UKMI MCA stability </w:t>
      </w:r>
      <w:r w:rsidR="00E75CDD">
        <w:rPr>
          <w:b/>
          <w:bCs/>
          <w:u w:val="single"/>
        </w:rPr>
        <w:t xml:space="preserve">information </w:t>
      </w:r>
      <w:r w:rsidRPr="00B8114D">
        <w:rPr>
          <w:b/>
          <w:u w:val="single"/>
        </w:rPr>
        <w:t>does not do</w:t>
      </w:r>
      <w:r>
        <w:t xml:space="preserve"> – it </w:t>
      </w:r>
      <w:r w:rsidRPr="00B8114D">
        <w:rPr>
          <w:u w:val="single"/>
        </w:rPr>
        <w:t>does not</w:t>
      </w:r>
      <w:r>
        <w:t xml:space="preserve"> endorse </w:t>
      </w:r>
      <w:r w:rsidR="00757D58" w:rsidRPr="00757D58">
        <w:t>the routine use of MCA</w:t>
      </w:r>
      <w:r w:rsidR="002E1E87">
        <w:t>s</w:t>
      </w:r>
      <w:r w:rsidR="00757D58" w:rsidRPr="00757D58">
        <w:t xml:space="preserve">.  </w:t>
      </w:r>
      <w:r w:rsidR="00521218">
        <w:t>F</w:t>
      </w:r>
      <w:r w:rsidR="00757D58" w:rsidRPr="00757D58">
        <w:t xml:space="preserve">or some patients, there may not be an alternative way to </w:t>
      </w:r>
      <w:r w:rsidR="00521218">
        <w:t>achieve</w:t>
      </w:r>
      <w:r w:rsidR="00757D58" w:rsidRPr="00757D58">
        <w:t xml:space="preserve"> safe medicine administration and the use of MCA</w:t>
      </w:r>
      <w:r w:rsidR="00521218">
        <w:t>s</w:t>
      </w:r>
      <w:r w:rsidR="00757D58" w:rsidRPr="00757D58">
        <w:t xml:space="preserve"> is likely to continue. However, in line with RPS guidance </w:t>
      </w:r>
      <w:r w:rsidR="001C4917">
        <w:t>(</w:t>
      </w:r>
      <w:hyperlink r:id="rId11" w:history="1">
        <w:r w:rsidR="001C4917">
          <w:rPr>
            <w:rStyle w:val="Hyperlink"/>
          </w:rPr>
          <w:t>RPS MCA 2013</w:t>
        </w:r>
      </w:hyperlink>
      <w:r w:rsidR="001C4917">
        <w:t xml:space="preserve">), </w:t>
      </w:r>
      <w:r w:rsidR="00757D58">
        <w:t>the</w:t>
      </w:r>
      <w:r w:rsidR="00757D58" w:rsidRPr="00757D58">
        <w:t xml:space="preserve"> use of original packs and appropriate pharmaceutical support </w:t>
      </w:r>
      <w:r w:rsidR="00757D58">
        <w:t>is the preferred</w:t>
      </w:r>
      <w:r w:rsidR="00757D58" w:rsidRPr="00757D58">
        <w:t xml:space="preserve"> option.</w:t>
      </w:r>
    </w:p>
    <w:p w:rsidR="00C26D44" w:rsidRDefault="001C4917" w:rsidP="00757D58">
      <w:r w:rsidRPr="00B8114D">
        <w:rPr>
          <w:b/>
          <w:u w:val="single"/>
        </w:rPr>
        <w:t>Your own professional judgement is required</w:t>
      </w:r>
      <w:r>
        <w:rPr>
          <w:b/>
        </w:rPr>
        <w:t xml:space="preserve"> - </w:t>
      </w:r>
      <w:r w:rsidR="002E1E87">
        <w:rPr>
          <w:b/>
        </w:rPr>
        <w:t>UKMI</w:t>
      </w:r>
      <w:r w:rsidR="00757D58" w:rsidRPr="00C26D44">
        <w:rPr>
          <w:b/>
        </w:rPr>
        <w:t xml:space="preserve"> offers general advice</w:t>
      </w:r>
      <w:r w:rsidR="00757D58" w:rsidRPr="00136598">
        <w:t xml:space="preserve">.  </w:t>
      </w:r>
      <w:r w:rsidR="00277B65">
        <w:t>We have not attempted to produce</w:t>
      </w:r>
      <w:r w:rsidR="00757D58" w:rsidRPr="00136598">
        <w:t xml:space="preserve"> advice for </w:t>
      </w:r>
      <w:r w:rsidR="00277B65">
        <w:t>the various types</w:t>
      </w:r>
      <w:r w:rsidR="00757D58" w:rsidRPr="00136598">
        <w:t xml:space="preserve"> of MCA e.g. heat or cold sealed, patient self- filled, pharmacy packed etc.  Users </w:t>
      </w:r>
      <w:r w:rsidR="00521218">
        <w:t>should use the recommendations</w:t>
      </w:r>
      <w:r w:rsidR="00757D58" w:rsidRPr="00136598">
        <w:t xml:space="preserve"> to</w:t>
      </w:r>
      <w:r w:rsidR="00C26D44">
        <w:t xml:space="preserve"> make</w:t>
      </w:r>
      <w:r w:rsidR="00757D58" w:rsidRPr="00136598">
        <w:t xml:space="preserve"> a </w:t>
      </w:r>
      <w:r w:rsidR="009571B8">
        <w:t xml:space="preserve">professional, clinical </w:t>
      </w:r>
      <w:r w:rsidR="00757D58" w:rsidRPr="00136598">
        <w:t>decision about</w:t>
      </w:r>
      <w:r w:rsidR="009571B8">
        <w:t xml:space="preserve"> the appropriateness of</w:t>
      </w:r>
      <w:r w:rsidR="00757D58" w:rsidRPr="00136598">
        <w:t xml:space="preserve"> transferring</w:t>
      </w:r>
      <w:r w:rsidR="00CC1FA0">
        <w:t xml:space="preserve"> their patient’s medicines</w:t>
      </w:r>
      <w:r w:rsidR="00C26D44">
        <w:t xml:space="preserve"> to a </w:t>
      </w:r>
      <w:r w:rsidR="00757D58" w:rsidRPr="00136598">
        <w:t>specific MCA in the context of other issues such as</w:t>
      </w:r>
    </w:p>
    <w:p w:rsidR="009571B8" w:rsidRDefault="009571B8" w:rsidP="00C26D44">
      <w:pPr>
        <w:pStyle w:val="ListParagraph"/>
        <w:numPr>
          <w:ilvl w:val="0"/>
          <w:numId w:val="3"/>
        </w:numPr>
      </w:pPr>
      <w:r>
        <w:t>relevant organisational policies and procedures,</w:t>
      </w:r>
    </w:p>
    <w:p w:rsidR="00C26D44" w:rsidRDefault="00CC1FA0" w:rsidP="00C26D44">
      <w:pPr>
        <w:pStyle w:val="ListParagraph"/>
        <w:numPr>
          <w:ilvl w:val="0"/>
          <w:numId w:val="3"/>
        </w:numPr>
      </w:pPr>
      <w:r>
        <w:t>the</w:t>
      </w:r>
      <w:r w:rsidR="00757D58" w:rsidRPr="00136598">
        <w:t xml:space="preserve"> patient</w:t>
      </w:r>
      <w:r w:rsidR="00757D58">
        <w:t>’s characteristics</w:t>
      </w:r>
      <w:r w:rsidR="00757D58" w:rsidRPr="00136598">
        <w:t xml:space="preserve">, </w:t>
      </w:r>
    </w:p>
    <w:p w:rsidR="00C26D44" w:rsidRDefault="00CC1FA0" w:rsidP="00C26D44">
      <w:pPr>
        <w:pStyle w:val="ListParagraph"/>
        <w:numPr>
          <w:ilvl w:val="0"/>
          <w:numId w:val="3"/>
        </w:numPr>
      </w:pPr>
      <w:r>
        <w:t xml:space="preserve">the complexity of the dose regime (e.g. irregular dosing or dose titrations), </w:t>
      </w:r>
    </w:p>
    <w:p w:rsidR="00C26D44" w:rsidRDefault="00757D58" w:rsidP="00C26D44">
      <w:pPr>
        <w:pStyle w:val="ListParagraph"/>
        <w:numPr>
          <w:ilvl w:val="0"/>
          <w:numId w:val="3"/>
        </w:numPr>
      </w:pPr>
      <w:r w:rsidRPr="00136598">
        <w:t xml:space="preserve">storage and transport </w:t>
      </w:r>
      <w:r>
        <w:t>considerations</w:t>
      </w:r>
      <w:r w:rsidRPr="00136598">
        <w:t xml:space="preserve">, </w:t>
      </w:r>
    </w:p>
    <w:p w:rsidR="00757D58" w:rsidRDefault="001C4917" w:rsidP="00C26D44">
      <w:pPr>
        <w:pStyle w:val="ListParagraph"/>
        <w:numPr>
          <w:ilvl w:val="0"/>
          <w:numId w:val="3"/>
        </w:numPr>
      </w:pPr>
      <w:proofErr w:type="gramStart"/>
      <w:r>
        <w:lastRenderedPageBreak/>
        <w:t>measures</w:t>
      </w:r>
      <w:proofErr w:type="gramEnd"/>
      <w:r w:rsidR="00757D58" w:rsidRPr="00136598">
        <w:t xml:space="preserve"> to mitigate against factors that may affect stability e.g.</w:t>
      </w:r>
      <w:r w:rsidR="00757D58">
        <w:t xml:space="preserve"> </w:t>
      </w:r>
      <w:r w:rsidR="00757D58" w:rsidRPr="00136598">
        <w:t>heat and light.</w:t>
      </w:r>
    </w:p>
    <w:p w:rsidR="001C4917" w:rsidRPr="00136598" w:rsidRDefault="001C4917" w:rsidP="001C4917">
      <w:r>
        <w:t>Decisions to transfer a specific product to a MCA may vary depending on the above factors.</w:t>
      </w:r>
    </w:p>
    <w:p w:rsidR="00E75CDD" w:rsidRDefault="00521218" w:rsidP="00E75CDD">
      <w:r>
        <w:t xml:space="preserve">You should read the following </w:t>
      </w:r>
      <w:r w:rsidR="00E75CDD">
        <w:t xml:space="preserve">sections </w:t>
      </w:r>
      <w:r>
        <w:t xml:space="preserve">before </w:t>
      </w:r>
      <w:r w:rsidR="00E75CDD">
        <w:t xml:space="preserve">using </w:t>
      </w:r>
      <w:r w:rsidR="00E75CDD" w:rsidRPr="00E75CDD">
        <w:t xml:space="preserve">the UKMI MCA stability </w:t>
      </w:r>
      <w:r w:rsidR="00E75CDD">
        <w:t>information</w:t>
      </w:r>
      <w:r w:rsidR="00E75CDD" w:rsidRPr="00E75CDD">
        <w:t xml:space="preserve"> in practice </w:t>
      </w:r>
    </w:p>
    <w:p w:rsidR="00521218" w:rsidRDefault="00E75CDD" w:rsidP="00E75CDD">
      <w:pPr>
        <w:pStyle w:val="ListParagraph"/>
        <w:numPr>
          <w:ilvl w:val="0"/>
          <w:numId w:val="7"/>
        </w:numPr>
      </w:pPr>
      <w:r>
        <w:rPr>
          <w:i/>
        </w:rPr>
        <w:t xml:space="preserve">Developing a dataset </w:t>
      </w:r>
      <w:r w:rsidR="001F1BF0">
        <w:rPr>
          <w:i/>
        </w:rPr>
        <w:t xml:space="preserve">for </w:t>
      </w:r>
      <w:r w:rsidR="00521218" w:rsidRPr="00E75CDD">
        <w:rPr>
          <w:i/>
        </w:rPr>
        <w:t xml:space="preserve">MCA </w:t>
      </w:r>
      <w:r w:rsidR="001F1BF0">
        <w:rPr>
          <w:i/>
        </w:rPr>
        <w:t>stability information</w:t>
      </w:r>
      <w:r w:rsidR="00521218">
        <w:t xml:space="preserve"> – this is a brief explanation of the sources used to compile the </w:t>
      </w:r>
      <w:r w:rsidR="001F1BF0">
        <w:t>stability information for each drug</w:t>
      </w:r>
      <w:r w:rsidR="00521218">
        <w:t xml:space="preserve"> and the process U</w:t>
      </w:r>
      <w:r w:rsidR="00226190">
        <w:t>KMI</w:t>
      </w:r>
      <w:r w:rsidR="00521218">
        <w:t xml:space="preserve"> followed. There are also links to guidance issued by the relevant national professional organisations</w:t>
      </w:r>
    </w:p>
    <w:p w:rsidR="00521218" w:rsidRDefault="0050451B" w:rsidP="002D0B37">
      <w:pPr>
        <w:pStyle w:val="ListParagraph"/>
        <w:numPr>
          <w:ilvl w:val="0"/>
          <w:numId w:val="5"/>
        </w:numPr>
      </w:pPr>
      <w:r w:rsidRPr="002D0B37">
        <w:rPr>
          <w:i/>
        </w:rPr>
        <w:t xml:space="preserve">UKMI </w:t>
      </w:r>
      <w:r w:rsidR="00521218" w:rsidRPr="002D0B37">
        <w:rPr>
          <w:i/>
        </w:rPr>
        <w:t xml:space="preserve">MCA </w:t>
      </w:r>
      <w:r w:rsidR="001F1BF0">
        <w:rPr>
          <w:i/>
        </w:rPr>
        <w:t xml:space="preserve">stability information </w:t>
      </w:r>
      <w:r w:rsidR="001F1BF0" w:rsidRPr="001F1BF0">
        <w:rPr>
          <w:i/>
        </w:rPr>
        <w:t xml:space="preserve">descriptors </w:t>
      </w:r>
      <w:r w:rsidR="00521218">
        <w:t>– this explains the standardised recommendations and risk mitigation suggestions</w:t>
      </w:r>
    </w:p>
    <w:p w:rsidR="00521218" w:rsidRDefault="00521218" w:rsidP="00521218">
      <w:r>
        <w:t xml:space="preserve">We advise you have a copy of this </w:t>
      </w:r>
      <w:r w:rsidR="00E75CDD">
        <w:t xml:space="preserve">document </w:t>
      </w:r>
      <w:r>
        <w:t xml:space="preserve">open so that you can refer back to it whilst working </w:t>
      </w:r>
      <w:r w:rsidR="00E75CDD">
        <w:t xml:space="preserve">with UKMI MCA stability </w:t>
      </w:r>
      <w:r w:rsidR="001F1BF0">
        <w:t>information</w:t>
      </w:r>
      <w:r w:rsidR="00E75CDD">
        <w:t xml:space="preserve">. </w:t>
      </w:r>
    </w:p>
    <w:p w:rsidR="00226190" w:rsidRDefault="00521218" w:rsidP="00521218">
      <w:r>
        <w:t>We welcome feedback. All feedback should be emailed to</w:t>
      </w:r>
      <w:r w:rsidR="00B15678">
        <w:t xml:space="preserve">: </w:t>
      </w:r>
      <w:r>
        <w:t xml:space="preserve"> </w:t>
      </w:r>
      <w:hyperlink r:id="rId12" w:history="1">
        <w:r w:rsidR="00B15678" w:rsidRPr="00D1177F">
          <w:rPr>
            <w:rStyle w:val="Hyperlink"/>
            <w:b/>
          </w:rPr>
          <w:t>SWMI@uhbristol.nhs.uk</w:t>
        </w:r>
      </w:hyperlink>
    </w:p>
    <w:p w:rsidR="00226190" w:rsidRDefault="00226190" w:rsidP="00521218"/>
    <w:p w:rsidR="00BC5E24" w:rsidRDefault="00BC5E24" w:rsidP="00BC5E24">
      <w:pPr>
        <w:rPr>
          <w:b/>
          <w:i/>
        </w:rPr>
      </w:pPr>
      <w:r>
        <w:rPr>
          <w:b/>
          <w:i/>
        </w:rPr>
        <w:t xml:space="preserve">Date prepared 4/10/2013      Authors: Trevor Beswick and Tiffany Barrett, SWMIT      Version1 </w:t>
      </w:r>
    </w:p>
    <w:p w:rsidR="00E4516C" w:rsidRDefault="00E4516C" w:rsidP="00E4516C">
      <w:pPr>
        <w:rPr>
          <w:b/>
          <w:i/>
        </w:rPr>
      </w:pPr>
      <w:r>
        <w:rPr>
          <w:b/>
          <w:i/>
        </w:rPr>
        <w:t>Updated 18/7/</w:t>
      </w:r>
      <w:r w:rsidR="002A73A6">
        <w:rPr>
          <w:b/>
          <w:i/>
        </w:rPr>
        <w:t>20</w:t>
      </w:r>
      <w:r>
        <w:rPr>
          <w:b/>
          <w:i/>
        </w:rPr>
        <w:t>14                 Authors: Trevor Beswick and Tiffany Barrett, SWMIT      Version 2</w:t>
      </w:r>
    </w:p>
    <w:p w:rsidR="00FA77E5" w:rsidRDefault="00FA77E5" w:rsidP="00E4516C">
      <w:pPr>
        <w:rPr>
          <w:b/>
          <w:i/>
        </w:rPr>
      </w:pPr>
      <w:r>
        <w:rPr>
          <w:b/>
          <w:i/>
        </w:rPr>
        <w:t>Updated 24/9/2014</w:t>
      </w:r>
      <w:r w:rsidRPr="00FA77E5">
        <w:t xml:space="preserve"> </w:t>
      </w:r>
      <w:r>
        <w:tab/>
        <w:t xml:space="preserve">         </w:t>
      </w:r>
      <w:r w:rsidRPr="00FA77E5">
        <w:rPr>
          <w:b/>
          <w:i/>
        </w:rPr>
        <w:t xml:space="preserve">Authors: Trevor Beswick and Tiffany Barrett, SWMIT       Version </w:t>
      </w:r>
      <w:r w:rsidR="003477D3">
        <w:rPr>
          <w:b/>
          <w:i/>
        </w:rPr>
        <w:t>3</w:t>
      </w:r>
    </w:p>
    <w:p w:rsidR="00E4516C" w:rsidRDefault="001F1BF0" w:rsidP="00BC5E24">
      <w:pPr>
        <w:rPr>
          <w:b/>
          <w:i/>
        </w:rPr>
      </w:pPr>
      <w:r>
        <w:rPr>
          <w:b/>
          <w:i/>
        </w:rPr>
        <w:t xml:space="preserve">Updated 5/8/2016                  </w:t>
      </w:r>
      <w:r w:rsidRPr="00FA77E5">
        <w:rPr>
          <w:b/>
          <w:i/>
        </w:rPr>
        <w:t xml:space="preserve">Authors: Trevor Beswick and Tiffany Barrett, SWMIT       Version </w:t>
      </w:r>
      <w:r>
        <w:rPr>
          <w:b/>
          <w:i/>
        </w:rPr>
        <w:t>4</w:t>
      </w:r>
    </w:p>
    <w:p w:rsidR="00A60234" w:rsidRDefault="00A60234" w:rsidP="00BC5E24">
      <w:pPr>
        <w:rPr>
          <w:b/>
          <w:i/>
        </w:rPr>
      </w:pPr>
      <w:r>
        <w:rPr>
          <w:b/>
          <w:i/>
        </w:rPr>
        <w:t>Updated 4/7/2019</w:t>
      </w:r>
      <w:r>
        <w:rPr>
          <w:b/>
          <w:i/>
        </w:rPr>
        <w:tab/>
        <w:t xml:space="preserve">        Author: Tiffany Barrett, SWMI                                                Version 5</w:t>
      </w:r>
      <w:r>
        <w:rPr>
          <w:b/>
          <w:i/>
        </w:rPr>
        <w:tab/>
      </w:r>
    </w:p>
    <w:p w:rsidR="0027436A" w:rsidRDefault="0027436A" w:rsidP="004717D2"/>
    <w:p w:rsidR="001F1BF0" w:rsidRDefault="001F1BF0" w:rsidP="004717D2"/>
    <w:p w:rsidR="00A60234" w:rsidRDefault="00A60234" w:rsidP="004717D2"/>
    <w:p w:rsidR="00A60234" w:rsidRDefault="00A60234" w:rsidP="004717D2"/>
    <w:p w:rsidR="00A60234" w:rsidRDefault="00A60234" w:rsidP="004717D2"/>
    <w:p w:rsidR="00A60234" w:rsidRDefault="00A60234" w:rsidP="004717D2"/>
    <w:p w:rsidR="00A60234" w:rsidRDefault="00A60234" w:rsidP="004717D2"/>
    <w:p w:rsidR="00A60234" w:rsidRDefault="00A60234" w:rsidP="004717D2"/>
    <w:p w:rsidR="00A60234" w:rsidRDefault="00A60234" w:rsidP="004717D2"/>
    <w:p w:rsidR="001F1BF0" w:rsidRDefault="001F1BF0" w:rsidP="004717D2"/>
    <w:p w:rsidR="00B8114D" w:rsidRDefault="00B8114D" w:rsidP="004717D2"/>
    <w:p w:rsidR="00B8114D" w:rsidRDefault="00B8114D" w:rsidP="004717D2"/>
    <w:p w:rsidR="001F1BF0" w:rsidRPr="00254C55" w:rsidRDefault="001F1BF0" w:rsidP="001F1BF0">
      <w:pPr>
        <w:jc w:val="center"/>
        <w:rPr>
          <w:b/>
          <w:sz w:val="28"/>
          <w:szCs w:val="28"/>
          <w:u w:val="single"/>
        </w:rPr>
      </w:pPr>
      <w:r w:rsidRPr="00254C55">
        <w:rPr>
          <w:b/>
          <w:sz w:val="28"/>
          <w:szCs w:val="28"/>
          <w:u w:val="single"/>
        </w:rPr>
        <w:lastRenderedPageBreak/>
        <w:t>Developing a dataset for MCA stability information</w:t>
      </w:r>
    </w:p>
    <w:p w:rsidR="004717D2" w:rsidRPr="00993213" w:rsidRDefault="004717D2" w:rsidP="004717D2">
      <w:r w:rsidRPr="00993213">
        <w:t xml:space="preserve">The </w:t>
      </w:r>
      <w:r w:rsidR="000D0545" w:rsidRPr="00993213">
        <w:t xml:space="preserve">UKMi </w:t>
      </w:r>
      <w:r w:rsidRPr="00993213">
        <w:t>recommendations are based on an assessment of information from a number o</w:t>
      </w:r>
      <w:r w:rsidR="00A22420" w:rsidRPr="00993213">
        <w:t>f</w:t>
      </w:r>
      <w:r w:rsidRPr="00993213">
        <w:t xml:space="preserve"> standard sources</w:t>
      </w:r>
      <w:r w:rsidR="00352F47" w:rsidRPr="00993213">
        <w:t xml:space="preserve"> by regional Medicines Information Services across the UK.  The resources include</w:t>
      </w:r>
    </w:p>
    <w:p w:rsidR="00FE474B" w:rsidRPr="00E5619F" w:rsidRDefault="00FE474B" w:rsidP="00FE474B">
      <w:pPr>
        <w:pStyle w:val="ListParagraph"/>
        <w:numPr>
          <w:ilvl w:val="0"/>
          <w:numId w:val="1"/>
        </w:numPr>
        <w:tabs>
          <w:tab w:val="left" w:pos="1134"/>
        </w:tabs>
        <w:ind w:right="900"/>
        <w:rPr>
          <w:rFonts w:cs="Arial"/>
        </w:rPr>
      </w:pPr>
      <w:r w:rsidRPr="00E5619F">
        <w:rPr>
          <w:rFonts w:cs="Arial"/>
          <w:color w:val="000000"/>
          <w:lang w:val="en"/>
        </w:rPr>
        <w:t xml:space="preserve">American Society of Health-System Pharmacists. </w:t>
      </w:r>
      <w:r w:rsidRPr="00E5619F">
        <w:rPr>
          <w:rFonts w:cs="Arial"/>
        </w:rPr>
        <w:t xml:space="preserve">AHFS Drug Information. Accessed online via: </w:t>
      </w:r>
      <w:hyperlink r:id="rId13" w:history="1">
        <w:r w:rsidRPr="00E5619F">
          <w:rPr>
            <w:rStyle w:val="Hyperlink"/>
            <w:rFonts w:cs="Arial"/>
          </w:rPr>
          <w:t>www.medicinescomplete.c</w:t>
        </w:r>
        <w:r w:rsidRPr="00E5619F">
          <w:rPr>
            <w:rStyle w:val="Hyperlink"/>
            <w:rFonts w:cs="Arial"/>
          </w:rPr>
          <w:t>o</w:t>
        </w:r>
        <w:r w:rsidRPr="00E5619F">
          <w:rPr>
            <w:rStyle w:val="Hyperlink"/>
            <w:rFonts w:cs="Arial"/>
          </w:rPr>
          <w:t>m</w:t>
        </w:r>
      </w:hyperlink>
      <w:r w:rsidRPr="00E5619F">
        <w:rPr>
          <w:rFonts w:cs="Arial"/>
        </w:rPr>
        <w:t xml:space="preserve"> </w:t>
      </w:r>
    </w:p>
    <w:p w:rsidR="00FE474B" w:rsidRPr="00E5619F" w:rsidRDefault="00FE474B" w:rsidP="00FE474B">
      <w:pPr>
        <w:pStyle w:val="ListParagraph"/>
        <w:numPr>
          <w:ilvl w:val="0"/>
          <w:numId w:val="1"/>
        </w:numPr>
        <w:ind w:right="900"/>
        <w:rPr>
          <w:rFonts w:cs="Arial"/>
        </w:rPr>
      </w:pPr>
      <w:proofErr w:type="spellStart"/>
      <w:r w:rsidRPr="00E5619F">
        <w:rPr>
          <w:rFonts w:cs="Arial"/>
          <w:lang w:val="en"/>
        </w:rPr>
        <w:t>Sweetman</w:t>
      </w:r>
      <w:proofErr w:type="spellEnd"/>
      <w:r w:rsidRPr="00E5619F">
        <w:rPr>
          <w:rFonts w:cs="Arial"/>
          <w:lang w:val="en"/>
        </w:rPr>
        <w:t xml:space="preserve"> S. Martindale: The Complete Drug Reference. </w:t>
      </w:r>
      <w:r w:rsidRPr="00E5619F">
        <w:rPr>
          <w:rFonts w:cs="Arial"/>
        </w:rPr>
        <w:t xml:space="preserve">Accessed online via </w:t>
      </w:r>
      <w:hyperlink r:id="rId14" w:history="1">
        <w:r w:rsidRPr="00E5619F">
          <w:rPr>
            <w:rStyle w:val="Hyperlink"/>
            <w:rFonts w:cs="Arial"/>
          </w:rPr>
          <w:t>www.medicinescom</w:t>
        </w:r>
        <w:r w:rsidRPr="00E5619F">
          <w:rPr>
            <w:rStyle w:val="Hyperlink"/>
            <w:rFonts w:cs="Arial"/>
          </w:rPr>
          <w:t>p</w:t>
        </w:r>
        <w:r w:rsidRPr="00E5619F">
          <w:rPr>
            <w:rStyle w:val="Hyperlink"/>
            <w:rFonts w:cs="Arial"/>
          </w:rPr>
          <w:t>lete.com</w:t>
        </w:r>
      </w:hyperlink>
      <w:r w:rsidRPr="00E5619F">
        <w:rPr>
          <w:rFonts w:cs="Arial"/>
        </w:rPr>
        <w:t xml:space="preserve"> </w:t>
      </w:r>
    </w:p>
    <w:p w:rsidR="00FE474B" w:rsidRPr="00E5619F" w:rsidRDefault="00FE474B" w:rsidP="00057D6B">
      <w:pPr>
        <w:pStyle w:val="ListParagraph"/>
        <w:numPr>
          <w:ilvl w:val="0"/>
          <w:numId w:val="1"/>
        </w:numPr>
        <w:tabs>
          <w:tab w:val="left" w:pos="1134"/>
        </w:tabs>
        <w:ind w:right="900"/>
        <w:rPr>
          <w:rFonts w:eastAsia="Times New Roman" w:cs="Arial"/>
        </w:rPr>
      </w:pPr>
      <w:r w:rsidRPr="00E5619F">
        <w:rPr>
          <w:rFonts w:eastAsia="Times New Roman" w:cs="Arial"/>
        </w:rPr>
        <w:t xml:space="preserve">Summary of Product Characteristics for [drug &amp; strength &amp; form]. Accessed via: </w:t>
      </w:r>
      <w:hyperlink r:id="rId15" w:history="1">
        <w:r w:rsidRPr="00E5619F">
          <w:rPr>
            <w:rFonts w:eastAsia="Times New Roman" w:cs="Arial"/>
            <w:color w:val="0000FF"/>
            <w:u w:val="single"/>
          </w:rPr>
          <w:t>www.emc.medicines</w:t>
        </w:r>
        <w:r w:rsidRPr="00E5619F">
          <w:rPr>
            <w:rFonts w:eastAsia="Times New Roman" w:cs="Arial"/>
            <w:color w:val="0000FF"/>
            <w:u w:val="single"/>
          </w:rPr>
          <w:t>.</w:t>
        </w:r>
        <w:r w:rsidRPr="00E5619F">
          <w:rPr>
            <w:rFonts w:eastAsia="Times New Roman" w:cs="Arial"/>
            <w:color w:val="0000FF"/>
            <w:u w:val="single"/>
          </w:rPr>
          <w:t>org.uk</w:t>
        </w:r>
      </w:hyperlink>
      <w:r w:rsidRPr="00E5619F">
        <w:rPr>
          <w:rFonts w:eastAsia="Times New Roman" w:cs="Arial"/>
        </w:rPr>
        <w:t xml:space="preserve"> </w:t>
      </w:r>
    </w:p>
    <w:p w:rsidR="001F1BF0" w:rsidRPr="001F1BF0" w:rsidRDefault="001F1BF0" w:rsidP="00A60234">
      <w:pPr>
        <w:pStyle w:val="ListParagraph"/>
        <w:numPr>
          <w:ilvl w:val="0"/>
          <w:numId w:val="1"/>
        </w:numPr>
        <w:tabs>
          <w:tab w:val="left" w:pos="1134"/>
        </w:tabs>
        <w:ind w:right="900"/>
        <w:rPr>
          <w:rFonts w:cs="Arial"/>
        </w:rPr>
      </w:pPr>
      <w:r>
        <w:rPr>
          <w:rFonts w:cs="Arial"/>
        </w:rPr>
        <w:t>Baxter K (BNF Director)</w:t>
      </w:r>
      <w:r w:rsidR="00FE474B" w:rsidRPr="001F1BF0">
        <w:rPr>
          <w:rFonts w:cs="Arial"/>
        </w:rPr>
        <w:t xml:space="preserve">. British National Formulary. Accessed online via: </w:t>
      </w:r>
      <w:hyperlink r:id="rId16" w:history="1">
        <w:r w:rsidR="00A60234" w:rsidRPr="000B29D4">
          <w:rPr>
            <w:rStyle w:val="Hyperlink"/>
          </w:rPr>
          <w:t>https://bnf.nice.org.uk/</w:t>
        </w:r>
      </w:hyperlink>
      <w:r w:rsidR="00A60234">
        <w:t xml:space="preserve"> </w:t>
      </w:r>
    </w:p>
    <w:p w:rsidR="00FE474B" w:rsidRPr="001F1BF0" w:rsidRDefault="00FE474B" w:rsidP="001F1BF0">
      <w:pPr>
        <w:pStyle w:val="ListParagraph"/>
        <w:numPr>
          <w:ilvl w:val="0"/>
          <w:numId w:val="1"/>
        </w:numPr>
        <w:tabs>
          <w:tab w:val="left" w:pos="1134"/>
        </w:tabs>
        <w:ind w:right="900"/>
        <w:rPr>
          <w:rFonts w:cs="Arial"/>
        </w:rPr>
      </w:pPr>
      <w:r w:rsidRPr="001F1BF0">
        <w:rPr>
          <w:rFonts w:cs="Arial"/>
        </w:rPr>
        <w:t xml:space="preserve">PSNC Special Container Database. Accessed online via: </w:t>
      </w:r>
      <w:hyperlink r:id="rId17" w:history="1">
        <w:r w:rsidR="001F1BF0" w:rsidRPr="006B5E26">
          <w:rPr>
            <w:rStyle w:val="Hyperlink"/>
          </w:rPr>
          <w:t>http://psnc.org.uk/dispensing-s</w:t>
        </w:r>
        <w:r w:rsidR="001F1BF0" w:rsidRPr="006B5E26">
          <w:rPr>
            <w:rStyle w:val="Hyperlink"/>
          </w:rPr>
          <w:t>u</w:t>
        </w:r>
        <w:r w:rsidR="001F1BF0" w:rsidRPr="006B5E26">
          <w:rPr>
            <w:rStyle w:val="Hyperlink"/>
          </w:rPr>
          <w:t>pply/dispensing-a-prescription/special-containers/special-container-database/</w:t>
        </w:r>
      </w:hyperlink>
      <w:r w:rsidR="001F1BF0">
        <w:t xml:space="preserve"> </w:t>
      </w:r>
    </w:p>
    <w:p w:rsidR="00FE474B" w:rsidRPr="00E5619F" w:rsidRDefault="00FE474B" w:rsidP="00FE474B">
      <w:pPr>
        <w:pStyle w:val="ListParagraph"/>
        <w:numPr>
          <w:ilvl w:val="0"/>
          <w:numId w:val="1"/>
        </w:numPr>
        <w:tabs>
          <w:tab w:val="left" w:pos="1134"/>
        </w:tabs>
        <w:ind w:right="900"/>
        <w:rPr>
          <w:rFonts w:cs="Arial"/>
        </w:rPr>
      </w:pPr>
      <w:r w:rsidRPr="00E5619F">
        <w:rPr>
          <w:rFonts w:cs="Arial"/>
        </w:rPr>
        <w:t>Pharmaceutical Industry colleagues contacted individually, supported by PIPA (Pharmaceutical Information and Pharmacovigilance Association)</w:t>
      </w:r>
    </w:p>
    <w:p w:rsidR="004717D2" w:rsidRPr="00E5619F" w:rsidRDefault="004717D2" w:rsidP="004717D2">
      <w:pPr>
        <w:pStyle w:val="ListParagraph"/>
        <w:numPr>
          <w:ilvl w:val="0"/>
          <w:numId w:val="1"/>
        </w:numPr>
      </w:pPr>
      <w:r w:rsidRPr="00E5619F">
        <w:t>Historical guidance including</w:t>
      </w:r>
    </w:p>
    <w:p w:rsidR="004717D2" w:rsidRPr="00E5619F" w:rsidRDefault="0027436A" w:rsidP="0027436A">
      <w:pPr>
        <w:pStyle w:val="ListParagraph"/>
        <w:numPr>
          <w:ilvl w:val="1"/>
          <w:numId w:val="1"/>
        </w:numPr>
      </w:pPr>
      <w:r w:rsidRPr="00E5619F">
        <w:t xml:space="preserve">Stability of Drugs in Compliance Aids. Prepared and updated by Medicines Information, Pharmacy Department, Pinderfields General Hospital, </w:t>
      </w:r>
      <w:proofErr w:type="gramStart"/>
      <w:r w:rsidRPr="00E5619F">
        <w:t>Wakefield</w:t>
      </w:r>
      <w:proofErr w:type="gramEnd"/>
      <w:r w:rsidRPr="00E5619F">
        <w:t xml:space="preserve">. January 2006. </w:t>
      </w:r>
    </w:p>
    <w:p w:rsidR="004717D2" w:rsidRPr="00E5619F" w:rsidRDefault="004717D2" w:rsidP="004717D2">
      <w:pPr>
        <w:pStyle w:val="ListParagraph"/>
        <w:numPr>
          <w:ilvl w:val="1"/>
          <w:numId w:val="1"/>
        </w:numPr>
      </w:pPr>
      <w:r w:rsidRPr="00E5619F">
        <w:t xml:space="preserve">Smith </w:t>
      </w:r>
      <w:r w:rsidR="0027436A" w:rsidRPr="00E5619F">
        <w:t xml:space="preserve">J </w:t>
      </w:r>
      <w:r w:rsidRPr="00E5619F">
        <w:t>and Church</w:t>
      </w:r>
      <w:r w:rsidR="0027436A" w:rsidRPr="00E5619F">
        <w:t xml:space="preserve"> C How stable are medicines moved from original packs into compliance aids? Pharm J 2006; 276: 75-81</w:t>
      </w:r>
    </w:p>
    <w:p w:rsidR="00FE474B" w:rsidRPr="00993213" w:rsidRDefault="00FE474B" w:rsidP="00FE474B">
      <w:r w:rsidRPr="00993213">
        <w:t>Each record is dated.  The references used (from the above list) will have been the contemporaneous versions.</w:t>
      </w:r>
    </w:p>
    <w:p w:rsidR="00D1458E" w:rsidRPr="00993213" w:rsidRDefault="00D1458E" w:rsidP="00D1458E">
      <w:r w:rsidRPr="00993213">
        <w:t>In the main, the available data do not allow firm recommendations on the duration that products will maintain their stability in a MCA.  Therefore, these time periods should be kept as short as is practically possible unless specific guidance is given.</w:t>
      </w:r>
    </w:p>
    <w:p w:rsidR="00352F47" w:rsidRPr="00993213" w:rsidRDefault="004717D2" w:rsidP="004717D2">
      <w:r w:rsidRPr="00993213">
        <w:t xml:space="preserve">In addition, for many preparations, medical information departments in the pharmaceutical manufacturers provided </w:t>
      </w:r>
      <w:r w:rsidR="00A22420" w:rsidRPr="00993213">
        <w:t xml:space="preserve">helpful </w:t>
      </w:r>
      <w:r w:rsidRPr="00993213">
        <w:t>comments and information.</w:t>
      </w:r>
      <w:r w:rsidR="00063C44" w:rsidRPr="00993213">
        <w:t xml:space="preserve">  </w:t>
      </w:r>
      <w:r w:rsidRPr="00993213">
        <w:t xml:space="preserve">The guidance also takes account of a number of conventional exclusions e.g. </w:t>
      </w:r>
      <w:proofErr w:type="spellStart"/>
      <w:r w:rsidRPr="00993213">
        <w:t>cytotoxics</w:t>
      </w:r>
      <w:proofErr w:type="spellEnd"/>
      <w:r w:rsidR="00352F47" w:rsidRPr="00993213">
        <w:t>.</w:t>
      </w:r>
      <w:r w:rsidR="000D0545" w:rsidRPr="00993213">
        <w:t xml:space="preserve">  </w:t>
      </w:r>
      <w:r w:rsidR="00352F47" w:rsidRPr="00993213">
        <w:t>We also collated data from past enquiries across the UKMi network to gauge consensus where possible.</w:t>
      </w:r>
    </w:p>
    <w:p w:rsidR="004717D2" w:rsidRPr="00993213" w:rsidRDefault="004717D2" w:rsidP="004717D2">
      <w:r w:rsidRPr="00993213">
        <w:t xml:space="preserve">It must be stressed however that the </w:t>
      </w:r>
      <w:r w:rsidR="0087498D">
        <w:t xml:space="preserve">information and </w:t>
      </w:r>
      <w:r w:rsidRPr="00993213">
        <w:t>guidance</w:t>
      </w:r>
      <w:r w:rsidR="00352F47" w:rsidRPr="00993213">
        <w:t xml:space="preserve"> </w:t>
      </w:r>
      <w:r w:rsidRPr="00993213">
        <w:t>reflects the professional advice of the UKMi service</w:t>
      </w:r>
      <w:r w:rsidR="00352F47" w:rsidRPr="00993213">
        <w:t xml:space="preserve"> that compiled the entry</w:t>
      </w:r>
      <w:r w:rsidRPr="00993213">
        <w:t>.</w:t>
      </w:r>
    </w:p>
    <w:p w:rsidR="004717D2" w:rsidRPr="00993213" w:rsidRDefault="00352F47" w:rsidP="004717D2">
      <w:pPr>
        <w:rPr>
          <w:u w:val="single"/>
        </w:rPr>
      </w:pPr>
      <w:r w:rsidRPr="00993213">
        <w:t xml:space="preserve">Guidance is offered for </w:t>
      </w:r>
      <w:r w:rsidR="004717D2" w:rsidRPr="00993213">
        <w:t>specific form</w:t>
      </w:r>
      <w:r w:rsidRPr="00993213">
        <w:t>s</w:t>
      </w:r>
      <w:r w:rsidR="004717D2" w:rsidRPr="00993213">
        <w:t xml:space="preserve"> and brand</w:t>
      </w:r>
      <w:r w:rsidRPr="00993213">
        <w:t>s</w:t>
      </w:r>
      <w:r w:rsidR="004717D2" w:rsidRPr="00993213">
        <w:t xml:space="preserve"> that we have </w:t>
      </w:r>
      <w:r w:rsidRPr="00993213">
        <w:t>included</w:t>
      </w:r>
      <w:r w:rsidR="004717D2" w:rsidRPr="00993213">
        <w:t>.  In some cases, there are multiple manufacturers of the same medicine e.g.</w:t>
      </w:r>
      <w:r w:rsidR="00A22420" w:rsidRPr="00993213">
        <w:t xml:space="preserve"> </w:t>
      </w:r>
      <w:r w:rsidR="004717D2" w:rsidRPr="00993213">
        <w:t xml:space="preserve">common generic preparations.  </w:t>
      </w:r>
      <w:r w:rsidR="004717D2" w:rsidRPr="00993213">
        <w:rPr>
          <w:u w:val="single"/>
        </w:rPr>
        <w:t xml:space="preserve">It has not been possible to include </w:t>
      </w:r>
      <w:r w:rsidR="0087498D">
        <w:rPr>
          <w:u w:val="single"/>
        </w:rPr>
        <w:t xml:space="preserve">information about </w:t>
      </w:r>
      <w:r w:rsidR="004717D2" w:rsidRPr="00993213">
        <w:rPr>
          <w:u w:val="single"/>
        </w:rPr>
        <w:t xml:space="preserve">every such </w:t>
      </w:r>
      <w:r w:rsidR="00057D6B" w:rsidRPr="00993213">
        <w:rPr>
          <w:u w:val="single"/>
        </w:rPr>
        <w:t>generic version</w:t>
      </w:r>
      <w:r w:rsidR="004717D2" w:rsidRPr="00993213">
        <w:rPr>
          <w:u w:val="single"/>
        </w:rPr>
        <w:t>.</w:t>
      </w:r>
    </w:p>
    <w:p w:rsidR="00254C55" w:rsidRDefault="00254C55" w:rsidP="004717D2"/>
    <w:p w:rsidR="00254C55" w:rsidRDefault="00254C55" w:rsidP="004717D2"/>
    <w:p w:rsidR="004717D2" w:rsidRPr="00993213" w:rsidRDefault="00F50270" w:rsidP="004717D2">
      <w:r w:rsidRPr="00993213">
        <w:lastRenderedPageBreak/>
        <w:t xml:space="preserve">Many manufacturers recommend that their products should only be stored within their original packaging.  </w:t>
      </w:r>
      <w:r w:rsidR="00A22420" w:rsidRPr="00993213">
        <w:t xml:space="preserve">It is clear that, in many cases, the </w:t>
      </w:r>
      <w:r w:rsidRPr="00993213">
        <w:t xml:space="preserve">subsequent </w:t>
      </w:r>
      <w:r w:rsidR="00A22420" w:rsidRPr="00993213">
        <w:t>repackaging of medicines constitutes a change in the licensed status of the product.  This has implications for the patient and professionals</w:t>
      </w:r>
      <w:r w:rsidR="00063C44" w:rsidRPr="00993213">
        <w:t xml:space="preserve"> making this choice for </w:t>
      </w:r>
      <w:r w:rsidR="00A22420" w:rsidRPr="00993213">
        <w:t xml:space="preserve">prescribing, dispensing and administering </w:t>
      </w:r>
      <w:r w:rsidR="00063C44" w:rsidRPr="00993213">
        <w:t>medicines in this way</w:t>
      </w:r>
      <w:r w:rsidR="00A22420" w:rsidRPr="00993213">
        <w:t xml:space="preserve">.  The links below </w:t>
      </w:r>
      <w:r w:rsidR="00063C44" w:rsidRPr="00993213">
        <w:t>are to the relevant national professional advice.  Individual organisations and services may also have their own policies and procedures</w:t>
      </w:r>
      <w:r w:rsidR="001D6433" w:rsidRPr="00993213">
        <w:t xml:space="preserve"> which must also be considered. </w:t>
      </w:r>
    </w:p>
    <w:p w:rsidR="00057D6B" w:rsidRDefault="00057D6B" w:rsidP="00057D6B">
      <w:pPr>
        <w:pBdr>
          <w:top w:val="single" w:sz="4" w:space="1" w:color="auto"/>
          <w:left w:val="single" w:sz="4" w:space="4" w:color="auto"/>
          <w:bottom w:val="single" w:sz="4" w:space="1" w:color="auto"/>
          <w:right w:val="single" w:sz="4" w:space="4" w:color="auto"/>
        </w:pBdr>
        <w:spacing w:after="0"/>
        <w:rPr>
          <w:i/>
        </w:rPr>
      </w:pPr>
      <w:r>
        <w:rPr>
          <w:i/>
        </w:rPr>
        <w:t xml:space="preserve">Royal Pharmaceutical Society - </w:t>
      </w:r>
      <w:r w:rsidRPr="00057D6B">
        <w:rPr>
          <w:i/>
        </w:rPr>
        <w:t>Improving patient outcomes through the better use of multi-compartment compliance aids (MCA)</w:t>
      </w:r>
      <w:r>
        <w:rPr>
          <w:i/>
        </w:rPr>
        <w:t xml:space="preserve"> (July 2013)</w:t>
      </w:r>
    </w:p>
    <w:p w:rsidR="00057D6B" w:rsidRDefault="00A60234" w:rsidP="00057D6B">
      <w:pPr>
        <w:pBdr>
          <w:top w:val="single" w:sz="4" w:space="1" w:color="auto"/>
          <w:left w:val="single" w:sz="4" w:space="4" w:color="auto"/>
          <w:bottom w:val="single" w:sz="4" w:space="1" w:color="auto"/>
          <w:right w:val="single" w:sz="4" w:space="4" w:color="auto"/>
        </w:pBdr>
        <w:spacing w:after="0"/>
      </w:pPr>
      <w:hyperlink r:id="rId18" w:history="1">
        <w:r w:rsidRPr="00A60234">
          <w:rPr>
            <w:color w:val="0000FF"/>
            <w:u w:val="single"/>
          </w:rPr>
          <w:t>https://www.rpharms.com/Portals/0/RPS%20document%20library/Open%20access/Support/toolkit/rps-mca-july-2013.pdf</w:t>
        </w:r>
      </w:hyperlink>
      <w:r>
        <w:t xml:space="preserve"> </w:t>
      </w:r>
    </w:p>
    <w:p w:rsidR="00A60234" w:rsidRDefault="00A60234" w:rsidP="00057D6B">
      <w:pPr>
        <w:pBdr>
          <w:top w:val="single" w:sz="4" w:space="1" w:color="auto"/>
          <w:left w:val="single" w:sz="4" w:space="4" w:color="auto"/>
          <w:bottom w:val="single" w:sz="4" w:space="1" w:color="auto"/>
          <w:right w:val="single" w:sz="4" w:space="4" w:color="auto"/>
        </w:pBdr>
        <w:spacing w:after="0"/>
        <w:rPr>
          <w:i/>
        </w:rPr>
      </w:pPr>
    </w:p>
    <w:p w:rsidR="00057D6B" w:rsidRPr="00F50270" w:rsidRDefault="00057D6B" w:rsidP="00057D6B">
      <w:pPr>
        <w:pBdr>
          <w:top w:val="single" w:sz="4" w:space="1" w:color="auto"/>
          <w:left w:val="single" w:sz="4" w:space="4" w:color="auto"/>
          <w:bottom w:val="single" w:sz="4" w:space="1" w:color="auto"/>
          <w:right w:val="single" w:sz="4" w:space="4" w:color="auto"/>
        </w:pBdr>
        <w:spacing w:after="0"/>
        <w:rPr>
          <w:i/>
        </w:rPr>
      </w:pPr>
      <w:r w:rsidRPr="00F50270">
        <w:rPr>
          <w:i/>
        </w:rPr>
        <w:t>R</w:t>
      </w:r>
      <w:r>
        <w:rPr>
          <w:i/>
        </w:rPr>
        <w:t>oyal Pharmaceutical Society – section containing RPS Specials guidance documents (me</w:t>
      </w:r>
      <w:r w:rsidRPr="00F50270">
        <w:rPr>
          <w:i/>
        </w:rPr>
        <w:t>mbers only)</w:t>
      </w:r>
    </w:p>
    <w:p w:rsidR="00057D6B" w:rsidRDefault="00A60234" w:rsidP="000D0545">
      <w:pPr>
        <w:pBdr>
          <w:top w:val="single" w:sz="4" w:space="1" w:color="auto"/>
          <w:left w:val="single" w:sz="4" w:space="4" w:color="auto"/>
          <w:bottom w:val="single" w:sz="4" w:space="1" w:color="auto"/>
          <w:right w:val="single" w:sz="4" w:space="4" w:color="auto"/>
        </w:pBdr>
        <w:spacing w:after="0"/>
      </w:pPr>
      <w:hyperlink r:id="rId19" w:history="1">
        <w:r w:rsidRPr="00A60234">
          <w:rPr>
            <w:color w:val="0000FF"/>
            <w:u w:val="single"/>
          </w:rPr>
          <w:t>https://www.rpharms.com/resources/toolkits/improving-patient-outcomes-through-mca</w:t>
        </w:r>
      </w:hyperlink>
    </w:p>
    <w:p w:rsidR="00A60234" w:rsidRDefault="00A60234" w:rsidP="000D0545">
      <w:pPr>
        <w:pBdr>
          <w:top w:val="single" w:sz="4" w:space="1" w:color="auto"/>
          <w:left w:val="single" w:sz="4" w:space="4" w:color="auto"/>
          <w:bottom w:val="single" w:sz="4" w:space="1" w:color="auto"/>
          <w:right w:val="single" w:sz="4" w:space="4" w:color="auto"/>
        </w:pBdr>
        <w:spacing w:after="0"/>
        <w:rPr>
          <w:i/>
        </w:rPr>
      </w:pPr>
    </w:p>
    <w:p w:rsidR="000D0545" w:rsidRPr="00F50270" w:rsidRDefault="000D0545" w:rsidP="000D0545">
      <w:pPr>
        <w:pBdr>
          <w:top w:val="single" w:sz="4" w:space="1" w:color="auto"/>
          <w:left w:val="single" w:sz="4" w:space="4" w:color="auto"/>
          <w:bottom w:val="single" w:sz="4" w:space="1" w:color="auto"/>
          <w:right w:val="single" w:sz="4" w:space="4" w:color="auto"/>
        </w:pBdr>
        <w:spacing w:after="0"/>
        <w:rPr>
          <w:i/>
        </w:rPr>
      </w:pPr>
      <w:r w:rsidRPr="00F50270">
        <w:rPr>
          <w:i/>
        </w:rPr>
        <w:t>G</w:t>
      </w:r>
      <w:r w:rsidR="00671D85">
        <w:rPr>
          <w:i/>
        </w:rPr>
        <w:t>eneral Medical Council</w:t>
      </w:r>
      <w:r w:rsidRPr="00F50270">
        <w:rPr>
          <w:i/>
        </w:rPr>
        <w:t xml:space="preserve"> – </w:t>
      </w:r>
      <w:r w:rsidR="00671D85">
        <w:rPr>
          <w:i/>
        </w:rPr>
        <w:t xml:space="preserve">guidance on prescribing </w:t>
      </w:r>
      <w:r w:rsidRPr="00F50270">
        <w:rPr>
          <w:i/>
        </w:rPr>
        <w:t>unlicensed medicines</w:t>
      </w:r>
      <w:r w:rsidR="00671D85">
        <w:rPr>
          <w:i/>
        </w:rPr>
        <w:t xml:space="preserve"> (January 2013)</w:t>
      </w:r>
    </w:p>
    <w:p w:rsidR="000D0545" w:rsidRDefault="005C0040" w:rsidP="000D0545">
      <w:pPr>
        <w:pBdr>
          <w:top w:val="single" w:sz="4" w:space="1" w:color="auto"/>
          <w:left w:val="single" w:sz="4" w:space="4" w:color="auto"/>
          <w:bottom w:val="single" w:sz="4" w:space="1" w:color="auto"/>
          <w:right w:val="single" w:sz="4" w:space="4" w:color="auto"/>
        </w:pBdr>
        <w:spacing w:after="0"/>
        <w:rPr>
          <w:rStyle w:val="Hyperlink"/>
          <w:i/>
        </w:rPr>
      </w:pPr>
      <w:hyperlink r:id="rId20" w:anchor="9" w:history="1">
        <w:r w:rsidR="000D0545" w:rsidRPr="00F50270">
          <w:rPr>
            <w:rStyle w:val="Hyperlink"/>
            <w:i/>
          </w:rPr>
          <w:t>http://www.gmc-u</w:t>
        </w:r>
        <w:r w:rsidR="000D0545" w:rsidRPr="00F50270">
          <w:rPr>
            <w:rStyle w:val="Hyperlink"/>
            <w:i/>
          </w:rPr>
          <w:t>k</w:t>
        </w:r>
        <w:r w:rsidR="000D0545" w:rsidRPr="00F50270">
          <w:rPr>
            <w:rStyle w:val="Hyperlink"/>
            <w:i/>
          </w:rPr>
          <w:t>.org/guidance/ethical_guidance/prescriptions_faqs.asp#9</w:t>
        </w:r>
      </w:hyperlink>
    </w:p>
    <w:p w:rsidR="00057D6B" w:rsidRPr="00F50270" w:rsidRDefault="00057D6B" w:rsidP="000D0545">
      <w:pPr>
        <w:pBdr>
          <w:top w:val="single" w:sz="4" w:space="1" w:color="auto"/>
          <w:left w:val="single" w:sz="4" w:space="4" w:color="auto"/>
          <w:bottom w:val="single" w:sz="4" w:space="1" w:color="auto"/>
          <w:right w:val="single" w:sz="4" w:space="4" w:color="auto"/>
        </w:pBdr>
        <w:spacing w:after="0"/>
        <w:rPr>
          <w:i/>
        </w:rPr>
      </w:pPr>
    </w:p>
    <w:p w:rsidR="000D0545" w:rsidRPr="00F50270" w:rsidRDefault="000D0545" w:rsidP="000D0545">
      <w:pPr>
        <w:pBdr>
          <w:top w:val="single" w:sz="4" w:space="1" w:color="auto"/>
          <w:left w:val="single" w:sz="4" w:space="4" w:color="auto"/>
          <w:bottom w:val="single" w:sz="4" w:space="1" w:color="auto"/>
          <w:right w:val="single" w:sz="4" w:space="4" w:color="auto"/>
        </w:pBdr>
        <w:spacing w:after="0"/>
        <w:rPr>
          <w:i/>
        </w:rPr>
      </w:pPr>
      <w:r w:rsidRPr="00F50270">
        <w:rPr>
          <w:i/>
        </w:rPr>
        <w:t>N</w:t>
      </w:r>
      <w:r w:rsidR="00671D85">
        <w:rPr>
          <w:i/>
        </w:rPr>
        <w:t>ursing and Midwifery Council Standards for Medicines Management (April 2010)</w:t>
      </w:r>
      <w:r w:rsidR="0087498D">
        <w:rPr>
          <w:i/>
        </w:rPr>
        <w:t xml:space="preserve"> [Including minor updates to references and the Code (2015)</w:t>
      </w:r>
      <w:r w:rsidR="00A60234">
        <w:rPr>
          <w:i/>
        </w:rPr>
        <w:t xml:space="preserve"> </w:t>
      </w:r>
    </w:p>
    <w:p w:rsidR="000D0545" w:rsidRDefault="005C0040" w:rsidP="000D0545">
      <w:pPr>
        <w:pBdr>
          <w:top w:val="single" w:sz="4" w:space="1" w:color="auto"/>
          <w:left w:val="single" w:sz="4" w:space="4" w:color="auto"/>
          <w:bottom w:val="single" w:sz="4" w:space="1" w:color="auto"/>
          <w:right w:val="single" w:sz="4" w:space="4" w:color="auto"/>
        </w:pBdr>
        <w:spacing w:after="0"/>
        <w:rPr>
          <w:rStyle w:val="Hyperlink"/>
          <w:i/>
        </w:rPr>
      </w:pPr>
      <w:hyperlink r:id="rId21" w:history="1">
        <w:r w:rsidR="000D0545" w:rsidRPr="00F50270">
          <w:rPr>
            <w:rStyle w:val="Hyperlink"/>
            <w:i/>
          </w:rPr>
          <w:t>http://www.nm</w:t>
        </w:r>
        <w:r w:rsidR="000D0545" w:rsidRPr="00F50270">
          <w:rPr>
            <w:rStyle w:val="Hyperlink"/>
            <w:i/>
          </w:rPr>
          <w:t>c</w:t>
        </w:r>
        <w:r w:rsidR="000D0545" w:rsidRPr="00F50270">
          <w:rPr>
            <w:rStyle w:val="Hyperlink"/>
            <w:i/>
          </w:rPr>
          <w:t>-uk.org/Documents/NMC-Publications/NMC-Standards-for-medicines-management.pdf</w:t>
        </w:r>
      </w:hyperlink>
    </w:p>
    <w:p w:rsidR="00A60234" w:rsidRDefault="00A60234" w:rsidP="000D0545">
      <w:pPr>
        <w:pBdr>
          <w:top w:val="single" w:sz="4" w:space="1" w:color="auto"/>
          <w:left w:val="single" w:sz="4" w:space="4" w:color="auto"/>
          <w:bottom w:val="single" w:sz="4" w:space="1" w:color="auto"/>
          <w:right w:val="single" w:sz="4" w:space="4" w:color="auto"/>
        </w:pBdr>
        <w:spacing w:after="0"/>
        <w:rPr>
          <w:rStyle w:val="Hyperlink"/>
          <w:i/>
        </w:rPr>
      </w:pPr>
      <w:r w:rsidRPr="00792AA6">
        <w:rPr>
          <w:rStyle w:val="Hyperlink"/>
          <w:i/>
          <w:u w:val="none"/>
        </w:rPr>
        <w:t xml:space="preserve">Note: </w:t>
      </w:r>
      <w:r w:rsidR="00792AA6" w:rsidRPr="00792AA6">
        <w:rPr>
          <w:rStyle w:val="Hyperlink"/>
          <w:i/>
          <w:u w:val="none"/>
        </w:rPr>
        <w:t xml:space="preserve">These standards were withdrawn 28 1 2019. More information can be found </w:t>
      </w:r>
      <w:hyperlink r:id="rId22" w:history="1">
        <w:r w:rsidR="00792AA6" w:rsidRPr="00792AA6">
          <w:rPr>
            <w:rStyle w:val="Hyperlink"/>
            <w:i/>
          </w:rPr>
          <w:t>here</w:t>
        </w:r>
      </w:hyperlink>
      <w:r w:rsidR="00792AA6">
        <w:rPr>
          <w:rStyle w:val="Hyperlink"/>
          <w:i/>
        </w:rPr>
        <w:t xml:space="preserve"> </w:t>
      </w:r>
    </w:p>
    <w:p w:rsidR="00057D6B" w:rsidRPr="00F50270" w:rsidRDefault="00057D6B" w:rsidP="000D0545">
      <w:pPr>
        <w:pBdr>
          <w:top w:val="single" w:sz="4" w:space="1" w:color="auto"/>
          <w:left w:val="single" w:sz="4" w:space="4" w:color="auto"/>
          <w:bottom w:val="single" w:sz="4" w:space="1" w:color="auto"/>
          <w:right w:val="single" w:sz="4" w:space="4" w:color="auto"/>
        </w:pBdr>
        <w:spacing w:after="0"/>
        <w:rPr>
          <w:i/>
        </w:rPr>
      </w:pPr>
    </w:p>
    <w:p w:rsidR="000D0545" w:rsidRPr="00F50270" w:rsidRDefault="00057D6B" w:rsidP="000D0545">
      <w:pPr>
        <w:pBdr>
          <w:top w:val="single" w:sz="4" w:space="1" w:color="auto"/>
          <w:left w:val="single" w:sz="4" w:space="4" w:color="auto"/>
          <w:bottom w:val="single" w:sz="4" w:space="1" w:color="auto"/>
          <w:right w:val="single" w:sz="4" w:space="4" w:color="auto"/>
        </w:pBdr>
        <w:spacing w:after="0"/>
        <w:rPr>
          <w:i/>
        </w:rPr>
      </w:pPr>
      <w:r>
        <w:rPr>
          <w:i/>
        </w:rPr>
        <w:t xml:space="preserve">NHS Choices – Why are medicines licensed by the MHRA? (Last reviewed </w:t>
      </w:r>
      <w:r w:rsidR="00792AA6">
        <w:rPr>
          <w:i/>
        </w:rPr>
        <w:t>Feb 2019</w:t>
      </w:r>
      <w:r>
        <w:rPr>
          <w:i/>
        </w:rPr>
        <w:t>)</w:t>
      </w:r>
    </w:p>
    <w:p w:rsidR="00057D6B" w:rsidRDefault="005C0040" w:rsidP="000D0545">
      <w:pPr>
        <w:pBdr>
          <w:top w:val="single" w:sz="4" w:space="1" w:color="auto"/>
          <w:left w:val="single" w:sz="4" w:space="4" w:color="auto"/>
          <w:bottom w:val="single" w:sz="4" w:space="1" w:color="auto"/>
          <w:right w:val="single" w:sz="4" w:space="4" w:color="auto"/>
        </w:pBdr>
        <w:spacing w:after="0"/>
        <w:rPr>
          <w:rStyle w:val="Hyperlink"/>
          <w:i/>
        </w:rPr>
      </w:pPr>
      <w:hyperlink r:id="rId23" w:history="1">
        <w:r w:rsidR="000D0545" w:rsidRPr="00F50270">
          <w:rPr>
            <w:rStyle w:val="Hyperlink"/>
            <w:i/>
          </w:rPr>
          <w:t>http://www.nhs.uk/chq/pag</w:t>
        </w:r>
        <w:r w:rsidR="000D0545" w:rsidRPr="00F50270">
          <w:rPr>
            <w:rStyle w:val="Hyperlink"/>
            <w:i/>
          </w:rPr>
          <w:t>e</w:t>
        </w:r>
        <w:r w:rsidR="000D0545" w:rsidRPr="00F50270">
          <w:rPr>
            <w:rStyle w:val="Hyperlink"/>
            <w:i/>
          </w:rPr>
          <w:t>s/1004.aspx</w:t>
        </w:r>
      </w:hyperlink>
    </w:p>
    <w:p w:rsidR="00057D6B" w:rsidRPr="00F50270" w:rsidRDefault="00057D6B" w:rsidP="000D0545">
      <w:pPr>
        <w:pBdr>
          <w:top w:val="single" w:sz="4" w:space="1" w:color="auto"/>
          <w:left w:val="single" w:sz="4" w:space="4" w:color="auto"/>
          <w:bottom w:val="single" w:sz="4" w:space="1" w:color="auto"/>
          <w:right w:val="single" w:sz="4" w:space="4" w:color="auto"/>
        </w:pBdr>
        <w:spacing w:after="0"/>
        <w:rPr>
          <w:i/>
        </w:rPr>
      </w:pPr>
    </w:p>
    <w:p w:rsidR="0087498D" w:rsidRDefault="0087498D" w:rsidP="004717D2">
      <w:pPr>
        <w:rPr>
          <w:b/>
        </w:rPr>
      </w:pPr>
    </w:p>
    <w:p w:rsidR="00254C55" w:rsidRDefault="00254C55" w:rsidP="004717D2">
      <w:pPr>
        <w:rPr>
          <w:b/>
        </w:rPr>
      </w:pPr>
    </w:p>
    <w:p w:rsidR="00254C55" w:rsidRDefault="00254C55" w:rsidP="004717D2">
      <w:pPr>
        <w:rPr>
          <w:b/>
        </w:rPr>
      </w:pPr>
    </w:p>
    <w:p w:rsidR="00254C55" w:rsidRDefault="00254C55" w:rsidP="004717D2">
      <w:pPr>
        <w:rPr>
          <w:b/>
        </w:rPr>
      </w:pPr>
    </w:p>
    <w:p w:rsidR="00254C55" w:rsidRDefault="00254C55" w:rsidP="004717D2">
      <w:pPr>
        <w:rPr>
          <w:b/>
        </w:rPr>
      </w:pPr>
    </w:p>
    <w:p w:rsidR="00254C55" w:rsidRDefault="00254C55" w:rsidP="004717D2">
      <w:pPr>
        <w:rPr>
          <w:b/>
        </w:rPr>
      </w:pPr>
    </w:p>
    <w:p w:rsidR="00254C55" w:rsidRDefault="00254C55" w:rsidP="004717D2">
      <w:pPr>
        <w:rPr>
          <w:b/>
        </w:rPr>
      </w:pPr>
    </w:p>
    <w:p w:rsidR="00254C55" w:rsidRDefault="00254C55" w:rsidP="004717D2">
      <w:pPr>
        <w:rPr>
          <w:b/>
        </w:rPr>
      </w:pPr>
    </w:p>
    <w:p w:rsidR="00792AA6" w:rsidRDefault="00792AA6" w:rsidP="004717D2">
      <w:pPr>
        <w:rPr>
          <w:b/>
        </w:rPr>
      </w:pPr>
    </w:p>
    <w:p w:rsidR="00792AA6" w:rsidRDefault="00792AA6" w:rsidP="004717D2">
      <w:pPr>
        <w:rPr>
          <w:b/>
        </w:rPr>
      </w:pPr>
    </w:p>
    <w:p w:rsidR="00254C55" w:rsidRDefault="00254C55" w:rsidP="004717D2">
      <w:pPr>
        <w:rPr>
          <w:b/>
        </w:rPr>
      </w:pPr>
    </w:p>
    <w:p w:rsidR="0050451B" w:rsidRPr="00993213" w:rsidRDefault="00254C55" w:rsidP="004717D2">
      <w:pPr>
        <w:rPr>
          <w:b/>
        </w:rPr>
      </w:pPr>
      <w:r>
        <w:rPr>
          <w:b/>
        </w:rPr>
        <w:lastRenderedPageBreak/>
        <w:t xml:space="preserve">UKMI </w:t>
      </w:r>
      <w:r w:rsidR="00057D6B" w:rsidRPr="00993213">
        <w:rPr>
          <w:b/>
        </w:rPr>
        <w:t>Process for updating</w:t>
      </w:r>
      <w:r w:rsidR="00792AA6">
        <w:rPr>
          <w:b/>
        </w:rPr>
        <w:t xml:space="preserve"> – </w:t>
      </w:r>
      <w:r w:rsidR="00792AA6" w:rsidRPr="00792AA6">
        <w:rPr>
          <w:b/>
          <w:color w:val="FF0000"/>
        </w:rPr>
        <w:t>this process is under review and will be finalised in 2019</w:t>
      </w:r>
    </w:p>
    <w:p w:rsidR="003477D3" w:rsidRPr="00993213" w:rsidRDefault="003477D3" w:rsidP="004717D2">
      <w:pPr>
        <w:rPr>
          <w:b/>
        </w:rPr>
      </w:pPr>
      <w:r w:rsidRPr="00993213">
        <w:rPr>
          <w:b/>
        </w:rPr>
        <w:t xml:space="preserve">The following process for updating the UKMI MCA stability </w:t>
      </w:r>
      <w:r w:rsidR="0087498D">
        <w:rPr>
          <w:b/>
        </w:rPr>
        <w:t>information</w:t>
      </w:r>
      <w:r w:rsidRPr="00993213">
        <w:rPr>
          <w:b/>
        </w:rPr>
        <w:t xml:space="preserve"> will be followed </w:t>
      </w:r>
    </w:p>
    <w:p w:rsidR="003477D3" w:rsidRPr="00993213" w:rsidRDefault="003477D3" w:rsidP="003477D3">
      <w:pPr>
        <w:pStyle w:val="ListParagraph"/>
        <w:numPr>
          <w:ilvl w:val="1"/>
          <w:numId w:val="6"/>
        </w:numPr>
        <w:ind w:left="567" w:hanging="283"/>
      </w:pPr>
      <w:r w:rsidRPr="00993213">
        <w:t>SWMIT will hold a master file of the current live version of the database.  In house SOPs will cover its access, storage and management.</w:t>
      </w:r>
    </w:p>
    <w:p w:rsidR="003477D3" w:rsidRPr="00993213" w:rsidRDefault="003477D3" w:rsidP="003477D3">
      <w:pPr>
        <w:pStyle w:val="ListParagraph"/>
        <w:numPr>
          <w:ilvl w:val="1"/>
          <w:numId w:val="6"/>
        </w:numPr>
        <w:ind w:left="567" w:hanging="283"/>
      </w:pPr>
      <w:r w:rsidRPr="00993213">
        <w:t>SWMIT will hold a separate file to record additions and revisions to the information in the master file.</w:t>
      </w:r>
    </w:p>
    <w:p w:rsidR="00B15678" w:rsidRDefault="003477D3" w:rsidP="003477D3">
      <w:pPr>
        <w:pStyle w:val="ListParagraph"/>
        <w:numPr>
          <w:ilvl w:val="1"/>
          <w:numId w:val="6"/>
        </w:numPr>
        <w:ind w:left="567" w:hanging="283"/>
      </w:pPr>
      <w:r w:rsidRPr="00993213">
        <w:t xml:space="preserve">Individual regional centres will retain responsibility for maintaining the BNF chapters and sections that they contributed originally.  The aim should be to revise the whole database every two years unless new information or new products become available before that.  </w:t>
      </w:r>
    </w:p>
    <w:p w:rsidR="003477D3" w:rsidRPr="00993213" w:rsidRDefault="003477D3" w:rsidP="003477D3">
      <w:pPr>
        <w:pStyle w:val="ListParagraph"/>
        <w:numPr>
          <w:ilvl w:val="1"/>
          <w:numId w:val="6"/>
        </w:numPr>
        <w:ind w:left="567" w:hanging="283"/>
      </w:pPr>
      <w:r w:rsidRPr="00993213">
        <w:t>SWMIT will receive feedback from users by email.  This feedback will, where useful, be shared with contributing centres.</w:t>
      </w:r>
    </w:p>
    <w:p w:rsidR="003477D3" w:rsidRPr="00993213" w:rsidRDefault="003477D3" w:rsidP="003477D3">
      <w:pPr>
        <w:pStyle w:val="ListParagraph"/>
        <w:numPr>
          <w:ilvl w:val="1"/>
          <w:numId w:val="6"/>
        </w:numPr>
        <w:ind w:left="567" w:hanging="283"/>
      </w:pPr>
      <w:r w:rsidRPr="00993213">
        <w:t>SWMIT will provide a new master file for publication every three months.</w:t>
      </w:r>
    </w:p>
    <w:p w:rsidR="00BC5E24" w:rsidRPr="00993213" w:rsidRDefault="00BC5E24" w:rsidP="004717D2">
      <w:pPr>
        <w:rPr>
          <w:b/>
        </w:rPr>
      </w:pPr>
      <w:r w:rsidRPr="00993213">
        <w:rPr>
          <w:b/>
        </w:rPr>
        <w:t xml:space="preserve">Date prepared 4/10/2013      Authors: Trevor Beswick and Tiffany Barrett, SWMIT      Version1 </w:t>
      </w:r>
    </w:p>
    <w:p w:rsidR="002D0B37" w:rsidRPr="00993213" w:rsidRDefault="00E4516C" w:rsidP="004717D2">
      <w:pPr>
        <w:rPr>
          <w:b/>
        </w:rPr>
      </w:pPr>
      <w:r w:rsidRPr="00993213">
        <w:rPr>
          <w:b/>
        </w:rPr>
        <w:t>Updated 18/7/</w:t>
      </w:r>
      <w:r w:rsidR="002A73A6">
        <w:rPr>
          <w:b/>
        </w:rPr>
        <w:t>20</w:t>
      </w:r>
      <w:r w:rsidRPr="00993213">
        <w:rPr>
          <w:b/>
        </w:rPr>
        <w:t>14                Authors: Trevor Beswick and Tiffany Barrett, SWMIT       Version 2</w:t>
      </w:r>
    </w:p>
    <w:p w:rsidR="00993213" w:rsidRDefault="00B8114D" w:rsidP="004717D2">
      <w:pPr>
        <w:rPr>
          <w:b/>
        </w:rPr>
      </w:pPr>
      <w:r w:rsidRPr="00993213">
        <w:rPr>
          <w:b/>
        </w:rPr>
        <w:t>Updated 24/9/</w:t>
      </w:r>
      <w:r w:rsidR="002A73A6">
        <w:rPr>
          <w:b/>
        </w:rPr>
        <w:t>20</w:t>
      </w:r>
      <w:r w:rsidRPr="00993213">
        <w:rPr>
          <w:b/>
        </w:rPr>
        <w:t>14               Authors: Trevor Beswick and Tiffany Barrett, SWMIT       Version</w:t>
      </w:r>
      <w:r>
        <w:rPr>
          <w:b/>
          <w:i/>
        </w:rPr>
        <w:t xml:space="preserve"> </w:t>
      </w:r>
      <w:r w:rsidRPr="00993213">
        <w:rPr>
          <w:b/>
        </w:rPr>
        <w:t>3</w:t>
      </w:r>
    </w:p>
    <w:p w:rsidR="0087498D" w:rsidRDefault="0087498D" w:rsidP="0087498D">
      <w:pPr>
        <w:rPr>
          <w:b/>
          <w:i/>
        </w:rPr>
      </w:pPr>
      <w:r>
        <w:rPr>
          <w:b/>
          <w:i/>
        </w:rPr>
        <w:t xml:space="preserve">Updated 5/8/2016                  </w:t>
      </w:r>
      <w:r w:rsidRPr="00FA77E5">
        <w:rPr>
          <w:b/>
          <w:i/>
        </w:rPr>
        <w:t xml:space="preserve">Authors: Trevor Beswick and Tiffany Barrett, SWMIT       Version </w:t>
      </w:r>
      <w:r>
        <w:rPr>
          <w:b/>
          <w:i/>
        </w:rPr>
        <w:t>4</w:t>
      </w:r>
    </w:p>
    <w:p w:rsidR="00792AA6" w:rsidRDefault="005C0040" w:rsidP="00792AA6">
      <w:pPr>
        <w:rPr>
          <w:b/>
          <w:i/>
        </w:rPr>
      </w:pPr>
      <w:r>
        <w:rPr>
          <w:b/>
          <w:i/>
        </w:rPr>
        <w:t>Partial u</w:t>
      </w:r>
      <w:r w:rsidR="00792AA6">
        <w:rPr>
          <w:b/>
          <w:i/>
        </w:rPr>
        <w:t>pdate 4/7/2019        Author: Tiffany Barrett, SWMI                                                Version 5</w:t>
      </w:r>
      <w:r w:rsidR="00792AA6">
        <w:rPr>
          <w:b/>
          <w:i/>
        </w:rPr>
        <w:tab/>
      </w:r>
    </w:p>
    <w:p w:rsidR="0087498D" w:rsidRDefault="0087498D" w:rsidP="004717D2">
      <w:pPr>
        <w:rPr>
          <w:b/>
        </w:rPr>
      </w:pPr>
    </w:p>
    <w:p w:rsidR="0087498D" w:rsidRDefault="0087498D"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Default="00254C55" w:rsidP="004717D2">
      <w:pPr>
        <w:rPr>
          <w:b/>
          <w:i/>
        </w:rPr>
      </w:pPr>
    </w:p>
    <w:p w:rsidR="00254C55" w:rsidRPr="00254C55" w:rsidRDefault="00254C55" w:rsidP="00254C55">
      <w:pPr>
        <w:jc w:val="center"/>
        <w:rPr>
          <w:b/>
          <w:sz w:val="28"/>
          <w:szCs w:val="28"/>
          <w:u w:val="single"/>
        </w:rPr>
      </w:pPr>
      <w:bookmarkStart w:id="0" w:name="_GoBack"/>
      <w:bookmarkEnd w:id="0"/>
      <w:r w:rsidRPr="00254C55">
        <w:rPr>
          <w:b/>
          <w:sz w:val="28"/>
          <w:szCs w:val="28"/>
          <w:u w:val="single"/>
        </w:rPr>
        <w:lastRenderedPageBreak/>
        <w:t>UKMI MCA stability information descriptors</w:t>
      </w:r>
    </w:p>
    <w:p w:rsidR="001D6433" w:rsidRPr="00F50270" w:rsidRDefault="00063C44" w:rsidP="004717D2">
      <w:pPr>
        <w:rPr>
          <w:i/>
        </w:rPr>
      </w:pPr>
      <w:r w:rsidRPr="00F50270">
        <w:rPr>
          <w:i/>
        </w:rPr>
        <w:t xml:space="preserve">The recommendation for each preparation is </w:t>
      </w:r>
      <w:proofErr w:type="gramStart"/>
      <w:r w:rsidRPr="00F50270">
        <w:rPr>
          <w:i/>
        </w:rPr>
        <w:t xml:space="preserve">standardised </w:t>
      </w:r>
      <w:r w:rsidR="001D6433" w:rsidRPr="00F50270">
        <w:rPr>
          <w:i/>
        </w:rPr>
        <w:t xml:space="preserve"> and</w:t>
      </w:r>
      <w:proofErr w:type="gramEnd"/>
      <w:r w:rsidR="001D6433" w:rsidRPr="00F50270">
        <w:rPr>
          <w:i/>
        </w:rPr>
        <w:t xml:space="preserve"> explained as follows – </w:t>
      </w:r>
    </w:p>
    <w:p w:rsidR="00254C55" w:rsidRPr="00254C55" w:rsidRDefault="001D6433" w:rsidP="00254C55">
      <w:pPr>
        <w:pStyle w:val="ListParagraph"/>
        <w:numPr>
          <w:ilvl w:val="0"/>
          <w:numId w:val="8"/>
        </w:numPr>
        <w:spacing w:after="0"/>
        <w:rPr>
          <w:i/>
        </w:rPr>
      </w:pPr>
      <w:r w:rsidRPr="00254C55">
        <w:rPr>
          <w:b/>
          <w:i/>
        </w:rPr>
        <w:t>Drug name</w:t>
      </w:r>
      <w:r w:rsidRPr="00254C55">
        <w:rPr>
          <w:i/>
        </w:rPr>
        <w:t xml:space="preserve"> – this refers to the generic medicinal name of the product</w:t>
      </w:r>
    </w:p>
    <w:p w:rsidR="00254C55" w:rsidRDefault="00254C55" w:rsidP="00136598">
      <w:pPr>
        <w:spacing w:after="0"/>
        <w:rPr>
          <w:i/>
        </w:rPr>
      </w:pPr>
    </w:p>
    <w:p w:rsidR="001D6433" w:rsidRPr="00254C55" w:rsidRDefault="001D6433" w:rsidP="00254C55">
      <w:pPr>
        <w:pStyle w:val="ListParagraph"/>
        <w:numPr>
          <w:ilvl w:val="0"/>
          <w:numId w:val="8"/>
        </w:numPr>
        <w:spacing w:after="0"/>
        <w:rPr>
          <w:i/>
        </w:rPr>
      </w:pPr>
      <w:r w:rsidRPr="00254C55">
        <w:rPr>
          <w:b/>
          <w:i/>
        </w:rPr>
        <w:t>Brand name and manufacturer</w:t>
      </w:r>
      <w:r w:rsidRPr="00254C55">
        <w:rPr>
          <w:i/>
        </w:rPr>
        <w:t xml:space="preserve"> – the name</w:t>
      </w:r>
      <w:r w:rsidR="006638D7" w:rsidRPr="00254C55">
        <w:rPr>
          <w:i/>
        </w:rPr>
        <w:t>(s)</w:t>
      </w:r>
      <w:r w:rsidRPr="00254C55">
        <w:rPr>
          <w:i/>
        </w:rPr>
        <w:t xml:space="preserve"> of the branded versions of the medicine plus the relevant manufacturer. In addition, where there are a number of generic versions of a drug, one generic manufacturer </w:t>
      </w:r>
      <w:r w:rsidR="0050451B" w:rsidRPr="00254C55">
        <w:rPr>
          <w:i/>
        </w:rPr>
        <w:t>may</w:t>
      </w:r>
      <w:r w:rsidRPr="00254C55">
        <w:rPr>
          <w:i/>
        </w:rPr>
        <w:t xml:space="preserve"> have been contacted</w:t>
      </w:r>
      <w:r w:rsidR="00BC7405" w:rsidRPr="00254C55">
        <w:rPr>
          <w:i/>
        </w:rPr>
        <w:t xml:space="preserve"> and data from that manufacturer included.</w:t>
      </w:r>
      <w:r w:rsidR="00891E49" w:rsidRPr="00254C55">
        <w:rPr>
          <w:i/>
        </w:rPr>
        <w:t xml:space="preserve"> Where no specific manufacturer has been contacted the text will read “generic” for brand name and “non-proprietary” for manufacturer.</w:t>
      </w:r>
    </w:p>
    <w:p w:rsidR="00254C55" w:rsidRPr="00F50270" w:rsidRDefault="00254C55" w:rsidP="00136598">
      <w:pPr>
        <w:spacing w:after="0"/>
        <w:rPr>
          <w:i/>
        </w:rPr>
      </w:pPr>
    </w:p>
    <w:p w:rsidR="001D6433" w:rsidRPr="00254C55" w:rsidRDefault="001D6433" w:rsidP="00254C55">
      <w:pPr>
        <w:pStyle w:val="ListParagraph"/>
        <w:numPr>
          <w:ilvl w:val="0"/>
          <w:numId w:val="8"/>
        </w:numPr>
        <w:spacing w:after="0"/>
        <w:rPr>
          <w:i/>
        </w:rPr>
      </w:pPr>
      <w:r w:rsidRPr="00254C55">
        <w:rPr>
          <w:b/>
          <w:i/>
        </w:rPr>
        <w:t>Formulation (strength and form)</w:t>
      </w:r>
      <w:r w:rsidRPr="00254C55">
        <w:rPr>
          <w:i/>
        </w:rPr>
        <w:t xml:space="preserve"> – for example Tablets f/c 2.5 mg. </w:t>
      </w:r>
    </w:p>
    <w:p w:rsidR="00254C55" w:rsidRPr="00F50270" w:rsidRDefault="00254C55" w:rsidP="00136598">
      <w:pPr>
        <w:spacing w:after="0"/>
        <w:rPr>
          <w:i/>
        </w:rPr>
      </w:pPr>
    </w:p>
    <w:p w:rsidR="001D6433" w:rsidRPr="00254C55" w:rsidRDefault="001D6433" w:rsidP="00254C55">
      <w:pPr>
        <w:pStyle w:val="ListParagraph"/>
        <w:numPr>
          <w:ilvl w:val="0"/>
          <w:numId w:val="8"/>
        </w:numPr>
        <w:spacing w:after="0"/>
        <w:rPr>
          <w:i/>
        </w:rPr>
      </w:pPr>
      <w:r w:rsidRPr="00254C55">
        <w:rPr>
          <w:b/>
          <w:i/>
        </w:rPr>
        <w:t>Relevant theoretical considerations</w:t>
      </w:r>
      <w:r w:rsidRPr="00254C55">
        <w:rPr>
          <w:i/>
        </w:rPr>
        <w:t xml:space="preserve"> – this includes information from the resources used. </w:t>
      </w:r>
    </w:p>
    <w:p w:rsidR="00254C55" w:rsidRPr="00F50270" w:rsidRDefault="00254C55" w:rsidP="00136598">
      <w:pPr>
        <w:spacing w:after="0"/>
        <w:rPr>
          <w:i/>
        </w:rPr>
      </w:pPr>
    </w:p>
    <w:p w:rsidR="001D6433" w:rsidRPr="00254C55" w:rsidRDefault="001D6433" w:rsidP="00254C55">
      <w:pPr>
        <w:pStyle w:val="ListParagraph"/>
        <w:numPr>
          <w:ilvl w:val="0"/>
          <w:numId w:val="8"/>
        </w:numPr>
        <w:spacing w:after="0"/>
        <w:rPr>
          <w:i/>
        </w:rPr>
      </w:pPr>
      <w:r w:rsidRPr="00254C55">
        <w:rPr>
          <w:b/>
          <w:i/>
        </w:rPr>
        <w:t>UKMI recommendations</w:t>
      </w:r>
      <w:r w:rsidRPr="00254C55">
        <w:rPr>
          <w:i/>
        </w:rPr>
        <w:t xml:space="preserve"> – </w:t>
      </w:r>
      <w:r w:rsidR="00136598" w:rsidRPr="00254C55">
        <w:rPr>
          <w:i/>
        </w:rPr>
        <w:t xml:space="preserve">risk is expressed using a standardised </w:t>
      </w:r>
      <w:r w:rsidR="00F50270" w:rsidRPr="00254C55">
        <w:rPr>
          <w:i/>
        </w:rPr>
        <w:t xml:space="preserve">red/amber/green </w:t>
      </w:r>
      <w:r w:rsidR="00136598" w:rsidRPr="00254C55">
        <w:rPr>
          <w:i/>
        </w:rPr>
        <w:t>system</w:t>
      </w:r>
      <w:r w:rsidR="00F50270" w:rsidRPr="00254C55">
        <w:rPr>
          <w:i/>
        </w:rPr>
        <w:t xml:space="preserve"> (see key</w:t>
      </w:r>
      <w:r w:rsidR="00057D6B" w:rsidRPr="00254C55">
        <w:rPr>
          <w:i/>
        </w:rPr>
        <w:t xml:space="preserve"> below</w:t>
      </w:r>
      <w:r w:rsidR="00F50270" w:rsidRPr="00254C55">
        <w:rPr>
          <w:i/>
        </w:rPr>
        <w:t>)</w:t>
      </w:r>
    </w:p>
    <w:p w:rsidR="00254C55" w:rsidRPr="00F50270" w:rsidRDefault="00254C55" w:rsidP="00136598">
      <w:pPr>
        <w:spacing w:after="0"/>
        <w:rPr>
          <w:i/>
        </w:rPr>
      </w:pPr>
    </w:p>
    <w:p w:rsidR="0050451B" w:rsidRDefault="0050451B" w:rsidP="00254C55">
      <w:pPr>
        <w:pStyle w:val="ListParagraph"/>
        <w:numPr>
          <w:ilvl w:val="0"/>
          <w:numId w:val="8"/>
        </w:numPr>
        <w:rPr>
          <w:i/>
        </w:rPr>
      </w:pPr>
      <w:r w:rsidRPr="00254C55">
        <w:rPr>
          <w:b/>
          <w:i/>
        </w:rPr>
        <w:t xml:space="preserve">Date of Record </w:t>
      </w:r>
      <w:r w:rsidRPr="00254C55">
        <w:rPr>
          <w:i/>
        </w:rPr>
        <w:t>– the date that the record was completed by the contributing UKMi service</w:t>
      </w:r>
    </w:p>
    <w:p w:rsidR="00254C55" w:rsidRPr="00254C55" w:rsidRDefault="00254C55" w:rsidP="00254C55">
      <w:pPr>
        <w:pStyle w:val="ListParagraph"/>
        <w:rPr>
          <w:i/>
        </w:rPr>
      </w:pPr>
    </w:p>
    <w:tbl>
      <w:tblPr>
        <w:tblStyle w:val="TableGrid"/>
        <w:tblW w:w="0" w:type="auto"/>
        <w:tblLook w:val="04A0" w:firstRow="1" w:lastRow="0" w:firstColumn="1" w:lastColumn="0" w:noHBand="0" w:noVBand="1"/>
      </w:tblPr>
      <w:tblGrid>
        <w:gridCol w:w="1101"/>
        <w:gridCol w:w="7938"/>
      </w:tblGrid>
      <w:tr w:rsidR="0050451B" w:rsidRPr="00136598" w:rsidTr="002E1E87">
        <w:tc>
          <w:tcPr>
            <w:tcW w:w="1101" w:type="dxa"/>
            <w:vMerge w:val="restart"/>
            <w:shd w:val="clear" w:color="auto" w:fill="92D050"/>
          </w:tcPr>
          <w:p w:rsidR="0050451B" w:rsidRPr="00136598" w:rsidRDefault="0050451B" w:rsidP="002E1E87">
            <w:pPr>
              <w:rPr>
                <w:b/>
              </w:rPr>
            </w:pPr>
            <w:r w:rsidRPr="00136598">
              <w:rPr>
                <w:b/>
              </w:rPr>
              <w:t>Green</w:t>
            </w:r>
          </w:p>
        </w:tc>
        <w:tc>
          <w:tcPr>
            <w:tcW w:w="7938" w:type="dxa"/>
            <w:shd w:val="clear" w:color="auto" w:fill="92D050"/>
          </w:tcPr>
          <w:p w:rsidR="0050451B" w:rsidRPr="00136598" w:rsidRDefault="0050451B" w:rsidP="002E1E87">
            <w:pPr>
              <w:rPr>
                <w:b/>
              </w:rPr>
            </w:pPr>
            <w:r w:rsidRPr="00136598">
              <w:rPr>
                <w:b/>
              </w:rPr>
              <w:t xml:space="preserve">1. Stability data indicates that the drug is suitable for </w:t>
            </w:r>
            <w:r w:rsidR="00E52C6B">
              <w:rPr>
                <w:b/>
              </w:rPr>
              <w:t>M</w:t>
            </w:r>
            <w:r w:rsidRPr="00136598">
              <w:rPr>
                <w:b/>
              </w:rPr>
              <w:t>CAs and there are no theoretical concerns with the product.</w:t>
            </w:r>
          </w:p>
        </w:tc>
      </w:tr>
      <w:tr w:rsidR="0050451B" w:rsidRPr="00136598" w:rsidTr="002E1E87">
        <w:trPr>
          <w:trHeight w:val="592"/>
        </w:trPr>
        <w:tc>
          <w:tcPr>
            <w:tcW w:w="1101" w:type="dxa"/>
            <w:vMerge/>
            <w:shd w:val="clear" w:color="auto" w:fill="92D050"/>
          </w:tcPr>
          <w:p w:rsidR="0050451B" w:rsidRPr="00136598" w:rsidRDefault="0050451B" w:rsidP="002E1E87">
            <w:pPr>
              <w:rPr>
                <w:b/>
              </w:rPr>
            </w:pPr>
          </w:p>
        </w:tc>
        <w:tc>
          <w:tcPr>
            <w:tcW w:w="7938" w:type="dxa"/>
            <w:shd w:val="clear" w:color="auto" w:fill="92D050"/>
          </w:tcPr>
          <w:p w:rsidR="0050451B" w:rsidRPr="00136598" w:rsidRDefault="0050451B" w:rsidP="002E1E87">
            <w:pPr>
              <w:rPr>
                <w:b/>
              </w:rPr>
            </w:pPr>
            <w:r w:rsidRPr="00136598">
              <w:rPr>
                <w:b/>
              </w:rPr>
              <w:t>2. No stability data is available, but manufacturer suggests it is suitable for use in CAs.</w:t>
            </w:r>
          </w:p>
        </w:tc>
      </w:tr>
      <w:tr w:rsidR="0050451B" w:rsidRPr="00136598" w:rsidTr="002E1E87">
        <w:tc>
          <w:tcPr>
            <w:tcW w:w="1101" w:type="dxa"/>
            <w:vMerge w:val="restart"/>
            <w:shd w:val="clear" w:color="auto" w:fill="FFC000"/>
          </w:tcPr>
          <w:p w:rsidR="0050451B" w:rsidRPr="00136598" w:rsidRDefault="0050451B" w:rsidP="002E1E87">
            <w:pPr>
              <w:rPr>
                <w:b/>
              </w:rPr>
            </w:pPr>
            <w:r w:rsidRPr="00136598">
              <w:rPr>
                <w:b/>
              </w:rPr>
              <w:t>Amber</w:t>
            </w:r>
          </w:p>
        </w:tc>
        <w:tc>
          <w:tcPr>
            <w:tcW w:w="7938" w:type="dxa"/>
            <w:shd w:val="clear" w:color="auto" w:fill="FFC000"/>
          </w:tcPr>
          <w:p w:rsidR="0050451B" w:rsidRPr="00136598" w:rsidRDefault="0050451B" w:rsidP="002E1E87">
            <w:pPr>
              <w:rPr>
                <w:b/>
              </w:rPr>
            </w:pPr>
            <w:r w:rsidRPr="00136598">
              <w:rPr>
                <w:b/>
              </w:rPr>
              <w:t>1. Stability data is available in an alternative container (not CAs) that may be extrapolated to support storage in CAs.</w:t>
            </w:r>
          </w:p>
        </w:tc>
      </w:tr>
      <w:tr w:rsidR="0050451B" w:rsidRPr="00136598" w:rsidTr="002E1E87">
        <w:tc>
          <w:tcPr>
            <w:tcW w:w="1101" w:type="dxa"/>
            <w:vMerge/>
            <w:shd w:val="clear" w:color="auto" w:fill="FFC000"/>
          </w:tcPr>
          <w:p w:rsidR="0050451B" w:rsidRPr="00136598" w:rsidRDefault="0050451B" w:rsidP="002E1E87">
            <w:pPr>
              <w:rPr>
                <w:b/>
              </w:rPr>
            </w:pPr>
          </w:p>
        </w:tc>
        <w:tc>
          <w:tcPr>
            <w:tcW w:w="7938" w:type="dxa"/>
            <w:shd w:val="clear" w:color="auto" w:fill="FFC000"/>
          </w:tcPr>
          <w:p w:rsidR="0050451B" w:rsidRPr="00136598" w:rsidRDefault="0050451B" w:rsidP="002E1E87">
            <w:pPr>
              <w:rPr>
                <w:b/>
              </w:rPr>
            </w:pPr>
            <w:r w:rsidRPr="00136598">
              <w:rPr>
                <w:b/>
              </w:rPr>
              <w:t xml:space="preserve">2. No stability data is </w:t>
            </w:r>
            <w:proofErr w:type="gramStart"/>
            <w:r w:rsidRPr="00136598">
              <w:rPr>
                <w:b/>
              </w:rPr>
              <w:t>available,</w:t>
            </w:r>
            <w:proofErr w:type="gramEnd"/>
            <w:r w:rsidRPr="00136598">
              <w:rPr>
                <w:b/>
              </w:rPr>
              <w:t xml:space="preserve"> the manufacturer does not, or cannot recommend use in CAs but there are no theoretical concerns with the product.</w:t>
            </w:r>
          </w:p>
        </w:tc>
      </w:tr>
      <w:tr w:rsidR="0050451B" w:rsidRPr="00136598" w:rsidTr="002E1E87">
        <w:tc>
          <w:tcPr>
            <w:tcW w:w="1101" w:type="dxa"/>
            <w:vMerge/>
            <w:tcBorders>
              <w:bottom w:val="single" w:sz="4" w:space="0" w:color="auto"/>
            </w:tcBorders>
            <w:shd w:val="clear" w:color="auto" w:fill="FFC000"/>
          </w:tcPr>
          <w:p w:rsidR="0050451B" w:rsidRPr="00136598" w:rsidRDefault="0050451B" w:rsidP="002E1E87">
            <w:pPr>
              <w:rPr>
                <w:b/>
              </w:rPr>
            </w:pPr>
          </w:p>
        </w:tc>
        <w:tc>
          <w:tcPr>
            <w:tcW w:w="7938" w:type="dxa"/>
            <w:tcBorders>
              <w:bottom w:val="single" w:sz="4" w:space="0" w:color="auto"/>
            </w:tcBorders>
            <w:shd w:val="clear" w:color="auto" w:fill="FFC000"/>
          </w:tcPr>
          <w:p w:rsidR="0050451B" w:rsidRPr="00136598" w:rsidRDefault="0050451B" w:rsidP="002E1E87">
            <w:pPr>
              <w:rPr>
                <w:b/>
              </w:rPr>
            </w:pPr>
            <w:r w:rsidRPr="00136598">
              <w:rPr>
                <w:b/>
              </w:rPr>
              <w:t>3. No stability data is available. There are theoretical concerns with use in CAs, which may be mitigated by risk minimisation.</w:t>
            </w:r>
          </w:p>
        </w:tc>
      </w:tr>
      <w:tr w:rsidR="0050451B" w:rsidRPr="00136598" w:rsidTr="002E1E87">
        <w:tc>
          <w:tcPr>
            <w:tcW w:w="1101" w:type="dxa"/>
            <w:vMerge w:val="restart"/>
            <w:shd w:val="clear" w:color="auto" w:fill="FF0000"/>
          </w:tcPr>
          <w:p w:rsidR="0050451B" w:rsidRPr="00136598" w:rsidRDefault="0050451B" w:rsidP="002E1E87">
            <w:pPr>
              <w:rPr>
                <w:b/>
              </w:rPr>
            </w:pPr>
            <w:r w:rsidRPr="00136598">
              <w:rPr>
                <w:b/>
              </w:rPr>
              <w:t>Red</w:t>
            </w:r>
          </w:p>
        </w:tc>
        <w:tc>
          <w:tcPr>
            <w:tcW w:w="7938" w:type="dxa"/>
            <w:shd w:val="clear" w:color="auto" w:fill="FF0000"/>
          </w:tcPr>
          <w:p w:rsidR="0050451B" w:rsidRPr="00136598" w:rsidRDefault="0050451B" w:rsidP="002E1E87">
            <w:pPr>
              <w:rPr>
                <w:b/>
              </w:rPr>
            </w:pPr>
            <w:r w:rsidRPr="00136598">
              <w:rPr>
                <w:b/>
              </w:rPr>
              <w:t>1. Stability data indicates that the drug is not suitable for CAs.</w:t>
            </w:r>
          </w:p>
        </w:tc>
      </w:tr>
      <w:tr w:rsidR="0050451B" w:rsidRPr="00136598" w:rsidTr="002E1E87">
        <w:tc>
          <w:tcPr>
            <w:tcW w:w="1101" w:type="dxa"/>
            <w:vMerge/>
            <w:shd w:val="clear" w:color="auto" w:fill="FF0000"/>
          </w:tcPr>
          <w:p w:rsidR="0050451B" w:rsidRPr="00136598" w:rsidRDefault="0050451B" w:rsidP="002E1E87">
            <w:pPr>
              <w:rPr>
                <w:b/>
              </w:rPr>
            </w:pPr>
          </w:p>
        </w:tc>
        <w:tc>
          <w:tcPr>
            <w:tcW w:w="7938" w:type="dxa"/>
            <w:shd w:val="clear" w:color="auto" w:fill="FF0000"/>
          </w:tcPr>
          <w:p w:rsidR="0050451B" w:rsidRPr="00136598" w:rsidRDefault="0050451B" w:rsidP="002E1E87">
            <w:pPr>
              <w:rPr>
                <w:b/>
              </w:rPr>
            </w:pPr>
            <w:r w:rsidRPr="00136598">
              <w:rPr>
                <w:b/>
              </w:rPr>
              <w:t>2. Drug is not suitable for CAs due to theoretical reasons that cannot be mitigated.</w:t>
            </w:r>
          </w:p>
        </w:tc>
      </w:tr>
    </w:tbl>
    <w:p w:rsidR="00BC5E24" w:rsidRDefault="00BC5E24" w:rsidP="004717D2">
      <w:pPr>
        <w:rPr>
          <w:b/>
          <w:i/>
        </w:rPr>
      </w:pPr>
    </w:p>
    <w:p w:rsidR="002467C7" w:rsidRDefault="001D6433" w:rsidP="004717D2">
      <w:pPr>
        <w:rPr>
          <w:i/>
        </w:rPr>
      </w:pPr>
      <w:r w:rsidRPr="00BC5E24">
        <w:rPr>
          <w:b/>
          <w:i/>
        </w:rPr>
        <w:t>Suggested risk minimisation</w:t>
      </w:r>
      <w:r w:rsidRPr="00F50270">
        <w:rPr>
          <w:i/>
        </w:rPr>
        <w:t xml:space="preserve"> </w:t>
      </w:r>
      <w:r w:rsidR="006638D7" w:rsidRPr="00F50270">
        <w:rPr>
          <w:i/>
        </w:rPr>
        <w:t>–</w:t>
      </w:r>
      <w:r w:rsidRPr="00F50270">
        <w:rPr>
          <w:i/>
        </w:rPr>
        <w:t xml:space="preserve"> </w:t>
      </w:r>
      <w:r w:rsidR="006638D7" w:rsidRPr="00F50270">
        <w:rPr>
          <w:i/>
        </w:rPr>
        <w:t>it is expected that all medicines should be stored within normal temperature ranges (</w:t>
      </w:r>
      <w:r w:rsidR="00D1458E">
        <w:rPr>
          <w:i/>
        </w:rPr>
        <w:t>below</w:t>
      </w:r>
      <w:r w:rsidR="006638D7" w:rsidRPr="00F50270">
        <w:rPr>
          <w:i/>
        </w:rPr>
        <w:t xml:space="preserve"> 25 degre</w:t>
      </w:r>
      <w:r w:rsidR="00D1458E">
        <w:rPr>
          <w:i/>
        </w:rPr>
        <w:t>es C, away from direct light and in dry conditions</w:t>
      </w:r>
      <w:r w:rsidR="0050451B">
        <w:rPr>
          <w:i/>
        </w:rPr>
        <w:t xml:space="preserve"> e.g.</w:t>
      </w:r>
      <w:r w:rsidR="00BC5E24">
        <w:rPr>
          <w:i/>
        </w:rPr>
        <w:t xml:space="preserve"> </w:t>
      </w:r>
      <w:r w:rsidR="006638D7" w:rsidRPr="00F50270">
        <w:rPr>
          <w:i/>
        </w:rPr>
        <w:t xml:space="preserve">not stored in bathrooms or kitchens. The database will therefore only comment on temperature, </w:t>
      </w:r>
      <w:r w:rsidR="00D1458E">
        <w:rPr>
          <w:i/>
        </w:rPr>
        <w:t xml:space="preserve">light, </w:t>
      </w:r>
      <w:r w:rsidR="006638D7" w:rsidRPr="00F50270">
        <w:rPr>
          <w:i/>
        </w:rPr>
        <w:t>moisture and exposure to air where there have been specific references found that highlight an issue</w:t>
      </w:r>
      <w:r w:rsidR="002467C7" w:rsidRPr="00F50270">
        <w:rPr>
          <w:i/>
        </w:rPr>
        <w:t xml:space="preserve">. The database risk minimisation statements are therefore to highlight that a product requires additional consideration, over and above normal storage requirements, if being put into a </w:t>
      </w:r>
      <w:r w:rsidR="0050451B">
        <w:rPr>
          <w:i/>
        </w:rPr>
        <w:t>MCA</w:t>
      </w:r>
      <w:r w:rsidR="002467C7" w:rsidRPr="00F50270">
        <w:rPr>
          <w:i/>
        </w:rPr>
        <w:t xml:space="preserve"> and some </w:t>
      </w:r>
      <w:proofErr w:type="gramStart"/>
      <w:r w:rsidR="0050451B">
        <w:rPr>
          <w:i/>
        </w:rPr>
        <w:t xml:space="preserve">MCAs </w:t>
      </w:r>
      <w:r w:rsidR="002467C7" w:rsidRPr="00F50270">
        <w:rPr>
          <w:i/>
        </w:rPr>
        <w:t xml:space="preserve"> may</w:t>
      </w:r>
      <w:proofErr w:type="gramEnd"/>
      <w:r w:rsidR="002467C7" w:rsidRPr="00F50270">
        <w:rPr>
          <w:i/>
        </w:rPr>
        <w:t xml:space="preserve"> be less suitable than othe</w:t>
      </w:r>
      <w:r w:rsidR="00D1458E">
        <w:rPr>
          <w:i/>
        </w:rPr>
        <w:t>rs.</w:t>
      </w:r>
    </w:p>
    <w:p w:rsidR="00254C55" w:rsidRDefault="00254C55" w:rsidP="004717D2">
      <w:pPr>
        <w:rPr>
          <w:i/>
        </w:rPr>
      </w:pPr>
    </w:p>
    <w:p w:rsidR="00254C55" w:rsidRPr="00F50270" w:rsidRDefault="00254C55" w:rsidP="004717D2">
      <w:pPr>
        <w:rPr>
          <w:i/>
        </w:rPr>
      </w:pPr>
    </w:p>
    <w:p w:rsidR="002467C7" w:rsidRPr="00254C55" w:rsidRDefault="0027436A" w:rsidP="00254C55">
      <w:pPr>
        <w:pStyle w:val="ListParagraph"/>
        <w:numPr>
          <w:ilvl w:val="0"/>
          <w:numId w:val="10"/>
        </w:numPr>
        <w:spacing w:after="0"/>
        <w:rPr>
          <w:i/>
        </w:rPr>
      </w:pPr>
      <w:r w:rsidRPr="00254C55">
        <w:rPr>
          <w:b/>
          <w:i/>
        </w:rPr>
        <w:lastRenderedPageBreak/>
        <w:t>P</w:t>
      </w:r>
      <w:r w:rsidR="006638D7" w:rsidRPr="00254C55">
        <w:rPr>
          <w:b/>
          <w:i/>
        </w:rPr>
        <w:t>rotect from moisture</w:t>
      </w:r>
      <w:r w:rsidR="006638D7" w:rsidRPr="00254C55">
        <w:rPr>
          <w:i/>
        </w:rPr>
        <w:t xml:space="preserve"> – </w:t>
      </w:r>
      <w:r w:rsidR="002467C7" w:rsidRPr="00254C55">
        <w:rPr>
          <w:i/>
        </w:rPr>
        <w:t>the product must not be exposed to additional moisture</w:t>
      </w:r>
    </w:p>
    <w:p w:rsidR="00254C55" w:rsidRPr="00254C55" w:rsidRDefault="00254C55" w:rsidP="00254C55">
      <w:pPr>
        <w:spacing w:after="0"/>
        <w:rPr>
          <w:i/>
        </w:rPr>
      </w:pPr>
    </w:p>
    <w:p w:rsidR="001D6433" w:rsidRPr="00254C55" w:rsidRDefault="0027436A" w:rsidP="00254C55">
      <w:pPr>
        <w:pStyle w:val="ListParagraph"/>
        <w:numPr>
          <w:ilvl w:val="0"/>
          <w:numId w:val="10"/>
        </w:numPr>
        <w:spacing w:after="0"/>
        <w:rPr>
          <w:i/>
        </w:rPr>
      </w:pPr>
      <w:r w:rsidRPr="00254C55">
        <w:rPr>
          <w:b/>
          <w:i/>
        </w:rPr>
        <w:t>P</w:t>
      </w:r>
      <w:r w:rsidR="002467C7" w:rsidRPr="00254C55">
        <w:rPr>
          <w:b/>
          <w:i/>
        </w:rPr>
        <w:t>rotect from light</w:t>
      </w:r>
      <w:r w:rsidR="002467C7" w:rsidRPr="00254C55">
        <w:rPr>
          <w:i/>
        </w:rPr>
        <w:t xml:space="preserve"> – the product should be stored in dark conditions for the majority of the time</w:t>
      </w:r>
      <w:r w:rsidR="006638D7" w:rsidRPr="00254C55">
        <w:rPr>
          <w:i/>
        </w:rPr>
        <w:t xml:space="preserve"> </w:t>
      </w:r>
    </w:p>
    <w:p w:rsidR="00254C55" w:rsidRPr="00254C55" w:rsidRDefault="00254C55" w:rsidP="00254C55">
      <w:pPr>
        <w:spacing w:after="0"/>
        <w:rPr>
          <w:i/>
        </w:rPr>
      </w:pPr>
    </w:p>
    <w:p w:rsidR="006638D7" w:rsidRPr="00254C55" w:rsidRDefault="002467C7" w:rsidP="00254C55">
      <w:pPr>
        <w:pStyle w:val="ListParagraph"/>
        <w:numPr>
          <w:ilvl w:val="0"/>
          <w:numId w:val="10"/>
        </w:numPr>
        <w:spacing w:after="0"/>
        <w:rPr>
          <w:i/>
        </w:rPr>
      </w:pPr>
      <w:r w:rsidRPr="00254C55">
        <w:rPr>
          <w:b/>
          <w:i/>
        </w:rPr>
        <w:t>Airtight container</w:t>
      </w:r>
      <w:r w:rsidRPr="00254C55">
        <w:rPr>
          <w:i/>
        </w:rPr>
        <w:t xml:space="preserve"> – the MCA used should be airtight</w:t>
      </w:r>
    </w:p>
    <w:p w:rsidR="00254C55" w:rsidRPr="00254C55" w:rsidRDefault="00254C55" w:rsidP="00254C55">
      <w:pPr>
        <w:spacing w:after="0"/>
        <w:rPr>
          <w:i/>
        </w:rPr>
      </w:pPr>
    </w:p>
    <w:p w:rsidR="002467C7" w:rsidRPr="00254C55" w:rsidRDefault="002467C7" w:rsidP="00254C55">
      <w:pPr>
        <w:pStyle w:val="ListParagraph"/>
        <w:numPr>
          <w:ilvl w:val="0"/>
          <w:numId w:val="10"/>
        </w:numPr>
        <w:spacing w:after="0"/>
        <w:rPr>
          <w:i/>
        </w:rPr>
      </w:pPr>
      <w:r w:rsidRPr="00254C55">
        <w:rPr>
          <w:b/>
          <w:i/>
        </w:rPr>
        <w:t>Protect from heat</w:t>
      </w:r>
      <w:r w:rsidRPr="00254C55">
        <w:rPr>
          <w:i/>
        </w:rPr>
        <w:t xml:space="preserve"> – </w:t>
      </w:r>
      <w:r w:rsidR="00B276FF" w:rsidRPr="00254C55">
        <w:rPr>
          <w:i/>
        </w:rPr>
        <w:t>there is a specific issue outside of standard storage conditions that needs to be considered</w:t>
      </w:r>
    </w:p>
    <w:p w:rsidR="00254C55" w:rsidRPr="00254C55" w:rsidRDefault="00254C55" w:rsidP="00254C55">
      <w:pPr>
        <w:spacing w:after="0"/>
        <w:rPr>
          <w:i/>
        </w:rPr>
      </w:pPr>
    </w:p>
    <w:p w:rsidR="00F50270" w:rsidRPr="00254C55" w:rsidRDefault="00F50270" w:rsidP="00254C55">
      <w:pPr>
        <w:pStyle w:val="ListParagraph"/>
        <w:numPr>
          <w:ilvl w:val="0"/>
          <w:numId w:val="10"/>
        </w:numPr>
        <w:spacing w:after="0"/>
        <w:rPr>
          <w:i/>
        </w:rPr>
      </w:pPr>
      <w:r w:rsidRPr="00254C55">
        <w:rPr>
          <w:b/>
          <w:i/>
        </w:rPr>
        <w:t>Unsuitable –</w:t>
      </w:r>
      <w:r w:rsidR="00D1458E" w:rsidRPr="00254C55">
        <w:rPr>
          <w:i/>
        </w:rPr>
        <w:t>transfer to a MCA</w:t>
      </w:r>
      <w:r w:rsidR="0050451B" w:rsidRPr="00254C55">
        <w:rPr>
          <w:i/>
        </w:rPr>
        <w:t xml:space="preserve"> is not recommended</w:t>
      </w:r>
    </w:p>
    <w:p w:rsidR="00254C55" w:rsidRPr="00254C55" w:rsidRDefault="00254C55" w:rsidP="00254C55">
      <w:pPr>
        <w:spacing w:after="0"/>
        <w:rPr>
          <w:i/>
        </w:rPr>
      </w:pPr>
    </w:p>
    <w:p w:rsidR="002467C7" w:rsidRPr="00254C55" w:rsidRDefault="002467C7" w:rsidP="00254C55">
      <w:pPr>
        <w:pStyle w:val="ListParagraph"/>
        <w:numPr>
          <w:ilvl w:val="0"/>
          <w:numId w:val="10"/>
        </w:numPr>
        <w:spacing w:after="0"/>
        <w:rPr>
          <w:i/>
        </w:rPr>
      </w:pPr>
      <w:r w:rsidRPr="00254C55">
        <w:rPr>
          <w:b/>
          <w:i/>
        </w:rPr>
        <w:t>No special precautions for storage</w:t>
      </w:r>
      <w:r w:rsidRPr="00254C55">
        <w:rPr>
          <w:i/>
        </w:rPr>
        <w:t xml:space="preserve"> – most manufacturers will state that if kept in the original pack there are no special precautions for storage of a produce. By removing a product from the original pack to put into a MCA, most manufacturers will state that they cannot guarantee stability. </w:t>
      </w:r>
    </w:p>
    <w:p w:rsidR="00BC5E24" w:rsidRDefault="00BC5E24" w:rsidP="00136598">
      <w:pPr>
        <w:spacing w:after="0"/>
        <w:rPr>
          <w:i/>
        </w:rPr>
      </w:pPr>
    </w:p>
    <w:p w:rsidR="00BC5E24" w:rsidRDefault="00BC5E24" w:rsidP="00136598">
      <w:pPr>
        <w:spacing w:after="0"/>
        <w:rPr>
          <w:i/>
        </w:rPr>
      </w:pPr>
      <w:r>
        <w:rPr>
          <w:i/>
        </w:rPr>
        <w:t xml:space="preserve">The </w:t>
      </w:r>
      <w:r w:rsidR="00254C55">
        <w:rPr>
          <w:i/>
        </w:rPr>
        <w:t>information about MCA stability for each drug</w:t>
      </w:r>
      <w:r>
        <w:rPr>
          <w:i/>
        </w:rPr>
        <w:t xml:space="preserve"> describes the risks associated with individual preparations. It </w:t>
      </w:r>
      <w:r w:rsidRPr="00254C55">
        <w:rPr>
          <w:i/>
          <w:u w:val="single"/>
        </w:rPr>
        <w:t>does not</w:t>
      </w:r>
      <w:r>
        <w:rPr>
          <w:i/>
        </w:rPr>
        <w:t xml:space="preserve"> consider the effect that having multiple medicines in a MCA, for example if one drug may affect the stability of another drug within the MCA </w:t>
      </w:r>
      <w:proofErr w:type="spellStart"/>
      <w:r>
        <w:rPr>
          <w:i/>
        </w:rPr>
        <w:t>e.g</w:t>
      </w:r>
      <w:proofErr w:type="spellEnd"/>
      <w:r>
        <w:rPr>
          <w:i/>
        </w:rPr>
        <w:t xml:space="preserve"> the water content of some </w:t>
      </w:r>
      <w:proofErr w:type="spellStart"/>
      <w:r>
        <w:rPr>
          <w:i/>
        </w:rPr>
        <w:t>gelatin</w:t>
      </w:r>
      <w:proofErr w:type="spellEnd"/>
      <w:r>
        <w:rPr>
          <w:i/>
        </w:rPr>
        <w:t xml:space="preserve"> capsules may affect the stability of moisture sensitive drugs</w:t>
      </w:r>
    </w:p>
    <w:p w:rsidR="00BC5E24" w:rsidRDefault="00BC5E24" w:rsidP="00136598">
      <w:pPr>
        <w:spacing w:after="0"/>
        <w:rPr>
          <w:i/>
        </w:rPr>
      </w:pPr>
    </w:p>
    <w:p w:rsidR="00BC5E24" w:rsidRDefault="00BC5E24" w:rsidP="00136598">
      <w:pPr>
        <w:spacing w:after="0"/>
        <w:rPr>
          <w:i/>
        </w:rPr>
      </w:pPr>
    </w:p>
    <w:p w:rsidR="00BC5E24" w:rsidRDefault="00BC5E24" w:rsidP="00BC5E24">
      <w:pPr>
        <w:rPr>
          <w:b/>
          <w:i/>
        </w:rPr>
      </w:pPr>
      <w:r>
        <w:rPr>
          <w:b/>
          <w:i/>
        </w:rPr>
        <w:t xml:space="preserve">Date prepared 4/10/2013     Authors: Trevor Beswick and Tiffany Barrett, SWMIT      </w:t>
      </w:r>
      <w:r w:rsidR="00254C55">
        <w:rPr>
          <w:b/>
          <w:i/>
        </w:rPr>
        <w:t xml:space="preserve"> </w:t>
      </w:r>
      <w:r>
        <w:rPr>
          <w:b/>
          <w:i/>
        </w:rPr>
        <w:t xml:space="preserve">Version1 </w:t>
      </w:r>
    </w:p>
    <w:p w:rsidR="00E4516C" w:rsidRDefault="00E4516C" w:rsidP="00E4516C">
      <w:pPr>
        <w:rPr>
          <w:b/>
          <w:i/>
        </w:rPr>
      </w:pPr>
      <w:r>
        <w:rPr>
          <w:b/>
          <w:i/>
        </w:rPr>
        <w:t>Updated 18/7/</w:t>
      </w:r>
      <w:r w:rsidR="002A73A6">
        <w:rPr>
          <w:b/>
          <w:i/>
        </w:rPr>
        <w:t>20</w:t>
      </w:r>
      <w:r>
        <w:rPr>
          <w:b/>
          <w:i/>
        </w:rPr>
        <w:t>14                Authors: Trevor Beswick and Tiffany Barrett, SWMIT       Version 2</w:t>
      </w:r>
    </w:p>
    <w:p w:rsidR="00BC5E24" w:rsidRDefault="003477D3" w:rsidP="00136598">
      <w:pPr>
        <w:spacing w:after="0"/>
        <w:rPr>
          <w:i/>
        </w:rPr>
      </w:pPr>
      <w:r>
        <w:rPr>
          <w:b/>
          <w:i/>
        </w:rPr>
        <w:t>Updated 24/9/</w:t>
      </w:r>
      <w:r w:rsidR="002A73A6">
        <w:rPr>
          <w:b/>
          <w:i/>
        </w:rPr>
        <w:t>20</w:t>
      </w:r>
      <w:r>
        <w:rPr>
          <w:b/>
          <w:i/>
        </w:rPr>
        <w:t>14                Authors: Trevor Beswick and Tiffany Barrett, SWMIT       Version 3</w:t>
      </w:r>
    </w:p>
    <w:p w:rsidR="00BC5E24" w:rsidRDefault="00BC5E24" w:rsidP="00136598">
      <w:pPr>
        <w:spacing w:after="0"/>
        <w:rPr>
          <w:i/>
        </w:rPr>
      </w:pPr>
    </w:p>
    <w:p w:rsidR="00254C55" w:rsidRDefault="00254C55" w:rsidP="00254C55">
      <w:pPr>
        <w:rPr>
          <w:b/>
          <w:i/>
        </w:rPr>
      </w:pPr>
      <w:r>
        <w:rPr>
          <w:b/>
          <w:i/>
        </w:rPr>
        <w:t xml:space="preserve">Updated 5/8/2016                  </w:t>
      </w:r>
      <w:r w:rsidRPr="00FA77E5">
        <w:rPr>
          <w:b/>
          <w:i/>
        </w:rPr>
        <w:t xml:space="preserve">Authors: Trevor Beswick and Tiffany Barrett, SWMIT       Version </w:t>
      </w:r>
      <w:r>
        <w:rPr>
          <w:b/>
          <w:i/>
        </w:rPr>
        <w:t>4</w:t>
      </w:r>
    </w:p>
    <w:p w:rsidR="00792AA6" w:rsidRDefault="00792AA6" w:rsidP="00792AA6">
      <w:pPr>
        <w:rPr>
          <w:b/>
          <w:i/>
        </w:rPr>
      </w:pPr>
      <w:r>
        <w:rPr>
          <w:b/>
          <w:i/>
        </w:rPr>
        <w:t>Updated 4/7/2019</w:t>
      </w:r>
      <w:r>
        <w:rPr>
          <w:b/>
          <w:i/>
        </w:rPr>
        <w:tab/>
        <w:t xml:space="preserve">        Author: Tiffany Barrett, SWMI                                                Version 5</w:t>
      </w:r>
      <w:r>
        <w:rPr>
          <w:b/>
          <w:i/>
        </w:rPr>
        <w:tab/>
      </w:r>
    </w:p>
    <w:p w:rsidR="00254C55" w:rsidRPr="00F50270" w:rsidRDefault="00254C55" w:rsidP="00136598">
      <w:pPr>
        <w:spacing w:after="0"/>
        <w:rPr>
          <w:i/>
        </w:rPr>
      </w:pPr>
    </w:p>
    <w:sectPr w:rsidR="00254C55" w:rsidRPr="00F50270" w:rsidSect="00BC5E24">
      <w:headerReference w:type="default" r:id="rId24"/>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F0" w:rsidRDefault="001F1BF0" w:rsidP="00136598">
      <w:pPr>
        <w:spacing w:after="0" w:line="240" w:lineRule="auto"/>
      </w:pPr>
      <w:r>
        <w:separator/>
      </w:r>
    </w:p>
  </w:endnote>
  <w:endnote w:type="continuationSeparator" w:id="0">
    <w:p w:rsidR="001F1BF0" w:rsidRDefault="001F1BF0" w:rsidP="0013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F0" w:rsidRDefault="001F1BF0" w:rsidP="00136598">
      <w:pPr>
        <w:spacing w:after="0" w:line="240" w:lineRule="auto"/>
      </w:pPr>
      <w:r>
        <w:separator/>
      </w:r>
    </w:p>
  </w:footnote>
  <w:footnote w:type="continuationSeparator" w:id="0">
    <w:p w:rsidR="001F1BF0" w:rsidRDefault="001F1BF0" w:rsidP="00136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F0" w:rsidRDefault="001F1BF0" w:rsidP="00D856D6">
    <w:pPr>
      <w:spacing w:after="0" w:line="240" w:lineRule="auto"/>
      <w:ind w:left="141" w:right="-471" w:hanging="1559"/>
      <w:rPr>
        <w:rFonts w:ascii="Arial" w:eastAsia="Times New Roman" w:hAnsi="Arial" w:cs="Arial"/>
        <w:sz w:val="30"/>
        <w:szCs w:val="20"/>
      </w:rPr>
    </w:pPr>
    <w:r w:rsidRPr="00D856D6">
      <w:rPr>
        <w:noProof/>
        <w:lang w:eastAsia="en-GB"/>
      </w:rPr>
      <w:drawing>
        <wp:anchor distT="0" distB="0" distL="114300" distR="114300" simplePos="0" relativeHeight="251658240" behindDoc="0" locked="0" layoutInCell="1" allowOverlap="1" wp14:anchorId="7FE00564" wp14:editId="503BB88D">
          <wp:simplePos x="0" y="0"/>
          <wp:positionH relativeFrom="column">
            <wp:posOffset>9525</wp:posOffset>
          </wp:positionH>
          <wp:positionV relativeFrom="paragraph">
            <wp:posOffset>-1905</wp:posOffset>
          </wp:positionV>
          <wp:extent cx="962025" cy="5346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128" cy="5358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A6C8022" wp14:editId="1F7C5545">
          <wp:simplePos x="0" y="0"/>
          <wp:positionH relativeFrom="column">
            <wp:posOffset>5124450</wp:posOffset>
          </wp:positionH>
          <wp:positionV relativeFrom="page">
            <wp:posOffset>504825</wp:posOffset>
          </wp:positionV>
          <wp:extent cx="820420" cy="417195"/>
          <wp:effectExtent l="0" t="0" r="0" b="1905"/>
          <wp:wrapSquare wrapText="bothSides"/>
          <wp:docPr id="9" name="Picture 9" descr="NHS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042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30"/>
        <w:szCs w:val="20"/>
      </w:rPr>
      <w:t xml:space="preserve">                                                                         S</w:t>
    </w:r>
    <w:r w:rsidRPr="008D6F55">
      <w:rPr>
        <w:rFonts w:ascii="Arial" w:eastAsia="Times New Roman" w:hAnsi="Arial" w:cs="Arial"/>
        <w:sz w:val="30"/>
        <w:szCs w:val="20"/>
      </w:rPr>
      <w:t>outh West Medicines</w:t>
    </w:r>
    <w:r>
      <w:rPr>
        <w:rFonts w:ascii="Arial" w:eastAsia="Times New Roman" w:hAnsi="Arial" w:cs="Arial"/>
        <w:sz w:val="30"/>
        <w:szCs w:val="20"/>
      </w:rPr>
      <w:t xml:space="preserve">  </w:t>
    </w:r>
  </w:p>
  <w:p w:rsidR="001F1BF0" w:rsidRDefault="001F1BF0" w:rsidP="00D856D6">
    <w:pPr>
      <w:ind w:right="-472"/>
      <w:rPr>
        <w:rFonts w:ascii="Arial" w:eastAsia="Times New Roman" w:hAnsi="Arial" w:cs="Arial"/>
        <w:sz w:val="30"/>
        <w:szCs w:val="20"/>
      </w:rPr>
    </w:pPr>
    <w:r>
      <w:rPr>
        <w:rFonts w:ascii="Arial" w:eastAsia="Times New Roman" w:hAnsi="Arial" w:cs="Arial"/>
        <w:sz w:val="30"/>
        <w:szCs w:val="20"/>
      </w:rPr>
      <w:t xml:space="preserve">                                                        </w:t>
    </w:r>
    <w:r w:rsidRPr="008D6F55">
      <w:rPr>
        <w:rFonts w:ascii="Arial" w:eastAsia="Times New Roman" w:hAnsi="Arial" w:cs="Arial"/>
        <w:sz w:val="30"/>
        <w:szCs w:val="20"/>
      </w:rPr>
      <w:t xml:space="preserve">Information </w:t>
    </w:r>
  </w:p>
  <w:p w:rsidR="001F1BF0" w:rsidRPr="008D6F55" w:rsidRDefault="001F1BF0" w:rsidP="008D6F55">
    <w:pPr>
      <w:ind w:left="142"/>
      <w:rPr>
        <w:rFonts w:ascii="Arial" w:eastAsia="Times New Roman" w:hAnsi="Arial" w:cs="Arial"/>
        <w:sz w:val="30"/>
        <w:szCs w:val="20"/>
      </w:rPr>
    </w:pPr>
    <w:r>
      <w:rPr>
        <w:rFonts w:ascii="Arial" w:eastAsia="Times New Roman" w:hAnsi="Arial" w:cs="Arial"/>
        <w:sz w:val="30"/>
        <w:szCs w:val="20"/>
      </w:rPr>
      <w:t xml:space="preserve">     </w:t>
    </w:r>
    <w:r w:rsidRPr="008D6F55">
      <w:rPr>
        <w:rFonts w:ascii="Arial" w:eastAsia="Times New Roman" w:hAnsi="Arial" w:cs="Arial"/>
        <w:sz w:val="3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878"/>
    <w:multiLevelType w:val="hybridMultilevel"/>
    <w:tmpl w:val="43F4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87053"/>
    <w:multiLevelType w:val="hybridMultilevel"/>
    <w:tmpl w:val="D9A6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71C1B"/>
    <w:multiLevelType w:val="hybridMultilevel"/>
    <w:tmpl w:val="FDD2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BA05FB"/>
    <w:multiLevelType w:val="hybridMultilevel"/>
    <w:tmpl w:val="33D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960956"/>
    <w:multiLevelType w:val="hybridMultilevel"/>
    <w:tmpl w:val="D81E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454A1"/>
    <w:multiLevelType w:val="hybridMultilevel"/>
    <w:tmpl w:val="89E6E8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D2669A"/>
    <w:multiLevelType w:val="hybridMultilevel"/>
    <w:tmpl w:val="D7A4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F57B13"/>
    <w:multiLevelType w:val="hybridMultilevel"/>
    <w:tmpl w:val="98626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915EB9"/>
    <w:multiLevelType w:val="hybridMultilevel"/>
    <w:tmpl w:val="17A460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8E0D98"/>
    <w:multiLevelType w:val="hybridMultilevel"/>
    <w:tmpl w:val="87EA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4"/>
  </w:num>
  <w:num w:numId="6">
    <w:abstractNumId w:val="8"/>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D2"/>
    <w:rsid w:val="00016313"/>
    <w:rsid w:val="00057D6B"/>
    <w:rsid w:val="00063C44"/>
    <w:rsid w:val="000D0545"/>
    <w:rsid w:val="00136598"/>
    <w:rsid w:val="0016361A"/>
    <w:rsid w:val="001C4917"/>
    <w:rsid w:val="001D6433"/>
    <w:rsid w:val="001F1BF0"/>
    <w:rsid w:val="00226190"/>
    <w:rsid w:val="002467C7"/>
    <w:rsid w:val="00254C55"/>
    <w:rsid w:val="0027436A"/>
    <w:rsid w:val="00277B65"/>
    <w:rsid w:val="002A73A6"/>
    <w:rsid w:val="002D0B37"/>
    <w:rsid w:val="002E1E87"/>
    <w:rsid w:val="00310CEA"/>
    <w:rsid w:val="00336ACD"/>
    <w:rsid w:val="003477D3"/>
    <w:rsid w:val="00352F47"/>
    <w:rsid w:val="0035379D"/>
    <w:rsid w:val="004410AE"/>
    <w:rsid w:val="00457D2D"/>
    <w:rsid w:val="004717D2"/>
    <w:rsid w:val="0050451B"/>
    <w:rsid w:val="00521218"/>
    <w:rsid w:val="005C0040"/>
    <w:rsid w:val="005C6BD0"/>
    <w:rsid w:val="006638D7"/>
    <w:rsid w:val="00671D85"/>
    <w:rsid w:val="006A1D9C"/>
    <w:rsid w:val="00742A4B"/>
    <w:rsid w:val="00757D58"/>
    <w:rsid w:val="00792AA6"/>
    <w:rsid w:val="00824623"/>
    <w:rsid w:val="0087498D"/>
    <w:rsid w:val="00877181"/>
    <w:rsid w:val="00891E49"/>
    <w:rsid w:val="0089756E"/>
    <w:rsid w:val="008D6F55"/>
    <w:rsid w:val="009571B8"/>
    <w:rsid w:val="00983F89"/>
    <w:rsid w:val="00993213"/>
    <w:rsid w:val="009A1D86"/>
    <w:rsid w:val="00A22420"/>
    <w:rsid w:val="00A60234"/>
    <w:rsid w:val="00B15678"/>
    <w:rsid w:val="00B276FF"/>
    <w:rsid w:val="00B8114D"/>
    <w:rsid w:val="00BC5E24"/>
    <w:rsid w:val="00BC7405"/>
    <w:rsid w:val="00C11609"/>
    <w:rsid w:val="00C26D44"/>
    <w:rsid w:val="00CA2B44"/>
    <w:rsid w:val="00CC1FA0"/>
    <w:rsid w:val="00D1458E"/>
    <w:rsid w:val="00D55B4C"/>
    <w:rsid w:val="00D856D6"/>
    <w:rsid w:val="00E061FD"/>
    <w:rsid w:val="00E237E3"/>
    <w:rsid w:val="00E4516C"/>
    <w:rsid w:val="00E52C6B"/>
    <w:rsid w:val="00E5619F"/>
    <w:rsid w:val="00E75CDD"/>
    <w:rsid w:val="00EA0315"/>
    <w:rsid w:val="00EB33A7"/>
    <w:rsid w:val="00EF42E4"/>
    <w:rsid w:val="00F326BF"/>
    <w:rsid w:val="00F50270"/>
    <w:rsid w:val="00FA77E5"/>
    <w:rsid w:val="00FE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D2"/>
    <w:pPr>
      <w:ind w:left="720"/>
      <w:contextualSpacing/>
    </w:pPr>
  </w:style>
  <w:style w:type="table" w:styleId="TableGrid">
    <w:name w:val="Table Grid"/>
    <w:basedOn w:val="TableNormal"/>
    <w:uiPriority w:val="59"/>
    <w:rsid w:val="001D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545"/>
    <w:rPr>
      <w:color w:val="0000FF"/>
      <w:u w:val="single"/>
    </w:rPr>
  </w:style>
  <w:style w:type="paragraph" w:styleId="Header">
    <w:name w:val="header"/>
    <w:basedOn w:val="Normal"/>
    <w:link w:val="HeaderChar"/>
    <w:uiPriority w:val="99"/>
    <w:unhideWhenUsed/>
    <w:rsid w:val="0013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598"/>
  </w:style>
  <w:style w:type="paragraph" w:styleId="Footer">
    <w:name w:val="footer"/>
    <w:basedOn w:val="Normal"/>
    <w:link w:val="FooterChar"/>
    <w:uiPriority w:val="99"/>
    <w:unhideWhenUsed/>
    <w:rsid w:val="0013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598"/>
  </w:style>
  <w:style w:type="character" w:styleId="FollowedHyperlink">
    <w:name w:val="FollowedHyperlink"/>
    <w:basedOn w:val="DefaultParagraphFont"/>
    <w:uiPriority w:val="99"/>
    <w:semiHidden/>
    <w:unhideWhenUsed/>
    <w:rsid w:val="001C4917"/>
    <w:rPr>
      <w:color w:val="800080" w:themeColor="followedHyperlink"/>
      <w:u w:val="single"/>
    </w:rPr>
  </w:style>
  <w:style w:type="character" w:styleId="CommentReference">
    <w:name w:val="annotation reference"/>
    <w:basedOn w:val="DefaultParagraphFont"/>
    <w:uiPriority w:val="99"/>
    <w:semiHidden/>
    <w:unhideWhenUsed/>
    <w:rsid w:val="00057D6B"/>
    <w:rPr>
      <w:sz w:val="16"/>
      <w:szCs w:val="16"/>
    </w:rPr>
  </w:style>
  <w:style w:type="paragraph" w:styleId="CommentText">
    <w:name w:val="annotation text"/>
    <w:basedOn w:val="Normal"/>
    <w:link w:val="CommentTextChar"/>
    <w:uiPriority w:val="99"/>
    <w:semiHidden/>
    <w:unhideWhenUsed/>
    <w:rsid w:val="00057D6B"/>
    <w:pPr>
      <w:spacing w:line="240" w:lineRule="auto"/>
    </w:pPr>
    <w:rPr>
      <w:sz w:val="20"/>
      <w:szCs w:val="20"/>
    </w:rPr>
  </w:style>
  <w:style w:type="character" w:customStyle="1" w:styleId="CommentTextChar">
    <w:name w:val="Comment Text Char"/>
    <w:basedOn w:val="DefaultParagraphFont"/>
    <w:link w:val="CommentText"/>
    <w:uiPriority w:val="99"/>
    <w:semiHidden/>
    <w:rsid w:val="00057D6B"/>
    <w:rPr>
      <w:sz w:val="20"/>
      <w:szCs w:val="20"/>
    </w:rPr>
  </w:style>
  <w:style w:type="paragraph" w:styleId="CommentSubject">
    <w:name w:val="annotation subject"/>
    <w:basedOn w:val="CommentText"/>
    <w:next w:val="CommentText"/>
    <w:link w:val="CommentSubjectChar"/>
    <w:uiPriority w:val="99"/>
    <w:semiHidden/>
    <w:unhideWhenUsed/>
    <w:rsid w:val="00057D6B"/>
    <w:rPr>
      <w:b/>
      <w:bCs/>
    </w:rPr>
  </w:style>
  <w:style w:type="character" w:customStyle="1" w:styleId="CommentSubjectChar">
    <w:name w:val="Comment Subject Char"/>
    <w:basedOn w:val="CommentTextChar"/>
    <w:link w:val="CommentSubject"/>
    <w:uiPriority w:val="99"/>
    <w:semiHidden/>
    <w:rsid w:val="00057D6B"/>
    <w:rPr>
      <w:b/>
      <w:bCs/>
      <w:sz w:val="20"/>
      <w:szCs w:val="20"/>
    </w:rPr>
  </w:style>
  <w:style w:type="paragraph" w:styleId="BalloonText">
    <w:name w:val="Balloon Text"/>
    <w:basedOn w:val="Normal"/>
    <w:link w:val="BalloonTextChar"/>
    <w:uiPriority w:val="99"/>
    <w:semiHidden/>
    <w:unhideWhenUsed/>
    <w:rsid w:val="0005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6B"/>
    <w:rPr>
      <w:rFonts w:ascii="Tahoma" w:hAnsi="Tahoma" w:cs="Tahoma"/>
      <w:sz w:val="16"/>
      <w:szCs w:val="16"/>
    </w:rPr>
  </w:style>
  <w:style w:type="character" w:customStyle="1" w:styleId="apple-converted-space">
    <w:name w:val="apple-converted-space"/>
    <w:basedOn w:val="DefaultParagraphFont"/>
    <w:rsid w:val="002E1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D2"/>
    <w:pPr>
      <w:ind w:left="720"/>
      <w:contextualSpacing/>
    </w:pPr>
  </w:style>
  <w:style w:type="table" w:styleId="TableGrid">
    <w:name w:val="Table Grid"/>
    <w:basedOn w:val="TableNormal"/>
    <w:uiPriority w:val="59"/>
    <w:rsid w:val="001D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0545"/>
    <w:rPr>
      <w:color w:val="0000FF"/>
      <w:u w:val="single"/>
    </w:rPr>
  </w:style>
  <w:style w:type="paragraph" w:styleId="Header">
    <w:name w:val="header"/>
    <w:basedOn w:val="Normal"/>
    <w:link w:val="HeaderChar"/>
    <w:uiPriority w:val="99"/>
    <w:unhideWhenUsed/>
    <w:rsid w:val="0013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598"/>
  </w:style>
  <w:style w:type="paragraph" w:styleId="Footer">
    <w:name w:val="footer"/>
    <w:basedOn w:val="Normal"/>
    <w:link w:val="FooterChar"/>
    <w:uiPriority w:val="99"/>
    <w:unhideWhenUsed/>
    <w:rsid w:val="0013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598"/>
  </w:style>
  <w:style w:type="character" w:styleId="FollowedHyperlink">
    <w:name w:val="FollowedHyperlink"/>
    <w:basedOn w:val="DefaultParagraphFont"/>
    <w:uiPriority w:val="99"/>
    <w:semiHidden/>
    <w:unhideWhenUsed/>
    <w:rsid w:val="001C4917"/>
    <w:rPr>
      <w:color w:val="800080" w:themeColor="followedHyperlink"/>
      <w:u w:val="single"/>
    </w:rPr>
  </w:style>
  <w:style w:type="character" w:styleId="CommentReference">
    <w:name w:val="annotation reference"/>
    <w:basedOn w:val="DefaultParagraphFont"/>
    <w:uiPriority w:val="99"/>
    <w:semiHidden/>
    <w:unhideWhenUsed/>
    <w:rsid w:val="00057D6B"/>
    <w:rPr>
      <w:sz w:val="16"/>
      <w:szCs w:val="16"/>
    </w:rPr>
  </w:style>
  <w:style w:type="paragraph" w:styleId="CommentText">
    <w:name w:val="annotation text"/>
    <w:basedOn w:val="Normal"/>
    <w:link w:val="CommentTextChar"/>
    <w:uiPriority w:val="99"/>
    <w:semiHidden/>
    <w:unhideWhenUsed/>
    <w:rsid w:val="00057D6B"/>
    <w:pPr>
      <w:spacing w:line="240" w:lineRule="auto"/>
    </w:pPr>
    <w:rPr>
      <w:sz w:val="20"/>
      <w:szCs w:val="20"/>
    </w:rPr>
  </w:style>
  <w:style w:type="character" w:customStyle="1" w:styleId="CommentTextChar">
    <w:name w:val="Comment Text Char"/>
    <w:basedOn w:val="DefaultParagraphFont"/>
    <w:link w:val="CommentText"/>
    <w:uiPriority w:val="99"/>
    <w:semiHidden/>
    <w:rsid w:val="00057D6B"/>
    <w:rPr>
      <w:sz w:val="20"/>
      <w:szCs w:val="20"/>
    </w:rPr>
  </w:style>
  <w:style w:type="paragraph" w:styleId="CommentSubject">
    <w:name w:val="annotation subject"/>
    <w:basedOn w:val="CommentText"/>
    <w:next w:val="CommentText"/>
    <w:link w:val="CommentSubjectChar"/>
    <w:uiPriority w:val="99"/>
    <w:semiHidden/>
    <w:unhideWhenUsed/>
    <w:rsid w:val="00057D6B"/>
    <w:rPr>
      <w:b/>
      <w:bCs/>
    </w:rPr>
  </w:style>
  <w:style w:type="character" w:customStyle="1" w:styleId="CommentSubjectChar">
    <w:name w:val="Comment Subject Char"/>
    <w:basedOn w:val="CommentTextChar"/>
    <w:link w:val="CommentSubject"/>
    <w:uiPriority w:val="99"/>
    <w:semiHidden/>
    <w:rsid w:val="00057D6B"/>
    <w:rPr>
      <w:b/>
      <w:bCs/>
      <w:sz w:val="20"/>
      <w:szCs w:val="20"/>
    </w:rPr>
  </w:style>
  <w:style w:type="paragraph" w:styleId="BalloonText">
    <w:name w:val="Balloon Text"/>
    <w:basedOn w:val="Normal"/>
    <w:link w:val="BalloonTextChar"/>
    <w:uiPriority w:val="99"/>
    <w:semiHidden/>
    <w:unhideWhenUsed/>
    <w:rsid w:val="0005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6B"/>
    <w:rPr>
      <w:rFonts w:ascii="Tahoma" w:hAnsi="Tahoma" w:cs="Tahoma"/>
      <w:sz w:val="16"/>
      <w:szCs w:val="16"/>
    </w:rPr>
  </w:style>
  <w:style w:type="character" w:customStyle="1" w:styleId="apple-converted-space">
    <w:name w:val="apple-converted-space"/>
    <w:basedOn w:val="DefaultParagraphFont"/>
    <w:rsid w:val="002E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59174">
      <w:bodyDiv w:val="1"/>
      <w:marLeft w:val="0"/>
      <w:marRight w:val="0"/>
      <w:marTop w:val="0"/>
      <w:marBottom w:val="0"/>
      <w:divBdr>
        <w:top w:val="none" w:sz="0" w:space="0" w:color="auto"/>
        <w:left w:val="none" w:sz="0" w:space="0" w:color="auto"/>
        <w:bottom w:val="none" w:sz="0" w:space="0" w:color="auto"/>
        <w:right w:val="none" w:sz="0" w:space="0" w:color="auto"/>
      </w:divBdr>
    </w:div>
    <w:div w:id="535237454">
      <w:bodyDiv w:val="1"/>
      <w:marLeft w:val="0"/>
      <w:marRight w:val="0"/>
      <w:marTop w:val="0"/>
      <w:marBottom w:val="0"/>
      <w:divBdr>
        <w:top w:val="none" w:sz="0" w:space="0" w:color="auto"/>
        <w:left w:val="none" w:sz="0" w:space="0" w:color="auto"/>
        <w:bottom w:val="none" w:sz="0" w:space="0" w:color="auto"/>
        <w:right w:val="none" w:sz="0" w:space="0" w:color="auto"/>
      </w:divBdr>
    </w:div>
    <w:div w:id="11221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inescomplete.com" TargetMode="External"/><Relationship Id="rId18" Type="http://schemas.openxmlformats.org/officeDocument/2006/relationships/hyperlink" Target="https://www.rpharms.com/Portals/0/RPS%20document%20library/Open%20access/Support/toolkit/rps-mca-july-201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mc-uk.org/Documents/NMC-Publications/NMC-Standards-for-medicines-management.pdf" TargetMode="External"/><Relationship Id="rId7" Type="http://schemas.openxmlformats.org/officeDocument/2006/relationships/footnotes" Target="footnotes.xml"/><Relationship Id="rId12" Type="http://schemas.openxmlformats.org/officeDocument/2006/relationships/hyperlink" Target="mailto:SWMI@uhbristol.nhs.uk" TargetMode="External"/><Relationship Id="rId17" Type="http://schemas.openxmlformats.org/officeDocument/2006/relationships/hyperlink" Target="http://psnc.org.uk/dispensing-supply/dispensing-a-prescription/special-containers/special-container-databa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nf.nice.org.uk/" TargetMode="External"/><Relationship Id="rId20" Type="http://schemas.openxmlformats.org/officeDocument/2006/relationships/hyperlink" Target="http://www.gmc-uk.org/guidance/ethical_guidance/prescriptions_faqs.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pharms.com/Portals/0/RPS%20document%20library/Open%20access/Support/toolkit/rps-mca-july-2013.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mc.medicines.org.uk" TargetMode="External"/><Relationship Id="rId23" Type="http://schemas.openxmlformats.org/officeDocument/2006/relationships/hyperlink" Target="http://www.nhs.uk/chq/pages/1004.aspx" TargetMode="External"/><Relationship Id="rId10" Type="http://schemas.openxmlformats.org/officeDocument/2006/relationships/hyperlink" Target="https://www.rpharms.com/Portals/0/RPS%20document%20library/Open%20access/Support/toolkit/rps-mca-july-2013.pdf" TargetMode="External"/><Relationship Id="rId19" Type="http://schemas.openxmlformats.org/officeDocument/2006/relationships/hyperlink" Target="https://www.rpharms.com/resources/toolkits/improving-patient-outcomes-through-mca" TargetMode="External"/><Relationship Id="rId4" Type="http://schemas.microsoft.com/office/2007/relationships/stylesWithEffects" Target="stylesWithEffects.xml"/><Relationship Id="rId9" Type="http://schemas.openxmlformats.org/officeDocument/2006/relationships/hyperlink" Target="mailto:ubh-tr.swmi@nhs.net" TargetMode="External"/><Relationship Id="rId14" Type="http://schemas.openxmlformats.org/officeDocument/2006/relationships/hyperlink" Target="http://www.medicinescomplete.com" TargetMode="External"/><Relationship Id="rId22" Type="http://schemas.openxmlformats.org/officeDocument/2006/relationships/hyperlink" Target="https://www.nmc.org.uk/standards/standards-for-post-registration/standards-for-medicines-manag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CC11-DD19-4C4B-B911-79E1C67F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BCF96B1A</Template>
  <TotalTime>1</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Beswick, Trevor</dc:creator>
  <cp:lastModifiedBy>Barrett,Tiffany</cp:lastModifiedBy>
  <cp:revision>2</cp:revision>
  <cp:lastPrinted>2013-10-24T14:19:00Z</cp:lastPrinted>
  <dcterms:created xsi:type="dcterms:W3CDTF">2019-07-04T16:06:00Z</dcterms:created>
  <dcterms:modified xsi:type="dcterms:W3CDTF">2019-07-04T16:06:00Z</dcterms:modified>
</cp:coreProperties>
</file>