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9D2" w:rsidRPr="002A177F" w:rsidRDefault="007F79D2" w:rsidP="007F79D2">
      <w:pPr>
        <w:pStyle w:val="Heading1"/>
        <w:rPr>
          <w:rFonts w:cs="Arial"/>
        </w:rPr>
      </w:pPr>
      <w:r w:rsidRPr="007F79D2">
        <w:t xml:space="preserve"> </w:t>
      </w:r>
      <w:r>
        <w:t xml:space="preserve">Considerations when addressing questions about potential for adverse effects and drug interactions with homeopathic remedies </w:t>
      </w:r>
    </w:p>
    <w:p w:rsidR="00427F92" w:rsidRPr="004F24C2" w:rsidRDefault="00427F92" w:rsidP="00427F92">
      <w:pPr>
        <w:pStyle w:val="Heading1"/>
      </w:pPr>
    </w:p>
    <w:p w:rsidR="00427F92" w:rsidRPr="00B107C7" w:rsidRDefault="00427F92" w:rsidP="00427F92">
      <w:pPr>
        <w:pStyle w:val="NoSpacing"/>
        <w:jc w:val="center"/>
        <w:rPr>
          <w:szCs w:val="20"/>
          <w:lang w:val="en-US"/>
        </w:rPr>
      </w:pPr>
      <w:r w:rsidRPr="00B00B12">
        <w:rPr>
          <w:lang w:val="en-US"/>
        </w:rPr>
        <w:br/>
      </w:r>
      <w:r w:rsidRPr="00B107C7">
        <w:rPr>
          <w:szCs w:val="20"/>
          <w:lang w:val="en-US"/>
        </w:rPr>
        <w:t>Prepared by UK Medicines Information (</w:t>
      </w:r>
      <w:proofErr w:type="spellStart"/>
      <w:r w:rsidR="000C5087" w:rsidRPr="00B107C7">
        <w:rPr>
          <w:szCs w:val="20"/>
          <w:lang w:val="en-US"/>
        </w:rPr>
        <w:fldChar w:fldCharType="begin"/>
      </w:r>
      <w:r w:rsidRPr="00B107C7">
        <w:rPr>
          <w:szCs w:val="20"/>
          <w:lang w:val="en-US"/>
        </w:rPr>
        <w:instrText xml:space="preserve"> HYPERLINK "http://www.ukmi.nhs.uk/ukmi/about/default.asp?pageRef=1" </w:instrText>
      </w:r>
      <w:r w:rsidR="000C5087" w:rsidRPr="00B107C7">
        <w:rPr>
          <w:szCs w:val="20"/>
          <w:lang w:val="en-US"/>
        </w:rPr>
        <w:fldChar w:fldCharType="separate"/>
      </w:r>
      <w:r w:rsidRPr="00B107C7">
        <w:rPr>
          <w:color w:val="0000FF"/>
          <w:szCs w:val="20"/>
          <w:u w:val="single"/>
          <w:lang w:val="en-US"/>
        </w:rPr>
        <w:t>UKMi</w:t>
      </w:r>
      <w:proofErr w:type="spellEnd"/>
      <w:r w:rsidR="000C5087" w:rsidRPr="00B107C7">
        <w:rPr>
          <w:szCs w:val="20"/>
          <w:lang w:val="en-US"/>
        </w:rPr>
        <w:fldChar w:fldCharType="end"/>
      </w:r>
      <w:r w:rsidRPr="00B107C7">
        <w:rPr>
          <w:szCs w:val="20"/>
          <w:lang w:val="en-US"/>
        </w:rPr>
        <w:t>) pharmacists for NHS healthcare professionals</w:t>
      </w:r>
    </w:p>
    <w:p w:rsidR="00427F92" w:rsidRPr="00B107C7" w:rsidRDefault="00427F92" w:rsidP="00427F92">
      <w:pPr>
        <w:pStyle w:val="NoSpacing"/>
        <w:jc w:val="center"/>
        <w:rPr>
          <w:rFonts w:eastAsia="Times New Roman"/>
          <w:szCs w:val="20"/>
          <w:lang w:val="en-US"/>
        </w:rPr>
      </w:pPr>
      <w:r w:rsidRPr="00B107C7">
        <w:rPr>
          <w:szCs w:val="20"/>
        </w:rPr>
        <w:t xml:space="preserve">Before using this Q&amp;A, read the disclaimer at </w:t>
      </w:r>
      <w:hyperlink r:id="rId8" w:history="1">
        <w:r w:rsidRPr="00B107C7">
          <w:rPr>
            <w:rStyle w:val="Hyperlink"/>
            <w:rFonts w:cs="Arial"/>
            <w:i/>
            <w:iCs/>
            <w:sz w:val="18"/>
            <w:szCs w:val="18"/>
          </w:rPr>
          <w:t>https://www.sps.nhs.uk/articles/about-ukmi-medicines-qas/</w:t>
        </w:r>
      </w:hyperlink>
    </w:p>
    <w:p w:rsidR="00427F92" w:rsidRPr="00B107C7" w:rsidRDefault="00427F92" w:rsidP="00427F92">
      <w:pPr>
        <w:pStyle w:val="NoSpacing"/>
        <w:jc w:val="center"/>
        <w:rPr>
          <w:szCs w:val="20"/>
          <w:lang w:val="en-US"/>
        </w:rPr>
      </w:pPr>
      <w:r w:rsidRPr="00B107C7">
        <w:rPr>
          <w:szCs w:val="20"/>
          <w:lang w:val="en-US"/>
        </w:rPr>
        <w:t>Date prepared:</w:t>
      </w:r>
      <w:r w:rsidR="007F79D2">
        <w:rPr>
          <w:szCs w:val="20"/>
          <w:lang w:val="en-US"/>
        </w:rPr>
        <w:t xml:space="preserve"> </w:t>
      </w:r>
      <w:r w:rsidR="002434D7">
        <w:rPr>
          <w:szCs w:val="20"/>
          <w:lang w:val="en-US"/>
        </w:rPr>
        <w:t>12 November 2019</w:t>
      </w:r>
    </w:p>
    <w:p w:rsidR="00427F92" w:rsidRPr="00B00B12" w:rsidRDefault="00427F92" w:rsidP="00427F92">
      <w:pPr>
        <w:spacing w:after="0" w:line="240" w:lineRule="auto"/>
        <w:rPr>
          <w:rFonts w:eastAsia="Times New Roman" w:cs="Arial"/>
          <w:szCs w:val="20"/>
          <w:lang w:val="en-US"/>
        </w:rPr>
      </w:pPr>
      <w:r w:rsidRPr="00B00B12">
        <w:rPr>
          <w:rFonts w:eastAsia="Times New Roman" w:cs="Arial"/>
          <w:szCs w:val="20"/>
          <w:lang w:val="en-US"/>
        </w:rPr>
        <w:t xml:space="preserve"> </w:t>
      </w:r>
    </w:p>
    <w:p w:rsidR="00C571A2" w:rsidRDefault="00C571A2" w:rsidP="00427F92">
      <w:pPr>
        <w:pStyle w:val="Heading2"/>
      </w:pPr>
    </w:p>
    <w:p w:rsidR="00427F92" w:rsidRDefault="00427F92" w:rsidP="00427F92">
      <w:pPr>
        <w:pStyle w:val="Heading2"/>
      </w:pPr>
      <w:r w:rsidRPr="00B00B12">
        <w:t>Background</w:t>
      </w:r>
      <w:r>
        <w:t xml:space="preserve"> </w:t>
      </w:r>
    </w:p>
    <w:p w:rsidR="007F79D2" w:rsidRPr="00B00B12" w:rsidRDefault="007F79D2" w:rsidP="00427F92">
      <w:pPr>
        <w:rPr>
          <w:lang w:val="en-US"/>
        </w:rPr>
      </w:pPr>
      <w:r w:rsidRPr="00421711">
        <w:t>The term homeopathy</w:t>
      </w:r>
      <w:r>
        <w:t xml:space="preserve"> (homoeopathy)</w:t>
      </w:r>
      <w:r w:rsidRPr="00421711">
        <w:t xml:space="preserve"> comes from the Greek word "</w:t>
      </w:r>
      <w:proofErr w:type="spellStart"/>
      <w:r w:rsidRPr="00421711">
        <w:t>homoios</w:t>
      </w:r>
      <w:proofErr w:type="spellEnd"/>
      <w:r w:rsidRPr="00421711">
        <w:t xml:space="preserve">" which means similar and "pathos" which refers to disease or suffering. This "similar suffering," also known as the "law of </w:t>
      </w:r>
      <w:proofErr w:type="spellStart"/>
      <w:r w:rsidRPr="00421711">
        <w:t>similars</w:t>
      </w:r>
      <w:proofErr w:type="spellEnd"/>
      <w:r w:rsidRPr="00421711">
        <w:t xml:space="preserve">" was first introduced by Hippocrates in the fourth century B.C. The "law of </w:t>
      </w:r>
      <w:proofErr w:type="spellStart"/>
      <w:r w:rsidRPr="00421711">
        <w:t>similars</w:t>
      </w:r>
      <w:proofErr w:type="spellEnd"/>
      <w:r w:rsidRPr="00421711">
        <w:t xml:space="preserve">" became the foundation for </w:t>
      </w:r>
      <w:r>
        <w:t>homeopathy</w:t>
      </w:r>
      <w:r w:rsidRPr="00421711">
        <w:t xml:space="preserve"> in </w:t>
      </w:r>
      <w:smartTag w:uri="urn:schemas-microsoft-com:office:smarttags" w:element="place">
        <w:smartTag w:uri="urn:schemas-microsoft-com:office:smarttags" w:element="country-region">
          <w:r w:rsidRPr="00421711">
            <w:t>Germany</w:t>
          </w:r>
        </w:smartTag>
      </w:smartTag>
      <w:r w:rsidRPr="00421711">
        <w:t>, led by Samuel Hahnemann (1755-1843) (1, 2).</w:t>
      </w:r>
      <w:r>
        <w:t xml:space="preserve"> This Q&amp;A considers the principles underlying homeopathy and provides advice on how to deal with medicines information enquiries on drug interactions and adverse effects in those individuals taking homeopathic remedies.</w:t>
      </w:r>
    </w:p>
    <w:p w:rsidR="00427F92" w:rsidRPr="00B00B12" w:rsidRDefault="00427F92" w:rsidP="00427F92">
      <w:pPr>
        <w:spacing w:after="0" w:line="240" w:lineRule="auto"/>
        <w:rPr>
          <w:rFonts w:eastAsia="Times New Roman" w:cs="Arial"/>
          <w:szCs w:val="20"/>
          <w:lang w:val="en-US"/>
        </w:rPr>
      </w:pPr>
    </w:p>
    <w:p w:rsidR="00427F92" w:rsidRDefault="00427F92" w:rsidP="00427F92">
      <w:pPr>
        <w:pStyle w:val="Heading2"/>
      </w:pPr>
      <w:r>
        <w:t>Answer</w:t>
      </w:r>
    </w:p>
    <w:p w:rsidR="007F79D2" w:rsidRDefault="007F79D2" w:rsidP="007F79D2">
      <w:pPr>
        <w:pStyle w:val="Heading3"/>
        <w:rPr>
          <w:sz w:val="24"/>
        </w:rPr>
      </w:pPr>
      <w:r>
        <w:t>Basic principles of hom</w:t>
      </w:r>
      <w:r w:rsidRPr="00175585">
        <w:t>eopathy</w:t>
      </w:r>
    </w:p>
    <w:p w:rsidR="007F79D2" w:rsidRPr="00421711" w:rsidRDefault="007F79D2" w:rsidP="007F79D2">
      <w:pPr>
        <w:ind w:right="-2"/>
        <w:rPr>
          <w:rFonts w:cs="Arial"/>
        </w:rPr>
      </w:pPr>
      <w:r w:rsidRPr="00421711">
        <w:rPr>
          <w:rFonts w:cs="Arial"/>
        </w:rPr>
        <w:t xml:space="preserve">The principles on which homeopathy is based are very different to conventional medical beliefs. In conventional medicine it is widely accepted that a person’s response to a drug is proportional to the amount of drug given.  </w:t>
      </w:r>
      <w:r>
        <w:rPr>
          <w:rFonts w:cs="Arial"/>
        </w:rPr>
        <w:t>Homeopathy</w:t>
      </w:r>
      <w:r w:rsidRPr="00421711">
        <w:rPr>
          <w:rFonts w:cs="Arial"/>
        </w:rPr>
        <w:t xml:space="preserve"> is based on entirely different theories.  Two theories central to </w:t>
      </w:r>
      <w:r>
        <w:rPr>
          <w:rFonts w:cs="Arial"/>
        </w:rPr>
        <w:t>homeopathy</w:t>
      </w:r>
      <w:r w:rsidRPr="00421711">
        <w:rPr>
          <w:rFonts w:cs="Arial"/>
        </w:rPr>
        <w:t xml:space="preserve"> are;</w:t>
      </w:r>
    </w:p>
    <w:tbl>
      <w:tblPr>
        <w:tblpPr w:leftFromText="181" w:rightFromText="181" w:vertAnchor="text" w:horzAnchor="margin" w:tblpXSpec="right" w:tblpY="2524"/>
        <w:tblOverlap w:val="never"/>
        <w:tblW w:w="4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094"/>
      </w:tblGrid>
      <w:tr w:rsidR="00E00DDF" w:rsidRPr="00421711" w:rsidTr="00E00DDF">
        <w:trPr>
          <w:cantSplit/>
          <w:trHeight w:val="279"/>
        </w:trPr>
        <w:tc>
          <w:tcPr>
            <w:tcW w:w="2093" w:type="dxa"/>
            <w:shd w:val="pct12" w:color="auto" w:fill="FFFFFF"/>
          </w:tcPr>
          <w:p w:rsidR="00BA705F" w:rsidRDefault="00E00DDF">
            <w:pPr>
              <w:spacing w:after="0"/>
              <w:jc w:val="center"/>
              <w:rPr>
                <w:rFonts w:cs="Arial"/>
                <w:b/>
              </w:rPr>
            </w:pPr>
            <w:r w:rsidRPr="00421711">
              <w:rPr>
                <w:rFonts w:cs="Arial"/>
                <w:b/>
              </w:rPr>
              <w:t>Decimal</w:t>
            </w:r>
          </w:p>
        </w:tc>
        <w:tc>
          <w:tcPr>
            <w:tcW w:w="2094" w:type="dxa"/>
            <w:tcBorders>
              <w:right w:val="single" w:sz="4" w:space="0" w:color="auto"/>
            </w:tcBorders>
            <w:shd w:val="pct12" w:color="auto" w:fill="FFFFFF"/>
          </w:tcPr>
          <w:p w:rsidR="00BA705F" w:rsidRDefault="00E00DDF">
            <w:pPr>
              <w:spacing w:after="0"/>
              <w:rPr>
                <w:rFonts w:cs="Arial"/>
                <w:b/>
              </w:rPr>
            </w:pPr>
            <w:r w:rsidRPr="00421711">
              <w:rPr>
                <w:rFonts w:cs="Arial"/>
                <w:b/>
              </w:rPr>
              <w:t>Centesimal</w:t>
            </w:r>
          </w:p>
        </w:tc>
      </w:tr>
      <w:tr w:rsidR="00E00DDF" w:rsidRPr="00421711" w:rsidTr="00E00DDF">
        <w:trPr>
          <w:cantSplit/>
          <w:trHeight w:val="1575"/>
        </w:trPr>
        <w:tc>
          <w:tcPr>
            <w:tcW w:w="2093" w:type="dxa"/>
          </w:tcPr>
          <w:p w:rsidR="00BA705F" w:rsidRDefault="00BA705F">
            <w:pPr>
              <w:spacing w:after="0"/>
              <w:ind w:left="176"/>
              <w:rPr>
                <w:rFonts w:cs="Arial"/>
              </w:rPr>
            </w:pPr>
          </w:p>
          <w:p w:rsidR="00BA705F" w:rsidRDefault="00E00DDF">
            <w:pPr>
              <w:spacing w:after="0"/>
              <w:ind w:left="176"/>
              <w:rPr>
                <w:rFonts w:cs="Arial"/>
              </w:rPr>
            </w:pPr>
            <w:r w:rsidRPr="00421711">
              <w:rPr>
                <w:rFonts w:cs="Arial"/>
              </w:rPr>
              <w:t>1x        1:10</w:t>
            </w:r>
          </w:p>
          <w:p w:rsidR="00BA705F" w:rsidRDefault="00E00DDF">
            <w:pPr>
              <w:spacing w:after="0"/>
              <w:ind w:left="176"/>
              <w:rPr>
                <w:rFonts w:cs="Arial"/>
              </w:rPr>
            </w:pPr>
            <w:r w:rsidRPr="00421711">
              <w:rPr>
                <w:rFonts w:cs="Arial"/>
              </w:rPr>
              <w:t>2x        1:100</w:t>
            </w:r>
          </w:p>
          <w:p w:rsidR="00BA705F" w:rsidRDefault="00E00DDF">
            <w:pPr>
              <w:spacing w:after="0"/>
              <w:ind w:left="176"/>
              <w:rPr>
                <w:rFonts w:cs="Arial"/>
              </w:rPr>
            </w:pPr>
            <w:r w:rsidRPr="00421711">
              <w:rPr>
                <w:rFonts w:cs="Arial"/>
              </w:rPr>
              <w:t>3x        1:1000</w:t>
            </w:r>
          </w:p>
          <w:p w:rsidR="00BA705F" w:rsidRDefault="00E00DDF">
            <w:pPr>
              <w:spacing w:after="0"/>
              <w:ind w:left="176"/>
              <w:rPr>
                <w:rFonts w:cs="Arial"/>
              </w:rPr>
            </w:pPr>
            <w:r w:rsidRPr="00421711">
              <w:rPr>
                <w:rFonts w:cs="Arial"/>
              </w:rPr>
              <w:t>4x        1:10000</w:t>
            </w:r>
          </w:p>
          <w:p w:rsidR="00BA705F" w:rsidRDefault="00E00DDF">
            <w:pPr>
              <w:spacing w:after="0"/>
              <w:ind w:left="176"/>
              <w:rPr>
                <w:rFonts w:cs="Arial"/>
              </w:rPr>
            </w:pPr>
            <w:r w:rsidRPr="00421711">
              <w:rPr>
                <w:rFonts w:cs="Arial"/>
              </w:rPr>
              <w:t>5x        1:100000</w:t>
            </w:r>
          </w:p>
          <w:p w:rsidR="00BA705F" w:rsidRDefault="00E00DDF">
            <w:pPr>
              <w:spacing w:after="0"/>
              <w:ind w:left="176"/>
              <w:rPr>
                <w:rFonts w:cs="Arial"/>
              </w:rPr>
            </w:pPr>
            <w:r w:rsidRPr="00421711">
              <w:rPr>
                <w:rFonts w:cs="Arial"/>
              </w:rPr>
              <w:t>6x        1:1000000</w:t>
            </w:r>
          </w:p>
          <w:p w:rsidR="00BA705F" w:rsidRDefault="00E00DDF">
            <w:pPr>
              <w:spacing w:after="0"/>
              <w:rPr>
                <w:rFonts w:cs="Arial"/>
              </w:rPr>
            </w:pPr>
            <w:r>
              <w:rPr>
                <w:rFonts w:cs="Arial"/>
              </w:rPr>
              <w:t xml:space="preserve">   </w:t>
            </w:r>
            <w:r w:rsidRPr="00421711">
              <w:rPr>
                <w:rFonts w:cs="Arial"/>
              </w:rPr>
              <w:t>30x      1:10</w:t>
            </w:r>
            <w:r w:rsidRPr="00421711">
              <w:rPr>
                <w:rFonts w:cs="Arial"/>
                <w:vertAlign w:val="superscript"/>
              </w:rPr>
              <w:t>30</w:t>
            </w:r>
          </w:p>
        </w:tc>
        <w:tc>
          <w:tcPr>
            <w:tcW w:w="2094" w:type="dxa"/>
            <w:tcBorders>
              <w:right w:val="single" w:sz="4" w:space="0" w:color="auto"/>
            </w:tcBorders>
          </w:tcPr>
          <w:p w:rsidR="00BA705F" w:rsidRDefault="00BA705F">
            <w:pPr>
              <w:spacing w:after="0"/>
              <w:ind w:left="247"/>
              <w:rPr>
                <w:rFonts w:cs="Arial"/>
              </w:rPr>
            </w:pPr>
          </w:p>
          <w:p w:rsidR="00BA705F" w:rsidRDefault="00E00DDF">
            <w:pPr>
              <w:spacing w:after="0"/>
              <w:ind w:left="247"/>
              <w:rPr>
                <w:rFonts w:cs="Arial"/>
              </w:rPr>
            </w:pPr>
            <w:r w:rsidRPr="00421711">
              <w:rPr>
                <w:rFonts w:cs="Arial"/>
              </w:rPr>
              <w:t>6c          1:10</w:t>
            </w:r>
            <w:r w:rsidRPr="00421711">
              <w:rPr>
                <w:rFonts w:cs="Arial"/>
                <w:vertAlign w:val="superscript"/>
              </w:rPr>
              <w:t>12</w:t>
            </w:r>
          </w:p>
          <w:p w:rsidR="00BA705F" w:rsidRDefault="00E00DDF">
            <w:pPr>
              <w:spacing w:after="0"/>
              <w:ind w:left="247"/>
              <w:rPr>
                <w:rFonts w:cs="Arial"/>
              </w:rPr>
            </w:pPr>
            <w:r w:rsidRPr="00421711">
              <w:rPr>
                <w:rFonts w:cs="Arial"/>
              </w:rPr>
              <w:t>12c        1:10</w:t>
            </w:r>
            <w:r w:rsidRPr="00421711">
              <w:rPr>
                <w:rFonts w:cs="Arial"/>
                <w:vertAlign w:val="superscript"/>
              </w:rPr>
              <w:t>24</w:t>
            </w:r>
          </w:p>
          <w:p w:rsidR="00BA705F" w:rsidRDefault="00E00DDF">
            <w:pPr>
              <w:spacing w:after="0"/>
              <w:ind w:left="247"/>
              <w:rPr>
                <w:rFonts w:cs="Arial"/>
              </w:rPr>
            </w:pPr>
            <w:r w:rsidRPr="00421711">
              <w:rPr>
                <w:rFonts w:cs="Arial"/>
              </w:rPr>
              <w:t>30c        1:10</w:t>
            </w:r>
            <w:r w:rsidRPr="00421711">
              <w:rPr>
                <w:rFonts w:cs="Arial"/>
                <w:vertAlign w:val="superscript"/>
              </w:rPr>
              <w:t>60</w:t>
            </w:r>
          </w:p>
          <w:p w:rsidR="00BA705F" w:rsidRDefault="00E00DDF">
            <w:pPr>
              <w:spacing w:after="0"/>
              <w:ind w:left="247"/>
              <w:rPr>
                <w:rFonts w:cs="Arial"/>
              </w:rPr>
            </w:pPr>
            <w:r w:rsidRPr="00421711">
              <w:rPr>
                <w:rFonts w:cs="Arial"/>
              </w:rPr>
              <w:t>200c      1:10</w:t>
            </w:r>
            <w:r w:rsidRPr="00421711">
              <w:rPr>
                <w:rFonts w:cs="Arial"/>
                <w:vertAlign w:val="superscript"/>
              </w:rPr>
              <w:t>400</w:t>
            </w:r>
          </w:p>
          <w:p w:rsidR="00BA705F" w:rsidRDefault="00E00DDF">
            <w:pPr>
              <w:spacing w:after="0"/>
              <w:ind w:left="247"/>
              <w:rPr>
                <w:rFonts w:cs="Arial"/>
              </w:rPr>
            </w:pPr>
            <w:r w:rsidRPr="00421711">
              <w:rPr>
                <w:rFonts w:cs="Arial"/>
              </w:rPr>
              <w:t>1M        1:10</w:t>
            </w:r>
            <w:r w:rsidRPr="00421711">
              <w:rPr>
                <w:rFonts w:cs="Arial"/>
                <w:vertAlign w:val="superscript"/>
              </w:rPr>
              <w:t>2000</w:t>
            </w:r>
          </w:p>
          <w:p w:rsidR="00BA705F" w:rsidRDefault="00E00DDF">
            <w:pPr>
              <w:spacing w:after="0"/>
              <w:ind w:left="247"/>
              <w:rPr>
                <w:rFonts w:cs="Arial"/>
              </w:rPr>
            </w:pPr>
            <w:r w:rsidRPr="00421711">
              <w:rPr>
                <w:rFonts w:cs="Arial"/>
              </w:rPr>
              <w:t>10M      1:10</w:t>
            </w:r>
            <w:r w:rsidRPr="00421711">
              <w:rPr>
                <w:rFonts w:cs="Arial"/>
                <w:vertAlign w:val="superscript"/>
              </w:rPr>
              <w:t>20000</w:t>
            </w:r>
          </w:p>
          <w:p w:rsidR="00BA705F" w:rsidRDefault="00E00DDF">
            <w:pPr>
              <w:spacing w:after="0"/>
              <w:rPr>
                <w:rFonts w:cs="Arial"/>
              </w:rPr>
            </w:pPr>
            <w:r>
              <w:rPr>
                <w:rFonts w:cs="Arial"/>
              </w:rPr>
              <w:t xml:space="preserve">    </w:t>
            </w:r>
            <w:r w:rsidRPr="00421711">
              <w:rPr>
                <w:rFonts w:cs="Arial"/>
              </w:rPr>
              <w:t>LM        1:10</w:t>
            </w:r>
            <w:r w:rsidRPr="00421711">
              <w:rPr>
                <w:rFonts w:cs="Arial"/>
                <w:vertAlign w:val="superscript"/>
              </w:rPr>
              <w:t>100000</w:t>
            </w:r>
          </w:p>
        </w:tc>
      </w:tr>
      <w:tr w:rsidR="00E00DDF" w:rsidRPr="00421711" w:rsidTr="00E00DDF">
        <w:trPr>
          <w:cantSplit/>
          <w:trHeight w:val="904"/>
        </w:trPr>
        <w:tc>
          <w:tcPr>
            <w:tcW w:w="4187" w:type="dxa"/>
            <w:gridSpan w:val="2"/>
            <w:tcBorders>
              <w:right w:val="single" w:sz="4" w:space="0" w:color="auto"/>
            </w:tcBorders>
          </w:tcPr>
          <w:p w:rsidR="00BA705F" w:rsidRDefault="00E00DDF">
            <w:pPr>
              <w:tabs>
                <w:tab w:val="right" w:pos="4394"/>
              </w:tabs>
              <w:spacing w:before="120" w:after="0"/>
              <w:rPr>
                <w:rFonts w:cs="Arial"/>
                <w:vertAlign w:val="superscript"/>
              </w:rPr>
            </w:pPr>
            <w:r w:rsidRPr="00DC4CB4">
              <w:rPr>
                <w:rFonts w:cs="Arial"/>
              </w:rPr>
              <w:t xml:space="preserve">Table 1. Common Potencies of </w:t>
            </w:r>
            <w:r>
              <w:rPr>
                <w:rFonts w:cs="Arial"/>
              </w:rPr>
              <w:t>Homeopathic</w:t>
            </w:r>
            <w:r w:rsidRPr="00DC4CB4">
              <w:rPr>
                <w:rFonts w:cs="Arial"/>
              </w:rPr>
              <w:t xml:space="preserve"> Remedies.  </w:t>
            </w:r>
            <w:r w:rsidRPr="00DC4CB4">
              <w:rPr>
                <w:rFonts w:cs="Arial"/>
                <w:i/>
              </w:rPr>
              <w:t>Adapted from an article by Barnes J (3)</w:t>
            </w:r>
            <w:r w:rsidRPr="00421711">
              <w:rPr>
                <w:rFonts w:cs="Arial"/>
                <w:vertAlign w:val="superscript"/>
              </w:rPr>
              <w:t xml:space="preserve">  </w:t>
            </w:r>
          </w:p>
        </w:tc>
      </w:tr>
    </w:tbl>
    <w:p w:rsidR="007F79D2" w:rsidRPr="00421711" w:rsidRDefault="007F79D2" w:rsidP="007F79D2">
      <w:pPr>
        <w:numPr>
          <w:ilvl w:val="0"/>
          <w:numId w:val="11"/>
        </w:numPr>
        <w:spacing w:after="0" w:line="240" w:lineRule="auto"/>
        <w:ind w:left="0" w:right="-2" w:firstLine="0"/>
        <w:rPr>
          <w:rFonts w:cs="Arial"/>
        </w:rPr>
      </w:pPr>
      <w:r w:rsidRPr="00421711">
        <w:rPr>
          <w:rFonts w:cs="Arial"/>
          <w:i/>
        </w:rPr>
        <w:t>Like cures like</w:t>
      </w:r>
      <w:r w:rsidRPr="00421711">
        <w:rPr>
          <w:rFonts w:cs="Arial"/>
        </w:rPr>
        <w:t>: A substance, that could in conventional doses cause an undesirable effect, is used, in very dilute amounts, to treat that symptom</w:t>
      </w:r>
      <w:r>
        <w:rPr>
          <w:rFonts w:cs="Arial"/>
        </w:rPr>
        <w:t xml:space="preserve"> </w:t>
      </w:r>
      <w:r w:rsidRPr="00421711">
        <w:rPr>
          <w:rFonts w:cs="Arial"/>
        </w:rPr>
        <w:t xml:space="preserve">(2).  For example, oral consumption of arnica can cause a reduction in platelet aggregation, which could increase bleeding and bruising, however </w:t>
      </w:r>
      <w:r>
        <w:rPr>
          <w:rFonts w:cs="Arial"/>
        </w:rPr>
        <w:t>homeopathic</w:t>
      </w:r>
      <w:r w:rsidRPr="00421711">
        <w:rPr>
          <w:rFonts w:cs="Arial"/>
        </w:rPr>
        <w:t xml:space="preserve"> doses of arnica are used to prevent or treat bruising</w:t>
      </w:r>
      <w:r>
        <w:rPr>
          <w:rFonts w:cs="Arial"/>
        </w:rPr>
        <w:t>.</w:t>
      </w:r>
      <w:r w:rsidRPr="00421711">
        <w:rPr>
          <w:rFonts w:cs="Arial"/>
        </w:rPr>
        <w:t xml:space="preserve">  </w:t>
      </w:r>
    </w:p>
    <w:p w:rsidR="007F79D2" w:rsidRPr="007F79D2" w:rsidRDefault="007F79D2" w:rsidP="007F79D2">
      <w:pPr>
        <w:spacing w:after="0" w:line="240" w:lineRule="auto"/>
        <w:rPr>
          <w:rFonts w:cs="Arial"/>
        </w:rPr>
      </w:pPr>
    </w:p>
    <w:p w:rsidR="007F79D2" w:rsidRDefault="007F79D2" w:rsidP="007F79D2">
      <w:pPr>
        <w:numPr>
          <w:ilvl w:val="0"/>
          <w:numId w:val="11"/>
        </w:numPr>
        <w:spacing w:after="0" w:line="240" w:lineRule="auto"/>
        <w:ind w:left="0" w:firstLine="0"/>
        <w:rPr>
          <w:rFonts w:cs="Arial"/>
        </w:rPr>
      </w:pPr>
      <w:r w:rsidRPr="00421711">
        <w:rPr>
          <w:rFonts w:cs="Arial"/>
          <w:i/>
        </w:rPr>
        <w:t>The more dilute a preparation is the more potent it is</w:t>
      </w:r>
      <w:r w:rsidRPr="007F79D2">
        <w:rPr>
          <w:rFonts w:cs="Arial"/>
        </w:rPr>
        <w:t>.</w:t>
      </w:r>
      <w:r w:rsidRPr="00421711">
        <w:rPr>
          <w:rFonts w:cs="Arial"/>
        </w:rPr>
        <w:t xml:space="preserve">  </w:t>
      </w:r>
      <w:r>
        <w:rPr>
          <w:rFonts w:cs="Arial"/>
        </w:rPr>
        <w:t>Homeopathic</w:t>
      </w:r>
      <w:r w:rsidRPr="00421711">
        <w:rPr>
          <w:rFonts w:cs="Arial"/>
        </w:rPr>
        <w:t xml:space="preserve"> remedies are prepared by repeated dilutions of a base substance, called a mother tincture, followed by vigorous shaking with impact (</w:t>
      </w:r>
      <w:proofErr w:type="spellStart"/>
      <w:r w:rsidRPr="00421711">
        <w:rPr>
          <w:rFonts w:cs="Arial"/>
        </w:rPr>
        <w:t>succussion</w:t>
      </w:r>
      <w:proofErr w:type="spellEnd"/>
      <w:r w:rsidRPr="00421711">
        <w:rPr>
          <w:rFonts w:cs="Arial"/>
        </w:rPr>
        <w:t>)</w:t>
      </w:r>
      <w:r w:rsidRPr="007F79D2">
        <w:rPr>
          <w:rFonts w:cs="Arial"/>
        </w:rPr>
        <w:t xml:space="preserve"> </w:t>
      </w:r>
      <w:r w:rsidRPr="00421711">
        <w:rPr>
          <w:rFonts w:cs="Arial"/>
        </w:rPr>
        <w:t xml:space="preserve">(1).  The mother tincture is prepared from the extraction of a source material using water/alcohol solvent (2).  The dilution process is known as </w:t>
      </w:r>
      <w:proofErr w:type="spellStart"/>
      <w:r w:rsidRPr="00421711">
        <w:rPr>
          <w:rFonts w:cs="Arial"/>
        </w:rPr>
        <w:t>potentisation</w:t>
      </w:r>
      <w:proofErr w:type="spellEnd"/>
      <w:r w:rsidRPr="00421711">
        <w:rPr>
          <w:rFonts w:cs="Arial"/>
        </w:rPr>
        <w:t xml:space="preserve">, </w:t>
      </w:r>
      <w:r>
        <w:rPr>
          <w:rFonts w:cs="Arial"/>
        </w:rPr>
        <w:t xml:space="preserve">implying that </w:t>
      </w:r>
      <w:r w:rsidRPr="00421711">
        <w:rPr>
          <w:rFonts w:cs="Arial"/>
        </w:rPr>
        <w:t xml:space="preserve">each subsequent dilution and </w:t>
      </w:r>
      <w:proofErr w:type="spellStart"/>
      <w:r w:rsidRPr="00421711">
        <w:rPr>
          <w:rFonts w:cs="Arial"/>
        </w:rPr>
        <w:t>succussion</w:t>
      </w:r>
      <w:proofErr w:type="spellEnd"/>
      <w:r w:rsidRPr="00421711">
        <w:rPr>
          <w:rFonts w:cs="Arial"/>
        </w:rPr>
        <w:t xml:space="preserve"> increases the potency of the preparation (2).  </w:t>
      </w:r>
    </w:p>
    <w:p w:rsidR="00FD6531" w:rsidRDefault="00FD6531" w:rsidP="00FD6531">
      <w:pPr>
        <w:pStyle w:val="ListParagraph"/>
        <w:rPr>
          <w:rFonts w:cs="Arial"/>
        </w:rPr>
      </w:pPr>
    </w:p>
    <w:p w:rsidR="00FD6531" w:rsidRDefault="00FD6531" w:rsidP="00FD6531">
      <w:pPr>
        <w:rPr>
          <w:rFonts w:cs="Arial"/>
        </w:rPr>
      </w:pPr>
      <w:r w:rsidRPr="00421711">
        <w:rPr>
          <w:rFonts w:cs="Arial"/>
        </w:rPr>
        <w:t>Two dilution systems are in use, decimal (x) and centesimal (c).  Remedies prepared according to the decimal (x) system are prepared by diluting one part of the mother tincture with nine parts of solvent (water or alcohol). The new mixture is then vigorously shaken (</w:t>
      </w:r>
      <w:proofErr w:type="spellStart"/>
      <w:r w:rsidRPr="00421711">
        <w:rPr>
          <w:rFonts w:cs="Arial"/>
        </w:rPr>
        <w:t>succussed</w:t>
      </w:r>
      <w:proofErr w:type="spellEnd"/>
      <w:r w:rsidRPr="00421711">
        <w:rPr>
          <w:rFonts w:cs="Arial"/>
        </w:rPr>
        <w:t xml:space="preserve">). In this example, the new mixture is called a 1x potency. In the next step one drop of the 1x preparation is mixed with another 9 drops of solvent and after </w:t>
      </w:r>
      <w:proofErr w:type="spellStart"/>
      <w:r w:rsidRPr="00421711">
        <w:rPr>
          <w:rFonts w:cs="Arial"/>
        </w:rPr>
        <w:t>succussion</w:t>
      </w:r>
      <w:proofErr w:type="spellEnd"/>
      <w:r w:rsidRPr="00421711">
        <w:rPr>
          <w:rFonts w:cs="Arial"/>
        </w:rPr>
        <w:t xml:space="preserve"> is called a 2x potency. This process is continued to produce a 3x, 4x, until the final potency is reached (1, 2).</w:t>
      </w:r>
      <w:r>
        <w:rPr>
          <w:rFonts w:cs="Arial"/>
        </w:rPr>
        <w:t xml:space="preserve"> </w:t>
      </w:r>
      <w:r w:rsidRPr="00421711">
        <w:rPr>
          <w:rFonts w:cs="Arial"/>
        </w:rPr>
        <w:t xml:space="preserve">A similar process is used for centesimal (c) potencies. The difference is that 99 parts of solvent are added to one part of the mother tincture and each subsequent potency to create 1c, 2c, 3c, etc. </w:t>
      </w:r>
      <w:r>
        <w:rPr>
          <w:rFonts w:cs="Arial"/>
        </w:rPr>
        <w:t>Sometimes the letter ‘c’ may be left out when describing the potency. In the absence of any letter, centesimal (and not decimal) potencies are implied (2).</w:t>
      </w:r>
    </w:p>
    <w:p w:rsidR="00E116FE" w:rsidRDefault="00FD6531" w:rsidP="00FD6531">
      <w:pPr>
        <w:spacing w:after="0" w:line="240" w:lineRule="auto"/>
        <w:rPr>
          <w:rFonts w:cs="Arial"/>
        </w:rPr>
      </w:pPr>
      <w:r w:rsidRPr="00421711">
        <w:rPr>
          <w:rFonts w:cs="Arial"/>
        </w:rPr>
        <w:lastRenderedPageBreak/>
        <w:t xml:space="preserve">The final remedy can be in a liquid form, in medicated lactose pellets or incorporated into topical creams (1, 2).  </w:t>
      </w:r>
      <w:r w:rsidR="006F61A6">
        <w:rPr>
          <w:rFonts w:cs="Arial"/>
        </w:rPr>
        <w:t>Although t</w:t>
      </w:r>
      <w:r w:rsidRPr="00421711">
        <w:rPr>
          <w:rFonts w:cs="Arial"/>
        </w:rPr>
        <w:t xml:space="preserve">he original ingredient in a </w:t>
      </w:r>
      <w:r>
        <w:rPr>
          <w:rFonts w:cs="Arial"/>
        </w:rPr>
        <w:t>homeopathic</w:t>
      </w:r>
      <w:r w:rsidRPr="00421711">
        <w:rPr>
          <w:rFonts w:cs="Arial"/>
        </w:rPr>
        <w:t xml:space="preserve"> remedy is often from a plant source</w:t>
      </w:r>
      <w:r w:rsidR="005C6886">
        <w:rPr>
          <w:rFonts w:cs="Arial"/>
        </w:rPr>
        <w:t>,</w:t>
      </w:r>
      <w:r w:rsidRPr="00421711">
        <w:rPr>
          <w:rFonts w:cs="Arial"/>
        </w:rPr>
        <w:t xml:space="preserve"> </w:t>
      </w:r>
      <w:r w:rsidR="005C6886">
        <w:rPr>
          <w:rFonts w:cs="Arial"/>
        </w:rPr>
        <w:t>h</w:t>
      </w:r>
      <w:r w:rsidR="00141618">
        <w:rPr>
          <w:rFonts w:cs="Arial"/>
        </w:rPr>
        <w:t>omeopathy</w:t>
      </w:r>
      <w:r w:rsidR="00141618" w:rsidRPr="00ED6E10">
        <w:rPr>
          <w:rFonts w:cs="Arial"/>
        </w:rPr>
        <w:t xml:space="preserve"> is quite different from herbal medicine</w:t>
      </w:r>
      <w:r w:rsidR="005C6886">
        <w:rPr>
          <w:rFonts w:cs="Arial"/>
        </w:rPr>
        <w:t>,</w:t>
      </w:r>
      <w:r w:rsidR="00141618" w:rsidRPr="00ED6E10">
        <w:rPr>
          <w:rFonts w:cs="Arial"/>
        </w:rPr>
        <w:t xml:space="preserve"> which uses therapeutic doses of dried plant material or extracts of plant parts to treat a patient’s symptoms (4)</w:t>
      </w:r>
      <w:r w:rsidR="001745F2">
        <w:rPr>
          <w:rFonts w:cs="Arial"/>
        </w:rPr>
        <w:t>.</w:t>
      </w:r>
      <w:r w:rsidR="00141618">
        <w:rPr>
          <w:rFonts w:cs="Arial"/>
        </w:rPr>
        <w:t xml:space="preserve"> </w:t>
      </w:r>
    </w:p>
    <w:p w:rsidR="007F79D2" w:rsidRPr="007F79D2" w:rsidRDefault="007F79D2" w:rsidP="007F79D2">
      <w:pPr>
        <w:pStyle w:val="Heading3"/>
      </w:pPr>
      <w:r w:rsidRPr="007F79D2">
        <w:t>Drug Interactions</w:t>
      </w:r>
    </w:p>
    <w:p w:rsidR="007F79D2" w:rsidRPr="00130F68" w:rsidRDefault="007F79D2" w:rsidP="007F79D2">
      <w:pPr>
        <w:rPr>
          <w:rFonts w:cs="Arial"/>
        </w:rPr>
      </w:pPr>
      <w:r>
        <w:rPr>
          <w:rFonts w:cs="Arial"/>
        </w:rPr>
        <w:t xml:space="preserve">There is no evidence that homeopathic remedies interfere with conventional medicines (5). Indeed, dilutions of more than </w:t>
      </w:r>
      <w:r w:rsidRPr="00B479D7">
        <w:rPr>
          <w:rFonts w:cs="Arial"/>
          <w:b/>
        </w:rPr>
        <w:t>12c</w:t>
      </w:r>
      <w:r>
        <w:rPr>
          <w:rFonts w:cs="Arial"/>
        </w:rPr>
        <w:t xml:space="preserve"> or </w:t>
      </w:r>
      <w:r w:rsidRPr="00B479D7">
        <w:rPr>
          <w:rFonts w:cs="Arial"/>
          <w:b/>
        </w:rPr>
        <w:t>24x</w:t>
      </w:r>
      <w:r>
        <w:rPr>
          <w:rFonts w:cs="Arial"/>
        </w:rPr>
        <w:t xml:space="preserve"> are diluted beyond Avogadro’s constant and are unlikely to contain any molecules of the active ingredient(s). Provided they are from a reputable source (see Regulation section) and of the strength stated, it would not be anticipated that there would be any interaction with conventional medicines based on conventional beliefs. Remedies of less than 12c or 24x (e.g. 6c) may theoretically contain active ingredients</w:t>
      </w:r>
      <w:r w:rsidR="0069148B">
        <w:rPr>
          <w:rFonts w:cs="Arial"/>
        </w:rPr>
        <w:t>. Alt</w:t>
      </w:r>
      <w:r>
        <w:rPr>
          <w:rFonts w:cs="Arial"/>
        </w:rPr>
        <w:t>hough it is likely that many of these remedies will be too dilute to pose any real risk of an interaction with conventional medicines</w:t>
      </w:r>
      <w:r w:rsidR="0069148B">
        <w:rPr>
          <w:rFonts w:cs="Arial"/>
        </w:rPr>
        <w:t>,</w:t>
      </w:r>
      <w:r>
        <w:rPr>
          <w:rFonts w:cs="Arial"/>
        </w:rPr>
        <w:t xml:space="preserve"> it may be prudent to treat the enquiry as if the product were </w:t>
      </w:r>
      <w:proofErr w:type="gramStart"/>
      <w:r>
        <w:rPr>
          <w:rFonts w:cs="Arial"/>
        </w:rPr>
        <w:t>a</w:t>
      </w:r>
      <w:proofErr w:type="gramEnd"/>
      <w:r>
        <w:rPr>
          <w:rFonts w:cs="Arial"/>
        </w:rPr>
        <w:t xml:space="preserve"> herbal preparation. If the dilution of the remedy is unknown the same advice would apply. It has been suggested that steroids may inactivate homeopathic remedies to some extent reducing the expected effectiveness of the homeopathic remedy (5).</w:t>
      </w:r>
    </w:p>
    <w:p w:rsidR="007F79D2" w:rsidRPr="007F79D2" w:rsidRDefault="007F79D2" w:rsidP="007F79D2">
      <w:pPr>
        <w:pStyle w:val="Heading3"/>
      </w:pPr>
      <w:r w:rsidRPr="007F79D2">
        <w:t>Adverse effects</w:t>
      </w:r>
    </w:p>
    <w:p w:rsidR="00320DC6" w:rsidRDefault="00CB799D" w:rsidP="007F79D2">
      <w:pPr>
        <w:rPr>
          <w:rFonts w:cs="Arial"/>
        </w:rPr>
      </w:pPr>
      <w:r>
        <w:rPr>
          <w:rFonts w:cs="Arial"/>
        </w:rPr>
        <w:t>A systematic review</w:t>
      </w:r>
      <w:r w:rsidR="004D3710">
        <w:rPr>
          <w:rFonts w:cs="Arial"/>
        </w:rPr>
        <w:t xml:space="preserve"> and meta</w:t>
      </w:r>
      <w:r w:rsidR="00687162">
        <w:rPr>
          <w:rFonts w:cs="Arial"/>
        </w:rPr>
        <w:t>-</w:t>
      </w:r>
      <w:r w:rsidR="004D3710">
        <w:rPr>
          <w:rFonts w:cs="Arial"/>
        </w:rPr>
        <w:t>analysis concluded that</w:t>
      </w:r>
      <w:r>
        <w:rPr>
          <w:rFonts w:cs="Arial"/>
        </w:rPr>
        <w:t xml:space="preserve"> adverse effects </w:t>
      </w:r>
      <w:r w:rsidR="004D3710">
        <w:rPr>
          <w:rFonts w:cs="Arial"/>
        </w:rPr>
        <w:t xml:space="preserve">in randomised, controlled trials </w:t>
      </w:r>
      <w:r>
        <w:rPr>
          <w:rFonts w:cs="Arial"/>
        </w:rPr>
        <w:t xml:space="preserve">were experienced by a similar proportion of patients randomised to homeopathic treatment and those randomised to </w:t>
      </w:r>
      <w:r w:rsidR="00D9543C">
        <w:rPr>
          <w:rFonts w:cs="Arial"/>
        </w:rPr>
        <w:t>control, i.e</w:t>
      </w:r>
      <w:r w:rsidR="004D3710">
        <w:rPr>
          <w:rFonts w:cs="Arial"/>
        </w:rPr>
        <w:t>. placebo or</w:t>
      </w:r>
      <w:r>
        <w:rPr>
          <w:rFonts w:cs="Arial"/>
        </w:rPr>
        <w:t xml:space="preserve"> conventional medicine</w:t>
      </w:r>
      <w:r w:rsidR="00966CFC">
        <w:rPr>
          <w:rFonts w:cs="Arial"/>
        </w:rPr>
        <w:t xml:space="preserve"> (</w:t>
      </w:r>
      <w:r>
        <w:rPr>
          <w:rFonts w:cs="Arial"/>
        </w:rPr>
        <w:t xml:space="preserve">6). However, </w:t>
      </w:r>
      <w:r w:rsidR="00D71E82">
        <w:rPr>
          <w:rFonts w:cs="Arial"/>
        </w:rPr>
        <w:t xml:space="preserve">this conclusion was disputed by </w:t>
      </w:r>
      <w:r>
        <w:rPr>
          <w:rFonts w:cs="Arial"/>
        </w:rPr>
        <w:t>another author,</w:t>
      </w:r>
      <w:r w:rsidR="00D71E82">
        <w:rPr>
          <w:rFonts w:cs="Arial"/>
        </w:rPr>
        <w:t xml:space="preserve"> who, when performing their own analysis of the results </w:t>
      </w:r>
      <w:r w:rsidR="00146DE6">
        <w:rPr>
          <w:rFonts w:cs="Arial"/>
        </w:rPr>
        <w:t>foun</w:t>
      </w:r>
      <w:r w:rsidR="00D71E82">
        <w:rPr>
          <w:rFonts w:cs="Arial"/>
        </w:rPr>
        <w:t xml:space="preserve">d </w:t>
      </w:r>
      <w:r>
        <w:rPr>
          <w:rFonts w:cs="Arial"/>
        </w:rPr>
        <w:t xml:space="preserve">significantly more adverse effects </w:t>
      </w:r>
      <w:r w:rsidR="0069148B">
        <w:rPr>
          <w:rFonts w:cs="Arial"/>
        </w:rPr>
        <w:t>to be associated</w:t>
      </w:r>
      <w:r>
        <w:rPr>
          <w:rFonts w:cs="Arial"/>
        </w:rPr>
        <w:t xml:space="preserve"> with homeopathy than placebo, and significantly fewer with homeopathy than conventional medicine</w:t>
      </w:r>
      <w:r w:rsidR="00966CFC">
        <w:rPr>
          <w:rFonts w:cs="Arial"/>
        </w:rPr>
        <w:t xml:space="preserve"> (7</w:t>
      </w:r>
      <w:r w:rsidR="00320DC6">
        <w:rPr>
          <w:rFonts w:cs="Arial"/>
        </w:rPr>
        <w:t>)</w:t>
      </w:r>
      <w:r>
        <w:rPr>
          <w:rFonts w:cs="Arial"/>
        </w:rPr>
        <w:t xml:space="preserve">.  </w:t>
      </w:r>
      <w:r w:rsidR="00320DC6">
        <w:rPr>
          <w:rFonts w:cs="Arial"/>
        </w:rPr>
        <w:t>Similarly, a</w:t>
      </w:r>
      <w:r w:rsidR="007F79D2" w:rsidRPr="0049249A">
        <w:rPr>
          <w:rFonts w:cs="Arial"/>
        </w:rPr>
        <w:t xml:space="preserve"> systematic review in 2000 found the mean incidence of adverse effects </w:t>
      </w:r>
      <w:r w:rsidR="004D3710">
        <w:rPr>
          <w:rFonts w:cs="Arial"/>
        </w:rPr>
        <w:t>with</w:t>
      </w:r>
      <w:r w:rsidR="007F79D2" w:rsidRPr="0049249A">
        <w:rPr>
          <w:rFonts w:cs="Arial"/>
        </w:rPr>
        <w:t xml:space="preserve"> homeopathic remedies </w:t>
      </w:r>
      <w:r w:rsidR="004D3710">
        <w:rPr>
          <w:rFonts w:cs="Arial"/>
        </w:rPr>
        <w:t xml:space="preserve">to be </w:t>
      </w:r>
      <w:r w:rsidR="007F79D2" w:rsidRPr="0049249A">
        <w:rPr>
          <w:rFonts w:cs="Arial"/>
        </w:rPr>
        <w:t>greater than placebo (9.4 versus 6.1) in controlled trials</w:t>
      </w:r>
      <w:r w:rsidR="00FC1174">
        <w:rPr>
          <w:rFonts w:cs="Arial"/>
        </w:rPr>
        <w:t>.</w:t>
      </w:r>
      <w:r w:rsidR="00D71E82">
        <w:rPr>
          <w:rFonts w:cs="Arial"/>
        </w:rPr>
        <w:t xml:space="preserve"> </w:t>
      </w:r>
      <w:r w:rsidR="00FC1174">
        <w:rPr>
          <w:rFonts w:cs="Arial"/>
        </w:rPr>
        <w:t>E</w:t>
      </w:r>
      <w:r w:rsidR="007F79D2" w:rsidRPr="0049249A">
        <w:rPr>
          <w:rFonts w:cs="Arial"/>
        </w:rPr>
        <w:t>ffects were mi</w:t>
      </w:r>
      <w:r w:rsidR="007F79D2">
        <w:rPr>
          <w:rFonts w:cs="Arial"/>
        </w:rPr>
        <w:t>nor, transient and comparable</w:t>
      </w:r>
      <w:r w:rsidR="00FC1174">
        <w:rPr>
          <w:rFonts w:cs="Arial"/>
        </w:rPr>
        <w:t>,</w:t>
      </w:r>
      <w:r w:rsidR="007F79D2">
        <w:rPr>
          <w:rFonts w:cs="Arial"/>
        </w:rPr>
        <w:t xml:space="preserve"> </w:t>
      </w:r>
      <w:r w:rsidR="0069148B">
        <w:rPr>
          <w:rFonts w:cs="Arial"/>
        </w:rPr>
        <w:t>but</w:t>
      </w:r>
      <w:r w:rsidR="007F79D2">
        <w:rPr>
          <w:rFonts w:cs="Arial"/>
        </w:rPr>
        <w:t xml:space="preserve"> the authors considered adverse effects of homeopathic remedies were likely to have been under-reported (</w:t>
      </w:r>
      <w:r w:rsidR="00966CFC">
        <w:rPr>
          <w:rFonts w:cs="Arial"/>
        </w:rPr>
        <w:t>8</w:t>
      </w:r>
      <w:r w:rsidR="007F79D2">
        <w:rPr>
          <w:rFonts w:cs="Arial"/>
        </w:rPr>
        <w:t xml:space="preserve">). </w:t>
      </w:r>
      <w:r w:rsidR="007F79D2" w:rsidRPr="0049249A">
        <w:rPr>
          <w:rFonts w:cs="Arial"/>
        </w:rPr>
        <w:t xml:space="preserve"> </w:t>
      </w:r>
    </w:p>
    <w:p w:rsidR="007F79D2" w:rsidRDefault="007F79D2" w:rsidP="007F79D2">
      <w:pPr>
        <w:rPr>
          <w:rFonts w:cs="Arial"/>
          <w:color w:val="000000"/>
        </w:rPr>
      </w:pPr>
      <w:proofErr w:type="spellStart"/>
      <w:r w:rsidRPr="0049249A">
        <w:rPr>
          <w:rFonts w:cs="Arial"/>
        </w:rPr>
        <w:t>Posadzki</w:t>
      </w:r>
      <w:proofErr w:type="spellEnd"/>
      <w:r w:rsidRPr="0049249A">
        <w:rPr>
          <w:rFonts w:cs="Arial"/>
        </w:rPr>
        <w:t xml:space="preserve"> et al addressed the safety of homeopathic remedies in a systematic review of published case reports and case series. They concluded that homeopathy has the potential to harm patients in both direct and indirect ways </w:t>
      </w:r>
      <w:r w:rsidR="00320DC6">
        <w:rPr>
          <w:rFonts w:cs="Arial"/>
        </w:rPr>
        <w:t xml:space="preserve">and </w:t>
      </w:r>
      <w:r w:rsidRPr="0049249A">
        <w:rPr>
          <w:rFonts w:cs="Arial"/>
        </w:rPr>
        <w:t>suggested that adverse effects were caused by three main effects: allergic reactions, ingestion of toxic substances and substitution of conventional care (</w:t>
      </w:r>
      <w:r w:rsidR="00966CFC">
        <w:rPr>
          <w:rFonts w:cs="Arial"/>
        </w:rPr>
        <w:t>9</w:t>
      </w:r>
      <w:r w:rsidRPr="0049249A">
        <w:rPr>
          <w:rFonts w:cs="Arial"/>
        </w:rPr>
        <w:t>). In 94.7% of the cases, the potencies were described as below 12c (</w:t>
      </w:r>
      <w:r w:rsidR="00966CFC">
        <w:rPr>
          <w:rFonts w:cs="Arial"/>
        </w:rPr>
        <w:t>9</w:t>
      </w:r>
      <w:r w:rsidRPr="0049249A">
        <w:rPr>
          <w:rFonts w:cs="Arial"/>
        </w:rPr>
        <w:t>). It is important to consider the dilution of the remedy</w:t>
      </w:r>
      <w:r w:rsidR="00320DC6">
        <w:rPr>
          <w:rFonts w:cs="Arial"/>
        </w:rPr>
        <w:t xml:space="preserve"> since</w:t>
      </w:r>
      <w:r w:rsidR="00D71E82">
        <w:rPr>
          <w:rFonts w:cs="Arial"/>
        </w:rPr>
        <w:t xml:space="preserve"> </w:t>
      </w:r>
      <w:r>
        <w:rPr>
          <w:rFonts w:cs="Arial"/>
        </w:rPr>
        <w:t>many (but not all) homeopathic remedies are diluted to such an extent that no molecules of the active substance remain in the preparation</w:t>
      </w:r>
      <w:r w:rsidR="00320DC6">
        <w:rPr>
          <w:rFonts w:cs="Arial"/>
        </w:rPr>
        <w:t>.</w:t>
      </w:r>
      <w:r>
        <w:rPr>
          <w:rFonts w:cs="Arial"/>
        </w:rPr>
        <w:t xml:space="preserve">  </w:t>
      </w:r>
      <w:r w:rsidR="00320DC6">
        <w:rPr>
          <w:rFonts w:cs="Arial"/>
        </w:rPr>
        <w:t xml:space="preserve">As a result, </w:t>
      </w:r>
      <w:r>
        <w:rPr>
          <w:rFonts w:cs="Arial"/>
        </w:rPr>
        <w:t xml:space="preserve">effects arising from pharmacological or toxicological mechanisms are </w:t>
      </w:r>
      <w:r w:rsidR="00320DC6">
        <w:rPr>
          <w:rFonts w:cs="Arial"/>
        </w:rPr>
        <w:t xml:space="preserve">generally </w:t>
      </w:r>
      <w:r>
        <w:rPr>
          <w:rFonts w:cs="Arial"/>
        </w:rPr>
        <w:t>unlikely (</w:t>
      </w:r>
      <w:r w:rsidR="00966CFC">
        <w:rPr>
          <w:rFonts w:cs="Arial"/>
        </w:rPr>
        <w:t>10</w:t>
      </w:r>
      <w:r>
        <w:rPr>
          <w:rFonts w:cs="Arial"/>
        </w:rPr>
        <w:t>). However a</w:t>
      </w:r>
      <w:r w:rsidRPr="0049249A">
        <w:rPr>
          <w:rFonts w:cs="Arial"/>
        </w:rPr>
        <w:t xml:space="preserve">dverse effects have been reported where products have been labelled as homeopathic but </w:t>
      </w:r>
      <w:r w:rsidR="006350FB">
        <w:rPr>
          <w:rFonts w:cs="Arial"/>
        </w:rPr>
        <w:t>may</w:t>
      </w:r>
      <w:r w:rsidRPr="0049249A">
        <w:rPr>
          <w:rFonts w:cs="Arial"/>
        </w:rPr>
        <w:t xml:space="preserve"> actually </w:t>
      </w:r>
      <w:r w:rsidR="006350FB">
        <w:rPr>
          <w:rFonts w:cs="Arial"/>
        </w:rPr>
        <w:t xml:space="preserve">be </w:t>
      </w:r>
      <w:r w:rsidRPr="0049249A">
        <w:rPr>
          <w:rFonts w:cs="Arial"/>
        </w:rPr>
        <w:t>herbal</w:t>
      </w:r>
      <w:r>
        <w:rPr>
          <w:rFonts w:cs="Arial"/>
        </w:rPr>
        <w:t xml:space="preserve"> due to inadequate dilution</w:t>
      </w:r>
      <w:r w:rsidR="00966CFC">
        <w:rPr>
          <w:rFonts w:cs="Arial"/>
        </w:rPr>
        <w:t xml:space="preserve"> (11</w:t>
      </w:r>
      <w:r w:rsidR="00F94B25">
        <w:rPr>
          <w:rFonts w:cs="Arial"/>
        </w:rPr>
        <w:t>)</w:t>
      </w:r>
      <w:r>
        <w:rPr>
          <w:rFonts w:cs="Arial"/>
        </w:rPr>
        <w:t xml:space="preserve">, </w:t>
      </w:r>
      <w:r w:rsidR="00320DC6">
        <w:rPr>
          <w:rFonts w:cs="Arial"/>
        </w:rPr>
        <w:t xml:space="preserve">and </w:t>
      </w:r>
      <w:r>
        <w:rPr>
          <w:rFonts w:cs="Arial"/>
        </w:rPr>
        <w:t>where there is combination with other non-homeopathic constituents (</w:t>
      </w:r>
      <w:r w:rsidR="00966CFC">
        <w:rPr>
          <w:rFonts w:cs="Arial"/>
        </w:rPr>
        <w:t>8</w:t>
      </w:r>
      <w:r>
        <w:rPr>
          <w:rFonts w:cs="Arial"/>
        </w:rPr>
        <w:t>) or alcohol (</w:t>
      </w:r>
      <w:r w:rsidR="002D3B5C">
        <w:rPr>
          <w:rFonts w:cs="Arial"/>
        </w:rPr>
        <w:t>12</w:t>
      </w:r>
      <w:r w:rsidR="00EC1C8B">
        <w:rPr>
          <w:rFonts w:cs="Arial"/>
        </w:rPr>
        <w:t>, 13</w:t>
      </w:r>
      <w:r>
        <w:rPr>
          <w:rFonts w:cs="Arial"/>
        </w:rPr>
        <w:t>)</w:t>
      </w:r>
      <w:r w:rsidRPr="0049249A">
        <w:rPr>
          <w:rFonts w:cs="Arial"/>
        </w:rPr>
        <w:t>. Some</w:t>
      </w:r>
      <w:r>
        <w:rPr>
          <w:rFonts w:cs="Arial"/>
        </w:rPr>
        <w:t xml:space="preserve"> individuals may experience</w:t>
      </w:r>
      <w:r w:rsidRPr="0049249A">
        <w:rPr>
          <w:rFonts w:cs="Arial"/>
        </w:rPr>
        <w:t xml:space="preserve"> sensitivity to the lactose in the tablet base</w:t>
      </w:r>
      <w:r>
        <w:rPr>
          <w:rFonts w:cs="Arial"/>
        </w:rPr>
        <w:t xml:space="preserve"> of the remedy and</w:t>
      </w:r>
      <w:r w:rsidRPr="0049249A">
        <w:rPr>
          <w:rFonts w:cs="Arial"/>
        </w:rPr>
        <w:t xml:space="preserve"> need to use a sucrose-based carrier or liquid instead (5).  Although the</w:t>
      </w:r>
      <w:r>
        <w:rPr>
          <w:rFonts w:cs="Arial"/>
        </w:rPr>
        <w:t xml:space="preserve"> overall</w:t>
      </w:r>
      <w:r w:rsidRPr="0049249A">
        <w:rPr>
          <w:rFonts w:cs="Arial"/>
        </w:rPr>
        <w:t xml:space="preserve"> risk of homeopathic remedies causing an adverse effect appears to be low, undiagnosed illness or self administration of inappropriate medication could cause harm to an individual due to failure to seek timely professional healthcare advice. </w:t>
      </w:r>
      <w:r w:rsidRPr="0049249A">
        <w:rPr>
          <w:rFonts w:cs="Arial"/>
          <w:color w:val="000000"/>
        </w:rPr>
        <w:t xml:space="preserve"> </w:t>
      </w:r>
    </w:p>
    <w:p w:rsidR="007F79D2" w:rsidRPr="007F79D2" w:rsidRDefault="007F79D2" w:rsidP="007F79D2">
      <w:pPr>
        <w:pStyle w:val="Heading3"/>
      </w:pPr>
      <w:r w:rsidRPr="007F79D2">
        <w:t>Aggravation</w:t>
      </w:r>
    </w:p>
    <w:p w:rsidR="007F79D2" w:rsidRPr="0049249A" w:rsidRDefault="007F79D2" w:rsidP="007F79D2">
      <w:pPr>
        <w:rPr>
          <w:rFonts w:cs="Arial"/>
          <w:color w:val="000000"/>
        </w:rPr>
      </w:pPr>
      <w:r>
        <w:rPr>
          <w:rFonts w:cs="Arial"/>
          <w:color w:val="000000"/>
        </w:rPr>
        <w:t xml:space="preserve">It has been suggested that in about 10% of chronic cases the patient’s condition may be exacerbated within 2-5 days of taking a new homeopathic remedy (5). This reaction is called an aggravation. If an individual experiences an aggravation it is recommended that the remedy is stopped until the symptoms subside after which in some cases the remedy may be restarted at a lower frequency (5). Some homeopathic trials distinguish between what is considered an aggravation and an adverse event and this could partly explain the reporting rates of adverse events from homeopathic studies. A 2003 systematic review by </w:t>
      </w:r>
      <w:proofErr w:type="spellStart"/>
      <w:r>
        <w:rPr>
          <w:rFonts w:cs="Arial"/>
          <w:color w:val="000000"/>
        </w:rPr>
        <w:t>Grabia</w:t>
      </w:r>
      <w:proofErr w:type="spellEnd"/>
      <w:r>
        <w:rPr>
          <w:rFonts w:cs="Arial"/>
          <w:color w:val="000000"/>
        </w:rPr>
        <w:t xml:space="preserve"> and Ernst </w:t>
      </w:r>
      <w:r w:rsidR="00E116FE">
        <w:rPr>
          <w:rFonts w:cs="Arial"/>
          <w:color w:val="000000"/>
        </w:rPr>
        <w:t xml:space="preserve">found no </w:t>
      </w:r>
      <w:r>
        <w:rPr>
          <w:rFonts w:cs="Arial"/>
          <w:color w:val="000000"/>
        </w:rPr>
        <w:t xml:space="preserve">clear evidence </w:t>
      </w:r>
      <w:r w:rsidR="00E116FE">
        <w:rPr>
          <w:rFonts w:cs="Arial"/>
          <w:color w:val="000000"/>
        </w:rPr>
        <w:t xml:space="preserve">to support the existence of </w:t>
      </w:r>
      <w:r>
        <w:rPr>
          <w:rFonts w:cs="Arial"/>
          <w:color w:val="000000"/>
        </w:rPr>
        <w:t>homeopathic aggravations (1</w:t>
      </w:r>
      <w:r w:rsidR="00EC1C8B">
        <w:rPr>
          <w:rFonts w:cs="Arial"/>
          <w:color w:val="000000"/>
        </w:rPr>
        <w:t>4</w:t>
      </w:r>
      <w:r>
        <w:rPr>
          <w:rFonts w:cs="Arial"/>
          <w:color w:val="000000"/>
        </w:rPr>
        <w:t xml:space="preserve">). </w:t>
      </w:r>
    </w:p>
    <w:p w:rsidR="007F79D2" w:rsidRPr="007F79D2" w:rsidRDefault="007F79D2" w:rsidP="007F79D2">
      <w:pPr>
        <w:pStyle w:val="Heading3"/>
      </w:pPr>
      <w:r w:rsidRPr="007F79D2">
        <w:t>Regulation</w:t>
      </w:r>
    </w:p>
    <w:p w:rsidR="007F79D2" w:rsidRPr="007F79D2" w:rsidRDefault="007F79D2" w:rsidP="007F79D2">
      <w:r>
        <w:rPr>
          <w:color w:val="000000"/>
        </w:rPr>
        <w:t>Homeopathic remedies that have been registered under the Simplified Scheme (1992) or the National Rules for Homeopathic Products Regulations (2006) have met specific quality and safety standards (1</w:t>
      </w:r>
      <w:r w:rsidR="00EC1C8B">
        <w:rPr>
          <w:color w:val="000000"/>
        </w:rPr>
        <w:t>5</w:t>
      </w:r>
      <w:r>
        <w:rPr>
          <w:color w:val="000000"/>
        </w:rPr>
        <w:t>). The National Rules Scheme (but not the Simplified Scheme) allows for products to be licensed with indications, but the indications for these products are limited to minor symptoms/conditions that can usually be relieved or treated without the supervision or intervention of a doctor (1</w:t>
      </w:r>
      <w:r w:rsidR="00EC1C8B">
        <w:rPr>
          <w:color w:val="000000"/>
        </w:rPr>
        <w:t>5</w:t>
      </w:r>
      <w:r>
        <w:rPr>
          <w:color w:val="000000"/>
        </w:rPr>
        <w:t>). Homeopathic medicines that were on the market in 1971 (when the Medicines Act was implemented) were given a Product Licence of Right with an indication, in some cases for a serious condition. The MHRA is now encouraging companies to transfer homeopathic medicines with a Product Licence of Right to either the National Rules or the Simplified Scheme (1</w:t>
      </w:r>
      <w:r w:rsidR="00EC1C8B">
        <w:rPr>
          <w:color w:val="000000"/>
        </w:rPr>
        <w:t>5</w:t>
      </w:r>
      <w:r>
        <w:rPr>
          <w:color w:val="000000"/>
        </w:rPr>
        <w:t>).</w:t>
      </w:r>
    </w:p>
    <w:p w:rsidR="007F79D2" w:rsidRDefault="007F79D2" w:rsidP="00427F92">
      <w:pPr>
        <w:pStyle w:val="Heading2"/>
        <w:rPr>
          <w:rFonts w:cs="Arial"/>
        </w:rPr>
      </w:pPr>
    </w:p>
    <w:p w:rsidR="00427F92" w:rsidRPr="009752DF" w:rsidRDefault="00427F92" w:rsidP="00427F92">
      <w:pPr>
        <w:pStyle w:val="Heading2"/>
        <w:rPr>
          <w:rFonts w:cs="Arial"/>
        </w:rPr>
      </w:pPr>
      <w:r w:rsidRPr="009752DF">
        <w:rPr>
          <w:rFonts w:cs="Arial"/>
        </w:rPr>
        <w:t>Summary</w:t>
      </w:r>
    </w:p>
    <w:p w:rsidR="00FD6531" w:rsidRDefault="00FD6531" w:rsidP="00FD6531">
      <w:pPr>
        <w:numPr>
          <w:ilvl w:val="0"/>
          <w:numId w:val="12"/>
        </w:numPr>
        <w:spacing w:after="0" w:line="240" w:lineRule="auto"/>
      </w:pPr>
      <w:r w:rsidRPr="00FD6531">
        <w:rPr>
          <w:color w:val="000000"/>
        </w:rPr>
        <w:t>The principles on which homeopathy is based are very different to conventional medical beliefs.  Two theories central to homeopathy are</w:t>
      </w:r>
      <w:r w:rsidRPr="00421711">
        <w:t xml:space="preserve"> </w:t>
      </w:r>
      <w:r w:rsidRPr="00421711">
        <w:rPr>
          <w:i/>
        </w:rPr>
        <w:t>like cures like</w:t>
      </w:r>
      <w:r w:rsidRPr="00421711">
        <w:t xml:space="preserve"> and </w:t>
      </w:r>
      <w:r w:rsidRPr="00421711">
        <w:rPr>
          <w:i/>
        </w:rPr>
        <w:t>the more dilute a preparation is the more potent it is</w:t>
      </w:r>
      <w:r w:rsidRPr="00421711">
        <w:t>.</w:t>
      </w:r>
    </w:p>
    <w:p w:rsidR="00FD6531" w:rsidRDefault="00FD6531" w:rsidP="00FD6531">
      <w:pPr>
        <w:numPr>
          <w:ilvl w:val="0"/>
          <w:numId w:val="12"/>
        </w:numPr>
        <w:spacing w:after="0" w:line="240" w:lineRule="auto"/>
      </w:pPr>
      <w:r>
        <w:rPr>
          <w:rFonts w:cs="Arial"/>
          <w:color w:val="000000"/>
        </w:rPr>
        <w:t>Homeopathic</w:t>
      </w:r>
      <w:r w:rsidRPr="00782389">
        <w:rPr>
          <w:rFonts w:cs="Arial"/>
          <w:color w:val="000000"/>
        </w:rPr>
        <w:t xml:space="preserve"> remedies that have been registered under the </w:t>
      </w:r>
      <w:r>
        <w:rPr>
          <w:rFonts w:cs="Arial"/>
          <w:color w:val="000000"/>
        </w:rPr>
        <w:t xml:space="preserve">Simplified Scheme (1992) or the </w:t>
      </w:r>
      <w:r w:rsidRPr="00782389">
        <w:rPr>
          <w:rFonts w:cs="Arial"/>
          <w:color w:val="000000"/>
        </w:rPr>
        <w:t xml:space="preserve">National Rules for </w:t>
      </w:r>
      <w:r>
        <w:rPr>
          <w:rFonts w:cs="Arial"/>
          <w:color w:val="000000"/>
        </w:rPr>
        <w:t>Homeopathic</w:t>
      </w:r>
      <w:r w:rsidRPr="00782389">
        <w:rPr>
          <w:rFonts w:cs="Arial"/>
          <w:color w:val="000000"/>
        </w:rPr>
        <w:t xml:space="preserve"> Products Regulations </w:t>
      </w:r>
      <w:r>
        <w:rPr>
          <w:rFonts w:cs="Arial"/>
          <w:color w:val="000000"/>
        </w:rPr>
        <w:t>(</w:t>
      </w:r>
      <w:r w:rsidRPr="00782389">
        <w:rPr>
          <w:rFonts w:cs="Arial"/>
          <w:color w:val="000000"/>
        </w:rPr>
        <w:t>2006</w:t>
      </w:r>
      <w:r>
        <w:rPr>
          <w:rFonts w:cs="Arial"/>
          <w:color w:val="000000"/>
        </w:rPr>
        <w:t>)</w:t>
      </w:r>
      <w:r w:rsidRPr="00782389">
        <w:rPr>
          <w:rFonts w:cs="Arial"/>
          <w:color w:val="000000"/>
        </w:rPr>
        <w:t xml:space="preserve"> have met specific quality and safety standards</w:t>
      </w:r>
      <w:r>
        <w:rPr>
          <w:rFonts w:cs="Arial"/>
          <w:color w:val="000000"/>
        </w:rPr>
        <w:t>.</w:t>
      </w:r>
    </w:p>
    <w:p w:rsidR="00FD6531" w:rsidRPr="00DC4CB4" w:rsidRDefault="00FD6531" w:rsidP="00FD6531">
      <w:pPr>
        <w:numPr>
          <w:ilvl w:val="0"/>
          <w:numId w:val="12"/>
        </w:numPr>
        <w:spacing w:after="0" w:line="240" w:lineRule="auto"/>
      </w:pPr>
      <w:r>
        <w:rPr>
          <w:rFonts w:cs="Arial"/>
        </w:rPr>
        <w:t>I</w:t>
      </w:r>
      <w:r w:rsidRPr="00DC4CB4">
        <w:rPr>
          <w:rFonts w:cs="Arial"/>
        </w:rPr>
        <w:t>t would not be anticipated that there would be</w:t>
      </w:r>
      <w:r>
        <w:rPr>
          <w:rFonts w:cs="Arial"/>
        </w:rPr>
        <w:t xml:space="preserve"> any interaction between homeopathic remedies and conventional medicines based on conventional beliefs. However the strength of the homeopathic remedy should be taken into consideration.</w:t>
      </w:r>
    </w:p>
    <w:p w:rsidR="00FD6531" w:rsidRPr="00F0199F" w:rsidRDefault="00FD6531" w:rsidP="00FD6531">
      <w:pPr>
        <w:numPr>
          <w:ilvl w:val="0"/>
          <w:numId w:val="12"/>
        </w:numPr>
        <w:spacing w:after="0" w:line="240" w:lineRule="auto"/>
      </w:pPr>
      <w:r>
        <w:rPr>
          <w:rFonts w:cs="Arial"/>
        </w:rPr>
        <w:t>Adverse effects of homeopathic remedies have been reported including allergic reactions and ingestion of toxic substances.</w:t>
      </w:r>
    </w:p>
    <w:p w:rsidR="00FD6531" w:rsidRPr="00FD6531" w:rsidRDefault="00FD6531" w:rsidP="00FD6531">
      <w:pPr>
        <w:numPr>
          <w:ilvl w:val="0"/>
          <w:numId w:val="12"/>
        </w:numPr>
        <w:spacing w:after="0" w:line="240" w:lineRule="auto"/>
      </w:pPr>
      <w:r w:rsidRPr="00421711">
        <w:rPr>
          <w:rFonts w:cs="Arial"/>
        </w:rPr>
        <w:t>Although</w:t>
      </w:r>
      <w:r>
        <w:rPr>
          <w:rFonts w:cs="Arial"/>
        </w:rPr>
        <w:t xml:space="preserve"> the risk of hom</w:t>
      </w:r>
      <w:r w:rsidRPr="00421711">
        <w:rPr>
          <w:rFonts w:cs="Arial"/>
        </w:rPr>
        <w:t>eopathic remedies caus</w:t>
      </w:r>
      <w:r>
        <w:rPr>
          <w:rFonts w:cs="Arial"/>
        </w:rPr>
        <w:t>ing an adverse effect appears to be low</w:t>
      </w:r>
      <w:r w:rsidRPr="00421711">
        <w:rPr>
          <w:rFonts w:cs="Arial"/>
        </w:rPr>
        <w:t>, undiagnosed illness or self administration of inappropriate medication could cause harm to an individual due to failure to seek timely professional healthcare advice</w:t>
      </w:r>
      <w:r>
        <w:rPr>
          <w:rFonts w:cs="Arial"/>
        </w:rPr>
        <w:t>.</w:t>
      </w:r>
    </w:p>
    <w:p w:rsidR="00FD6531" w:rsidRDefault="00FD6531" w:rsidP="00FD6531">
      <w:pPr>
        <w:spacing w:after="0" w:line="240" w:lineRule="auto"/>
        <w:ind w:left="720"/>
      </w:pPr>
    </w:p>
    <w:p w:rsidR="00FD6531" w:rsidRPr="004763AA" w:rsidRDefault="00FD6531" w:rsidP="00FD6531">
      <w:pPr>
        <w:spacing w:after="0" w:line="240" w:lineRule="auto"/>
        <w:ind w:left="720"/>
      </w:pPr>
    </w:p>
    <w:p w:rsidR="00427F92" w:rsidRPr="00B1695F" w:rsidRDefault="00427F92" w:rsidP="00427F92">
      <w:pPr>
        <w:spacing w:after="0" w:line="240" w:lineRule="auto"/>
      </w:pPr>
      <w:r w:rsidRPr="00B1695F">
        <w:rPr>
          <w:rStyle w:val="Heading3Char"/>
          <w:rFonts w:eastAsia="Calibri"/>
        </w:rPr>
        <w:t>Limitations</w:t>
      </w:r>
      <w:r w:rsidRPr="00B00B12">
        <w:rPr>
          <w:rFonts w:eastAsia="Times New Roman" w:cs="Arial"/>
          <w:b/>
          <w:color w:val="0000FF"/>
          <w:szCs w:val="20"/>
          <w:lang w:val="en-US"/>
        </w:rPr>
        <w:br/>
      </w:r>
      <w:r w:rsidR="00FD6531">
        <w:t xml:space="preserve">This Q&amp;A does not consider the efficacy of homeopathic remedies. Readers should consult other sources of information for advice on this matter. </w:t>
      </w:r>
      <w:r w:rsidR="00FD6531" w:rsidRPr="00421711">
        <w:t xml:space="preserve">Only basic background information about </w:t>
      </w:r>
      <w:r w:rsidR="00FD6531">
        <w:t>homeopathy</w:t>
      </w:r>
      <w:r w:rsidR="00FD6531" w:rsidRPr="00421711">
        <w:t xml:space="preserve"> is provided above.  If you require further information please contact your local Medicines Information Centre in the first instance.  Complex enquir</w:t>
      </w:r>
      <w:r w:rsidR="00FD6531">
        <w:t>i</w:t>
      </w:r>
      <w:r w:rsidR="00FD6531" w:rsidRPr="00421711">
        <w:t xml:space="preserve">es can be referred to the </w:t>
      </w:r>
      <w:smartTag w:uri="urn:schemas-microsoft-com:office:smarttags" w:element="PersonName">
        <w:r w:rsidR="00FD6531" w:rsidRPr="00421711">
          <w:t>Welsh Medicines Information</w:t>
        </w:r>
      </w:smartTag>
      <w:r w:rsidR="00FD6531" w:rsidRPr="00421711">
        <w:t xml:space="preserve"> Centre, the specialist Medicines Information centre for complementary medicine (via your local Medicines Information Centre), if necessary.  To answer enquiries about </w:t>
      </w:r>
      <w:r w:rsidR="00FD6531">
        <w:t>homeopathic</w:t>
      </w:r>
      <w:r w:rsidR="00FD6531" w:rsidRPr="00421711">
        <w:t xml:space="preserve"> remedies, it is essential to know the dilution or strength of the remedy.</w:t>
      </w:r>
    </w:p>
    <w:p w:rsidR="007F79D2" w:rsidRDefault="007F79D2" w:rsidP="00427F92">
      <w:pPr>
        <w:pStyle w:val="Heading3"/>
        <w:rPr>
          <w:lang w:val="en-US"/>
        </w:rPr>
      </w:pPr>
    </w:p>
    <w:p w:rsidR="00427F92" w:rsidRPr="00B00B12" w:rsidRDefault="00427F92" w:rsidP="00427F92">
      <w:pPr>
        <w:pStyle w:val="Heading3"/>
        <w:rPr>
          <w:lang w:val="en-US"/>
        </w:rPr>
      </w:pPr>
      <w:r w:rsidRPr="00B00B12">
        <w:rPr>
          <w:lang w:val="en-US"/>
        </w:rPr>
        <w:t>References</w:t>
      </w:r>
    </w:p>
    <w:p w:rsidR="00FD6531" w:rsidRPr="00421711" w:rsidRDefault="00FD6531" w:rsidP="00FD6531">
      <w:pPr>
        <w:numPr>
          <w:ilvl w:val="0"/>
          <w:numId w:val="13"/>
        </w:numPr>
        <w:spacing w:after="0" w:line="240" w:lineRule="auto"/>
      </w:pPr>
      <w:proofErr w:type="spellStart"/>
      <w:r w:rsidRPr="00421711">
        <w:t>AltMedDex</w:t>
      </w:r>
      <w:proofErr w:type="spellEnd"/>
      <w:r w:rsidRPr="00421711">
        <w:t xml:space="preserve"> Consults: Nelson W, Rouse D.  Homeopathy – what is it? In: </w:t>
      </w:r>
      <w:proofErr w:type="spellStart"/>
      <w:r w:rsidRPr="00421711">
        <w:t>AltMedDex</w:t>
      </w:r>
      <w:proofErr w:type="spellEnd"/>
      <w:r w:rsidRPr="00421711">
        <w:t xml:space="preserve">® system (electronic version). </w:t>
      </w:r>
      <w:proofErr w:type="spellStart"/>
      <w:r>
        <w:t>Truven</w:t>
      </w:r>
      <w:proofErr w:type="spellEnd"/>
      <w:r>
        <w:t xml:space="preserve"> Health Analytics</w:t>
      </w:r>
      <w:r w:rsidRPr="00421711">
        <w:t xml:space="preserve">, </w:t>
      </w:r>
      <w:r>
        <w:t xml:space="preserve">Greenwood </w:t>
      </w:r>
      <w:r w:rsidRPr="00421711">
        <w:t xml:space="preserve">Village, Colorado, USA </w:t>
      </w:r>
      <w:r w:rsidR="0048763E" w:rsidRPr="00062837">
        <w:t>[cited: 2019 Nov 11]</w:t>
      </w:r>
      <w:r w:rsidR="0048763E" w:rsidRPr="0048763E">
        <w:t>.</w:t>
      </w:r>
      <w:r w:rsidR="0048763E">
        <w:t xml:space="preserve"> </w:t>
      </w:r>
      <w:r w:rsidRPr="00421711">
        <w:t xml:space="preserve">Available at: </w:t>
      </w:r>
      <w:r w:rsidRPr="00D07504">
        <w:t xml:space="preserve"> </w:t>
      </w:r>
      <w:hyperlink r:id="rId9" w:history="1">
        <w:r w:rsidRPr="000858F4">
          <w:rPr>
            <w:rStyle w:val="Hyperlink"/>
          </w:rPr>
          <w:t>http://www.micromedexsolutions.com</w:t>
        </w:r>
      </w:hyperlink>
      <w:r>
        <w:t xml:space="preserve"> </w:t>
      </w:r>
    </w:p>
    <w:p w:rsidR="00FD6531" w:rsidRPr="00421711" w:rsidRDefault="00FD6531" w:rsidP="00FD6531">
      <w:pPr>
        <w:numPr>
          <w:ilvl w:val="0"/>
          <w:numId w:val="13"/>
        </w:numPr>
        <w:spacing w:after="0" w:line="240" w:lineRule="auto"/>
      </w:pPr>
      <w:r w:rsidRPr="00421711">
        <w:t>S Kayne (Ed). Homeopathic P</w:t>
      </w:r>
      <w:r>
        <w:t>harmacy</w:t>
      </w:r>
      <w:r w:rsidRPr="00421711">
        <w:t>: Theory and Practice. Second edition. London. Pharmaceutical Press; 2008.</w:t>
      </w:r>
    </w:p>
    <w:p w:rsidR="00FD6531" w:rsidRDefault="00FD6531" w:rsidP="00FD6531">
      <w:pPr>
        <w:pStyle w:val="BlockText"/>
        <w:numPr>
          <w:ilvl w:val="0"/>
          <w:numId w:val="13"/>
        </w:numPr>
        <w:jc w:val="left"/>
      </w:pPr>
      <w:r w:rsidRPr="00421711">
        <w:t xml:space="preserve">Barnes J. </w:t>
      </w:r>
      <w:r>
        <w:t>Homeopathy</w:t>
      </w:r>
      <w:r w:rsidRPr="00421711">
        <w:t>. Pharmaceutical Journal.1998 Apr 4</w:t>
      </w:r>
      <w:proofErr w:type="gramStart"/>
      <w:r w:rsidRPr="00421711">
        <w:t>;260:493</w:t>
      </w:r>
      <w:proofErr w:type="gramEnd"/>
      <w:r w:rsidRPr="00421711">
        <w:t>.</w:t>
      </w:r>
    </w:p>
    <w:p w:rsidR="00FD6531" w:rsidRDefault="00FD6531" w:rsidP="00FD6531">
      <w:pPr>
        <w:numPr>
          <w:ilvl w:val="0"/>
          <w:numId w:val="13"/>
        </w:numPr>
        <w:spacing w:after="0" w:line="240" w:lineRule="auto"/>
      </w:pPr>
      <w:r w:rsidRPr="00ED6E10">
        <w:t>Barnes J, Anderson LA, Phillipson JD</w:t>
      </w:r>
      <w:r w:rsidR="00A303BF">
        <w:t xml:space="preserve"> et al</w:t>
      </w:r>
      <w:r w:rsidRPr="00ED6E10">
        <w:t>. Introduction. Herbal Medicines</w:t>
      </w:r>
      <w:r>
        <w:t xml:space="preserve"> [online]</w:t>
      </w:r>
      <w:r w:rsidRPr="00ED6E10">
        <w:t>. London: Pharmaceutical Press; 20</w:t>
      </w:r>
      <w:r>
        <w:t>1</w:t>
      </w:r>
      <w:r w:rsidR="00A303BF">
        <w:t>7</w:t>
      </w:r>
      <w:r w:rsidRPr="00ED6E10">
        <w:t xml:space="preserve"> [cited 201</w:t>
      </w:r>
      <w:r w:rsidR="00A303BF">
        <w:t>7</w:t>
      </w:r>
      <w:r w:rsidRPr="00ED6E10">
        <w:t xml:space="preserve"> </w:t>
      </w:r>
      <w:r>
        <w:t>Ju</w:t>
      </w:r>
      <w:r w:rsidR="00A303BF">
        <w:t>n</w:t>
      </w:r>
      <w:r>
        <w:t xml:space="preserve"> </w:t>
      </w:r>
      <w:r w:rsidR="00A303BF">
        <w:t>27</w:t>
      </w:r>
      <w:r w:rsidRPr="00ED6E10">
        <w:t xml:space="preserve">]. Available from: </w:t>
      </w:r>
    </w:p>
    <w:p w:rsidR="00966CFC" w:rsidRDefault="00FD6531" w:rsidP="00FD6531">
      <w:pPr>
        <w:numPr>
          <w:ilvl w:val="0"/>
          <w:numId w:val="13"/>
        </w:numPr>
        <w:spacing w:after="0" w:line="240" w:lineRule="auto"/>
      </w:pPr>
      <w:r>
        <w:t>S Kayne (</w:t>
      </w:r>
      <w:proofErr w:type="spellStart"/>
      <w:proofErr w:type="gramStart"/>
      <w:r>
        <w:t>ed</w:t>
      </w:r>
      <w:proofErr w:type="spellEnd"/>
      <w:proofErr w:type="gramEnd"/>
      <w:r>
        <w:t>). Homeopathic Practice. Pharmaceutical Press; 2008</w:t>
      </w:r>
      <w:r w:rsidR="00966CFC">
        <w:t xml:space="preserve"> </w:t>
      </w:r>
    </w:p>
    <w:p w:rsidR="00FD6531" w:rsidRDefault="00966CFC" w:rsidP="00FD6531">
      <w:pPr>
        <w:numPr>
          <w:ilvl w:val="0"/>
          <w:numId w:val="13"/>
        </w:numPr>
        <w:spacing w:after="0" w:line="240" w:lineRule="auto"/>
      </w:pPr>
      <w:r>
        <w:rPr>
          <w:lang w:val="en-US"/>
        </w:rPr>
        <w:t xml:space="preserve">Stub T, Musial F, Kristofferson AA, et al. </w:t>
      </w:r>
      <w:proofErr w:type="spellStart"/>
      <w:r>
        <w:rPr>
          <w:lang w:val="en-US"/>
        </w:rPr>
        <w:t>Adversed</w:t>
      </w:r>
      <w:proofErr w:type="spellEnd"/>
      <w:r>
        <w:rPr>
          <w:lang w:val="en-US"/>
        </w:rPr>
        <w:t xml:space="preserve"> effects of homeopathy, what do we know? A systematic review and meta-analysis of randomized controlled trials. Complement </w:t>
      </w:r>
      <w:proofErr w:type="spellStart"/>
      <w:r>
        <w:rPr>
          <w:lang w:val="en-US"/>
        </w:rPr>
        <w:t>Ther</w:t>
      </w:r>
      <w:proofErr w:type="spellEnd"/>
      <w:r>
        <w:rPr>
          <w:lang w:val="en-US"/>
        </w:rPr>
        <w:t xml:space="preserve"> Med 2016</w:t>
      </w:r>
      <w:proofErr w:type="gramStart"/>
      <w:r>
        <w:rPr>
          <w:lang w:val="en-US"/>
        </w:rPr>
        <w:t>;26:146</w:t>
      </w:r>
      <w:proofErr w:type="gramEnd"/>
      <w:r>
        <w:rPr>
          <w:lang w:val="en-US"/>
        </w:rPr>
        <w:t xml:space="preserve">-63. </w:t>
      </w:r>
    </w:p>
    <w:p w:rsidR="003522D3" w:rsidRDefault="00966CFC" w:rsidP="003522D3">
      <w:pPr>
        <w:pStyle w:val="ListParagraph"/>
        <w:numPr>
          <w:ilvl w:val="0"/>
          <w:numId w:val="13"/>
        </w:numPr>
        <w:spacing w:after="0"/>
      </w:pPr>
      <w:proofErr w:type="spellStart"/>
      <w:r w:rsidRPr="00966CFC">
        <w:rPr>
          <w:lang w:val="en-US"/>
        </w:rPr>
        <w:t>Mathie</w:t>
      </w:r>
      <w:proofErr w:type="spellEnd"/>
      <w:r w:rsidRPr="00966CFC">
        <w:rPr>
          <w:lang w:val="en-US"/>
        </w:rPr>
        <w:t xml:space="preserve"> RT, Roberts ER, Rutten ALB. Adverse effects of homeopathy: we clearly need more details. Complement </w:t>
      </w:r>
      <w:proofErr w:type="spellStart"/>
      <w:r w:rsidRPr="00966CFC">
        <w:rPr>
          <w:lang w:val="en-US"/>
        </w:rPr>
        <w:t>Ther</w:t>
      </w:r>
      <w:proofErr w:type="spellEnd"/>
      <w:r w:rsidRPr="00966CFC">
        <w:rPr>
          <w:lang w:val="en-US"/>
        </w:rPr>
        <w:t xml:space="preserve"> Med 2016</w:t>
      </w:r>
      <w:proofErr w:type="gramStart"/>
      <w:r w:rsidRPr="00966CFC">
        <w:rPr>
          <w:lang w:val="en-US"/>
        </w:rPr>
        <w:t>;29:235</w:t>
      </w:r>
      <w:proofErr w:type="gramEnd"/>
      <w:r w:rsidRPr="00966CFC">
        <w:rPr>
          <w:lang w:val="en-US"/>
        </w:rPr>
        <w:t>.</w:t>
      </w:r>
    </w:p>
    <w:p w:rsidR="00FD6531" w:rsidRDefault="00FD6531" w:rsidP="00FD6531">
      <w:pPr>
        <w:numPr>
          <w:ilvl w:val="0"/>
          <w:numId w:val="13"/>
        </w:numPr>
        <w:spacing w:after="0" w:line="240" w:lineRule="auto"/>
      </w:pPr>
      <w:proofErr w:type="spellStart"/>
      <w:r>
        <w:t>Dantas</w:t>
      </w:r>
      <w:proofErr w:type="spellEnd"/>
      <w:r>
        <w:t xml:space="preserve"> F, </w:t>
      </w:r>
      <w:proofErr w:type="spellStart"/>
      <w:r>
        <w:t>Rampes</w:t>
      </w:r>
      <w:proofErr w:type="spellEnd"/>
      <w:r>
        <w:t xml:space="preserve"> H. Do homeopathic medicines provoke adverse effects? A systematic review. Br Homeopath J 2000; 89 (suppl. 1): s35-8</w:t>
      </w:r>
    </w:p>
    <w:p w:rsidR="00FD6531" w:rsidRDefault="00FD6531" w:rsidP="00FD6531">
      <w:pPr>
        <w:numPr>
          <w:ilvl w:val="0"/>
          <w:numId w:val="13"/>
        </w:numPr>
        <w:spacing w:after="0" w:line="240" w:lineRule="auto"/>
      </w:pPr>
      <w:proofErr w:type="spellStart"/>
      <w:r>
        <w:t>Posadzki</w:t>
      </w:r>
      <w:proofErr w:type="spellEnd"/>
      <w:r>
        <w:t xml:space="preserve"> P. </w:t>
      </w:r>
      <w:proofErr w:type="spellStart"/>
      <w:r>
        <w:t>Alotaibi</w:t>
      </w:r>
      <w:proofErr w:type="spellEnd"/>
      <w:r>
        <w:t xml:space="preserve"> A, Ernst E. Adverse effects of homeopathy: a systematic review of published case reports and case series. In J </w:t>
      </w:r>
      <w:proofErr w:type="spellStart"/>
      <w:r>
        <w:t>Clin</w:t>
      </w:r>
      <w:proofErr w:type="spellEnd"/>
      <w:r>
        <w:t xml:space="preserve"> </w:t>
      </w:r>
      <w:proofErr w:type="spellStart"/>
      <w:r>
        <w:t>Prac</w:t>
      </w:r>
      <w:proofErr w:type="spellEnd"/>
      <w:r>
        <w:t xml:space="preserve"> 2012; 66: 1178-88</w:t>
      </w:r>
    </w:p>
    <w:p w:rsidR="00FD6531" w:rsidRDefault="00FD6531" w:rsidP="00FD6531">
      <w:pPr>
        <w:numPr>
          <w:ilvl w:val="0"/>
          <w:numId w:val="13"/>
        </w:numPr>
        <w:spacing w:after="0" w:line="240" w:lineRule="auto"/>
      </w:pPr>
      <w:r>
        <w:t xml:space="preserve">Woodward KN. The potential impact of the use of homeopathic and herbal remedies on monitoring the safety of prescription products. Hum </w:t>
      </w:r>
      <w:proofErr w:type="spellStart"/>
      <w:r>
        <w:t>Exper</w:t>
      </w:r>
      <w:proofErr w:type="spellEnd"/>
      <w:r>
        <w:t xml:space="preserve"> </w:t>
      </w:r>
      <w:proofErr w:type="spellStart"/>
      <w:r>
        <w:t>Toxicol</w:t>
      </w:r>
      <w:proofErr w:type="spellEnd"/>
      <w:r>
        <w:t xml:space="preserve"> 2005; 24: 219-33</w:t>
      </w:r>
    </w:p>
    <w:p w:rsidR="003522D3" w:rsidRDefault="00966CFC" w:rsidP="003522D3">
      <w:pPr>
        <w:pStyle w:val="ListParagraph"/>
        <w:numPr>
          <w:ilvl w:val="0"/>
          <w:numId w:val="13"/>
        </w:numPr>
        <w:spacing w:after="0"/>
      </w:pPr>
      <w:proofErr w:type="spellStart"/>
      <w:r w:rsidRPr="00966CFC">
        <w:rPr>
          <w:lang w:val="en-US"/>
        </w:rPr>
        <w:t>Abbasi</w:t>
      </w:r>
      <w:proofErr w:type="spellEnd"/>
      <w:r w:rsidRPr="00966CFC">
        <w:rPr>
          <w:lang w:val="en-US"/>
        </w:rPr>
        <w:t xml:space="preserve"> J. Amid reports of infant deaths, FTC cracks down on homeopathy while FDA investigates. JAMA 2017; 317(8):793-5.</w:t>
      </w:r>
    </w:p>
    <w:p w:rsidR="00FD6531" w:rsidRDefault="00FD6531" w:rsidP="00FD6531">
      <w:pPr>
        <w:numPr>
          <w:ilvl w:val="0"/>
          <w:numId w:val="13"/>
        </w:numPr>
        <w:spacing w:after="0" w:line="240" w:lineRule="auto"/>
      </w:pPr>
      <w:proofErr w:type="spellStart"/>
      <w:r w:rsidRPr="00624401">
        <w:rPr>
          <w:lang w:val="es-AR"/>
        </w:rPr>
        <w:t>Venkatramani</w:t>
      </w:r>
      <w:proofErr w:type="spellEnd"/>
      <w:r w:rsidRPr="00624401">
        <w:rPr>
          <w:lang w:val="es-AR"/>
        </w:rPr>
        <w:t xml:space="preserve"> DV, </w:t>
      </w:r>
      <w:proofErr w:type="spellStart"/>
      <w:r w:rsidRPr="00624401">
        <w:rPr>
          <w:lang w:val="es-AR"/>
        </w:rPr>
        <w:t>Goel</w:t>
      </w:r>
      <w:proofErr w:type="spellEnd"/>
      <w:r w:rsidRPr="00624401">
        <w:rPr>
          <w:lang w:val="es-AR"/>
        </w:rPr>
        <w:t xml:space="preserve"> S, </w:t>
      </w:r>
      <w:proofErr w:type="spellStart"/>
      <w:r w:rsidRPr="00624401">
        <w:rPr>
          <w:lang w:val="es-AR"/>
        </w:rPr>
        <w:t>Ratra</w:t>
      </w:r>
      <w:proofErr w:type="spellEnd"/>
      <w:r w:rsidRPr="00624401">
        <w:rPr>
          <w:lang w:val="es-AR"/>
        </w:rPr>
        <w:t xml:space="preserve"> V et al. </w:t>
      </w:r>
      <w:r>
        <w:t xml:space="preserve">Toxic optic neuropathy following ingestion of homeopathic medication Arnica-30. </w:t>
      </w:r>
      <w:proofErr w:type="spellStart"/>
      <w:r>
        <w:t>Cutan</w:t>
      </w:r>
      <w:proofErr w:type="spellEnd"/>
      <w:r>
        <w:t xml:space="preserve"> </w:t>
      </w:r>
      <w:proofErr w:type="spellStart"/>
      <w:r>
        <w:t>Ocul</w:t>
      </w:r>
      <w:proofErr w:type="spellEnd"/>
      <w:r>
        <w:t xml:space="preserve"> </w:t>
      </w:r>
      <w:proofErr w:type="spellStart"/>
      <w:r>
        <w:t>Toxicol</w:t>
      </w:r>
      <w:proofErr w:type="spellEnd"/>
      <w:r>
        <w:t xml:space="preserve"> 2013;32(1):95-97</w:t>
      </w:r>
    </w:p>
    <w:p w:rsidR="00EC1C8B" w:rsidRDefault="00EC1C8B" w:rsidP="00FD6531">
      <w:pPr>
        <w:numPr>
          <w:ilvl w:val="0"/>
          <w:numId w:val="13"/>
        </w:numPr>
        <w:spacing w:after="0" w:line="240" w:lineRule="auto"/>
      </w:pPr>
      <w:r>
        <w:t xml:space="preserve">Philips CA, Augustine P, </w:t>
      </w:r>
      <w:proofErr w:type="spellStart"/>
      <w:r>
        <w:t>Paramaguru</w:t>
      </w:r>
      <w:proofErr w:type="spellEnd"/>
      <w:r>
        <w:t xml:space="preserve"> R et al. Homeopathy-medicine induced severe alcoholic hepatitis. BMJ Case Rep 2019</w:t>
      </w:r>
      <w:proofErr w:type="gramStart"/>
      <w:r>
        <w:t>;12:e229627</w:t>
      </w:r>
      <w:proofErr w:type="gramEnd"/>
      <w:r>
        <w:t xml:space="preserve"> [cited </w:t>
      </w:r>
      <w:r w:rsidR="0048763E">
        <w:t xml:space="preserve">2019 Nov 12]. </w:t>
      </w:r>
      <w:r>
        <w:t xml:space="preserve">Available from: </w:t>
      </w:r>
      <w:hyperlink r:id="rId10" w:history="1">
        <w:r w:rsidRPr="00EC1C8B">
          <w:rPr>
            <w:rStyle w:val="Hyperlink"/>
          </w:rPr>
          <w:t>doi:10.1136/bcr</w:t>
        </w:r>
        <w:r w:rsidRPr="00EC1C8B">
          <w:rPr>
            <w:rStyle w:val="Hyperlink"/>
          </w:rPr>
          <w:t>-</w:t>
        </w:r>
        <w:r w:rsidRPr="00EC1C8B">
          <w:rPr>
            <w:rStyle w:val="Hyperlink"/>
          </w:rPr>
          <w:t>2019-229627</w:t>
        </w:r>
      </w:hyperlink>
    </w:p>
    <w:p w:rsidR="00FD6531" w:rsidRDefault="00FD6531" w:rsidP="00FD6531">
      <w:pPr>
        <w:numPr>
          <w:ilvl w:val="0"/>
          <w:numId w:val="13"/>
        </w:numPr>
        <w:spacing w:after="0" w:line="240" w:lineRule="auto"/>
      </w:pPr>
      <w:proofErr w:type="spellStart"/>
      <w:r>
        <w:t>Grabia</w:t>
      </w:r>
      <w:proofErr w:type="spellEnd"/>
      <w:r>
        <w:t xml:space="preserve"> S, Ernst E. Homoeopathic aggravations: a systematic review of randomised, placebo-controlled clinical trials. Homeopathy 2003</w:t>
      </w:r>
      <w:proofErr w:type="gramStart"/>
      <w:r>
        <w:t>;92:92</w:t>
      </w:r>
      <w:proofErr w:type="gramEnd"/>
      <w:r>
        <w:t xml:space="preserve">-8. </w:t>
      </w:r>
    </w:p>
    <w:p w:rsidR="00FD6531" w:rsidRDefault="00FD6531" w:rsidP="00FD6531">
      <w:pPr>
        <w:numPr>
          <w:ilvl w:val="0"/>
          <w:numId w:val="13"/>
        </w:numPr>
        <w:spacing w:after="0" w:line="240" w:lineRule="auto"/>
      </w:pPr>
      <w:r w:rsidRPr="005C1C6F">
        <w:t>Medicines and Healthcare products Regulation Agency. Homeopathic Medicines: Guidance on advertising (section on regulation of homeopathic products) [cited 201</w:t>
      </w:r>
      <w:r w:rsidR="005612BF">
        <w:t>9</w:t>
      </w:r>
      <w:r w:rsidRPr="005C1C6F">
        <w:t xml:space="preserve"> </w:t>
      </w:r>
      <w:r w:rsidR="005612BF">
        <w:t>Nov</w:t>
      </w:r>
      <w:r w:rsidR="002D3B5C">
        <w:t xml:space="preserve"> 1</w:t>
      </w:r>
      <w:r w:rsidR="005612BF">
        <w:t>1</w:t>
      </w:r>
      <w:r w:rsidRPr="005C1C6F">
        <w:t xml:space="preserve">]. Available from: </w:t>
      </w:r>
    </w:p>
    <w:p w:rsidR="00FD6531" w:rsidRDefault="00FD6531" w:rsidP="00427F92">
      <w:pPr>
        <w:pStyle w:val="Heading2"/>
      </w:pPr>
    </w:p>
    <w:p w:rsidR="003522D3" w:rsidRDefault="003522D3" w:rsidP="003522D3"/>
    <w:p w:rsidR="00427F92" w:rsidRPr="00B1695F" w:rsidRDefault="00427F92" w:rsidP="00427F92">
      <w:pPr>
        <w:pStyle w:val="Heading2"/>
      </w:pPr>
      <w:r w:rsidRPr="00B00B12">
        <w:t xml:space="preserve">Quality Assurance </w:t>
      </w:r>
    </w:p>
    <w:p w:rsidR="00427F92" w:rsidRPr="00B00B12" w:rsidRDefault="00427F92" w:rsidP="00427F92">
      <w:pPr>
        <w:pStyle w:val="Heading3"/>
        <w:rPr>
          <w:lang w:val="en-US"/>
        </w:rPr>
      </w:pPr>
      <w:r w:rsidRPr="00B00B12">
        <w:rPr>
          <w:lang w:val="en-US"/>
        </w:rPr>
        <w:t>Prepared by</w:t>
      </w:r>
    </w:p>
    <w:p w:rsidR="00427F92" w:rsidRPr="006945F6" w:rsidRDefault="002D3B5C" w:rsidP="00427F92">
      <w:pPr>
        <w:rPr>
          <w:lang w:val="en-US"/>
        </w:rPr>
      </w:pPr>
      <w:r>
        <w:rPr>
          <w:lang w:val="en-US"/>
        </w:rPr>
        <w:t>Alex Bailey, Welsh Medicines Information Centre</w:t>
      </w:r>
    </w:p>
    <w:p w:rsidR="00427F92" w:rsidRPr="00B00B12" w:rsidRDefault="00427F92" w:rsidP="00427F92">
      <w:pPr>
        <w:pStyle w:val="Heading3"/>
        <w:rPr>
          <w:lang w:val="en-US"/>
        </w:rPr>
      </w:pPr>
      <w:r w:rsidRPr="00B00B12">
        <w:rPr>
          <w:lang w:val="en-US"/>
        </w:rPr>
        <w:t>Date Prepared</w:t>
      </w:r>
      <w:bookmarkStart w:id="0" w:name="_GoBack"/>
      <w:bookmarkEnd w:id="0"/>
    </w:p>
    <w:p w:rsidR="00427F92" w:rsidRPr="00B00B12" w:rsidRDefault="00EC1C8B" w:rsidP="00427F92">
      <w:pPr>
        <w:rPr>
          <w:lang w:val="en-US"/>
        </w:rPr>
      </w:pPr>
      <w:r>
        <w:rPr>
          <w:lang w:val="en-US"/>
        </w:rPr>
        <w:t>12</w:t>
      </w:r>
      <w:r w:rsidR="00141618">
        <w:rPr>
          <w:lang w:val="en-US"/>
        </w:rPr>
        <w:t xml:space="preserve"> </w:t>
      </w:r>
      <w:r w:rsidR="005612BF">
        <w:rPr>
          <w:lang w:val="en-US"/>
        </w:rPr>
        <w:t>Nov</w:t>
      </w:r>
      <w:r w:rsidR="002D3B5C">
        <w:rPr>
          <w:lang w:val="en-US"/>
        </w:rPr>
        <w:t xml:space="preserve"> 201</w:t>
      </w:r>
      <w:r w:rsidR="005612BF">
        <w:rPr>
          <w:lang w:val="en-US"/>
        </w:rPr>
        <w:t>9</w:t>
      </w:r>
    </w:p>
    <w:p w:rsidR="00D71E82" w:rsidRDefault="00427F92" w:rsidP="003522D3">
      <w:pPr>
        <w:spacing w:after="0" w:line="240" w:lineRule="auto"/>
        <w:rPr>
          <w:lang w:val="en-US"/>
        </w:rPr>
      </w:pPr>
      <w:r w:rsidRPr="00B1695F">
        <w:rPr>
          <w:rStyle w:val="Heading3Char"/>
          <w:rFonts w:eastAsia="Calibri"/>
        </w:rPr>
        <w:t>Checked by</w:t>
      </w:r>
      <w:r w:rsidRPr="00B00B12">
        <w:rPr>
          <w:rFonts w:eastAsia="Times New Roman" w:cs="Arial"/>
          <w:b/>
          <w:color w:val="0000FF"/>
          <w:szCs w:val="20"/>
          <w:lang w:val="en-US"/>
        </w:rPr>
        <w:br/>
      </w:r>
      <w:r w:rsidR="002D3B5C">
        <w:rPr>
          <w:rFonts w:eastAsia="Times New Roman" w:cs="Arial"/>
          <w:szCs w:val="20"/>
          <w:lang w:val="en-US"/>
        </w:rPr>
        <w:t>Gail Woodland, Welsh Medicines Information Centre</w:t>
      </w:r>
      <w:r w:rsidRPr="00B00B12">
        <w:rPr>
          <w:lang w:val="en-US"/>
        </w:rPr>
        <w:br/>
      </w:r>
    </w:p>
    <w:p w:rsidR="003522D3" w:rsidRDefault="00D71E82" w:rsidP="003522D3">
      <w:pPr>
        <w:spacing w:after="0" w:line="240" w:lineRule="auto"/>
        <w:rPr>
          <w:rFonts w:cs="Arial"/>
          <w:lang w:val="en-US"/>
        </w:rPr>
      </w:pPr>
      <w:r>
        <w:rPr>
          <w:rStyle w:val="Heading3Char"/>
          <w:rFonts w:eastAsia="Calibri"/>
        </w:rPr>
        <w:t>Date of C</w:t>
      </w:r>
      <w:r w:rsidRPr="00B1695F">
        <w:rPr>
          <w:rStyle w:val="Heading3Char"/>
          <w:rFonts w:eastAsia="Calibri"/>
        </w:rPr>
        <w:t>heck</w:t>
      </w:r>
    </w:p>
    <w:p w:rsidR="00F45C87" w:rsidRDefault="00062837" w:rsidP="00427F92">
      <w:pPr>
        <w:rPr>
          <w:lang w:val="en-US"/>
        </w:rPr>
      </w:pPr>
      <w:r>
        <w:rPr>
          <w:lang w:val="en-US"/>
        </w:rPr>
        <w:t>21</w:t>
      </w:r>
      <w:r w:rsidR="00846273">
        <w:rPr>
          <w:lang w:val="en-US"/>
        </w:rPr>
        <w:t xml:space="preserve"> </w:t>
      </w:r>
      <w:r>
        <w:rPr>
          <w:lang w:val="en-US"/>
        </w:rPr>
        <w:t>Nov</w:t>
      </w:r>
      <w:r w:rsidR="00D71E82">
        <w:rPr>
          <w:lang w:val="en-US"/>
        </w:rPr>
        <w:t xml:space="preserve"> 201</w:t>
      </w:r>
      <w:r>
        <w:rPr>
          <w:lang w:val="en-US"/>
        </w:rPr>
        <w:t>9</w:t>
      </w:r>
    </w:p>
    <w:p w:rsidR="00427F92" w:rsidRPr="00B00B12" w:rsidRDefault="00427F92" w:rsidP="00427F92">
      <w:pPr>
        <w:pStyle w:val="Heading3"/>
        <w:rPr>
          <w:lang w:val="en-US"/>
        </w:rPr>
      </w:pPr>
      <w:r w:rsidRPr="00B00B12">
        <w:rPr>
          <w:lang w:val="en-US"/>
        </w:rPr>
        <w:t>Search strategy</w:t>
      </w:r>
    </w:p>
    <w:p w:rsidR="00FD6531" w:rsidRPr="00421711" w:rsidRDefault="00FD6531" w:rsidP="00FD6531">
      <w:pPr>
        <w:numPr>
          <w:ilvl w:val="0"/>
          <w:numId w:val="10"/>
        </w:numPr>
        <w:spacing w:after="0" w:line="240" w:lineRule="auto"/>
        <w:rPr>
          <w:rFonts w:cs="Arial"/>
        </w:rPr>
      </w:pPr>
      <w:r w:rsidRPr="00421711">
        <w:rPr>
          <w:rFonts w:cs="Arial"/>
        </w:rPr>
        <w:t xml:space="preserve">In-house data </w:t>
      </w:r>
      <w:r>
        <w:rPr>
          <w:rFonts w:cs="Arial"/>
        </w:rPr>
        <w:t xml:space="preserve">(homeopath* OR homoeopath*) </w:t>
      </w:r>
    </w:p>
    <w:p w:rsidR="00FD6531" w:rsidRPr="00352EFD" w:rsidRDefault="00FD6531" w:rsidP="00FD6531">
      <w:pPr>
        <w:numPr>
          <w:ilvl w:val="0"/>
          <w:numId w:val="10"/>
        </w:numPr>
        <w:spacing w:after="0" w:line="240" w:lineRule="auto"/>
      </w:pPr>
      <w:proofErr w:type="spellStart"/>
      <w:r>
        <w:rPr>
          <w:rFonts w:cs="Arial"/>
        </w:rPr>
        <w:t>NeLM</w:t>
      </w:r>
      <w:proofErr w:type="spellEnd"/>
      <w:r w:rsidRPr="00421711">
        <w:rPr>
          <w:rFonts w:cs="Arial"/>
        </w:rPr>
        <w:t xml:space="preserve"> </w:t>
      </w:r>
      <w:r>
        <w:rPr>
          <w:rFonts w:cs="Arial"/>
        </w:rPr>
        <w:t xml:space="preserve">(for previous versions) </w:t>
      </w:r>
      <w:r w:rsidRPr="00421711">
        <w:rPr>
          <w:rFonts w:cs="Arial"/>
        </w:rPr>
        <w:t>(homeopathy or</w:t>
      </w:r>
      <w:r>
        <w:rPr>
          <w:rFonts w:cs="Arial"/>
        </w:rPr>
        <w:t xml:space="preserve"> homoeopathy</w:t>
      </w:r>
      <w:r w:rsidRPr="00421711">
        <w:rPr>
          <w:rFonts w:cs="Arial"/>
        </w:rPr>
        <w:t>)</w:t>
      </w:r>
    </w:p>
    <w:p w:rsidR="00FD6531" w:rsidRPr="00F20DA9" w:rsidRDefault="00FD6531" w:rsidP="00FD6531">
      <w:pPr>
        <w:numPr>
          <w:ilvl w:val="0"/>
          <w:numId w:val="10"/>
        </w:numPr>
        <w:spacing w:after="0" w:line="240" w:lineRule="auto"/>
      </w:pPr>
      <w:r>
        <w:rPr>
          <w:rFonts w:cs="Arial"/>
        </w:rPr>
        <w:t xml:space="preserve">NICE Evidence </w:t>
      </w:r>
      <w:r w:rsidR="00F45C87">
        <w:rPr>
          <w:rFonts w:cs="Arial"/>
        </w:rPr>
        <w:t xml:space="preserve">(from 2013) </w:t>
      </w:r>
      <w:r>
        <w:rPr>
          <w:rFonts w:cs="Arial"/>
        </w:rPr>
        <w:t>(homeopathy)</w:t>
      </w:r>
    </w:p>
    <w:p w:rsidR="00FD6531" w:rsidRPr="00421711" w:rsidRDefault="00FD6531" w:rsidP="00FD6531">
      <w:pPr>
        <w:numPr>
          <w:ilvl w:val="0"/>
          <w:numId w:val="10"/>
        </w:numPr>
        <w:spacing w:after="0" w:line="240" w:lineRule="auto"/>
      </w:pPr>
      <w:proofErr w:type="spellStart"/>
      <w:r>
        <w:rPr>
          <w:rFonts w:cs="Arial"/>
        </w:rPr>
        <w:t>Pharmline</w:t>
      </w:r>
      <w:proofErr w:type="spellEnd"/>
      <w:r>
        <w:rPr>
          <w:rFonts w:cs="Arial"/>
        </w:rPr>
        <w:t xml:space="preserve"> (for previous versions) (homeopathy)</w:t>
      </w:r>
    </w:p>
    <w:p w:rsidR="00FD6531" w:rsidRPr="00421711" w:rsidRDefault="00FD6531" w:rsidP="00FD6531">
      <w:pPr>
        <w:numPr>
          <w:ilvl w:val="0"/>
          <w:numId w:val="10"/>
        </w:numPr>
        <w:spacing w:after="0" w:line="240" w:lineRule="auto"/>
      </w:pPr>
      <w:r w:rsidRPr="00421711">
        <w:rPr>
          <w:rFonts w:cs="Arial"/>
        </w:rPr>
        <w:t>Micromedex (homeopathy</w:t>
      </w:r>
      <w:r>
        <w:rPr>
          <w:rFonts w:cs="Arial"/>
        </w:rPr>
        <w:t xml:space="preserve"> or homoeopathy</w:t>
      </w:r>
      <w:r w:rsidRPr="00421711">
        <w:rPr>
          <w:rFonts w:cs="Arial"/>
        </w:rPr>
        <w:t>)</w:t>
      </w:r>
    </w:p>
    <w:p w:rsidR="00FD6531" w:rsidRPr="00421711" w:rsidRDefault="00FD6531" w:rsidP="00FD6531">
      <w:pPr>
        <w:numPr>
          <w:ilvl w:val="0"/>
          <w:numId w:val="10"/>
        </w:numPr>
        <w:spacing w:after="0" w:line="240" w:lineRule="auto"/>
      </w:pPr>
      <w:r>
        <w:rPr>
          <w:rFonts w:cs="Arial"/>
        </w:rPr>
        <w:t xml:space="preserve">IDIS </w:t>
      </w:r>
      <w:r w:rsidR="00F45C87">
        <w:rPr>
          <w:rFonts w:cs="Arial"/>
        </w:rPr>
        <w:t xml:space="preserve">(for previous versions) </w:t>
      </w:r>
      <w:r>
        <w:rPr>
          <w:rFonts w:cs="Arial"/>
        </w:rPr>
        <w:t xml:space="preserve">(homeopathic preparations, homeopathic preparations and descriptors side </w:t>
      </w:r>
      <w:proofErr w:type="spellStart"/>
      <w:r>
        <w:rPr>
          <w:rFonts w:cs="Arial"/>
        </w:rPr>
        <w:t>ef</w:t>
      </w:r>
      <w:proofErr w:type="spellEnd"/>
      <w:r>
        <w:rPr>
          <w:rFonts w:cs="Arial"/>
        </w:rPr>
        <w:t>, drug combination</w:t>
      </w:r>
      <w:r w:rsidRPr="00421711">
        <w:rPr>
          <w:rFonts w:cs="Arial"/>
        </w:rPr>
        <w:t>)</w:t>
      </w:r>
    </w:p>
    <w:p w:rsidR="00FD6531" w:rsidRPr="00421711" w:rsidRDefault="00FD6531" w:rsidP="00FD6531">
      <w:pPr>
        <w:numPr>
          <w:ilvl w:val="0"/>
          <w:numId w:val="10"/>
        </w:numPr>
        <w:spacing w:after="0" w:line="240" w:lineRule="auto"/>
      </w:pPr>
      <w:r>
        <w:rPr>
          <w:rFonts w:cs="Arial"/>
        </w:rPr>
        <w:t>PubMed (homeopathy [</w:t>
      </w:r>
      <w:proofErr w:type="spellStart"/>
      <w:r>
        <w:rPr>
          <w:rFonts w:cs="Arial"/>
        </w:rPr>
        <w:t>Majr</w:t>
      </w:r>
      <w:proofErr w:type="spellEnd"/>
      <w:r>
        <w:rPr>
          <w:rFonts w:cs="Arial"/>
        </w:rPr>
        <w:t>]</w:t>
      </w:r>
      <w:r w:rsidR="00F45C87">
        <w:rPr>
          <w:rFonts w:cs="Arial"/>
        </w:rPr>
        <w:t>;</w:t>
      </w:r>
      <w:r>
        <w:rPr>
          <w:rFonts w:cs="Arial"/>
        </w:rPr>
        <w:t xml:space="preserve"> homeopathy and adverse effect or drug interaction</w:t>
      </w:r>
      <w:r w:rsidRPr="00421711">
        <w:rPr>
          <w:rFonts w:cs="Arial"/>
        </w:rPr>
        <w:t>)</w:t>
      </w:r>
    </w:p>
    <w:p w:rsidR="00FD6531" w:rsidRPr="00421711" w:rsidRDefault="00FD6531" w:rsidP="00FD6531">
      <w:pPr>
        <w:numPr>
          <w:ilvl w:val="0"/>
          <w:numId w:val="10"/>
        </w:numPr>
        <w:spacing w:after="0" w:line="240" w:lineRule="auto"/>
      </w:pPr>
      <w:proofErr w:type="spellStart"/>
      <w:r w:rsidRPr="00421711">
        <w:rPr>
          <w:rFonts w:cs="Arial"/>
        </w:rPr>
        <w:t>Em</w:t>
      </w:r>
      <w:r>
        <w:rPr>
          <w:rFonts w:cs="Arial"/>
        </w:rPr>
        <w:t>base</w:t>
      </w:r>
      <w:proofErr w:type="spellEnd"/>
      <w:r>
        <w:rPr>
          <w:rFonts w:cs="Arial"/>
        </w:rPr>
        <w:t xml:space="preserve"> (*homeopathy. Limit = English language</w:t>
      </w:r>
      <w:r w:rsidR="00F45C87">
        <w:rPr>
          <w:rFonts w:cs="Arial"/>
        </w:rPr>
        <w:t>;</w:t>
      </w:r>
      <w:r w:rsidRPr="00F53DE5">
        <w:rPr>
          <w:rFonts w:cs="Arial"/>
        </w:rPr>
        <w:t xml:space="preserve"> </w:t>
      </w:r>
      <w:proofErr w:type="spellStart"/>
      <w:r w:rsidRPr="00F53DE5">
        <w:rPr>
          <w:rStyle w:val="searchhistory-search-term"/>
          <w:rFonts w:cs="Arial"/>
          <w:color w:val="0A0905"/>
        </w:rPr>
        <w:t>exp</w:t>
      </w:r>
      <w:proofErr w:type="spellEnd"/>
      <w:r w:rsidRPr="00F53DE5">
        <w:rPr>
          <w:rStyle w:val="searchhistory-search-term"/>
          <w:rFonts w:cs="Arial"/>
          <w:color w:val="0A0905"/>
        </w:rPr>
        <w:t xml:space="preserve"> homeopathic agent/ae</w:t>
      </w:r>
      <w:r w:rsidR="00F45C87">
        <w:rPr>
          <w:rStyle w:val="searchhistory-search-term"/>
          <w:rFonts w:cs="Arial"/>
          <w:color w:val="0A0905"/>
        </w:rPr>
        <w:t>;</w:t>
      </w:r>
      <w:r w:rsidRPr="00F53DE5">
        <w:rPr>
          <w:rStyle w:val="searchhistory-search-term"/>
          <w:rFonts w:cs="Arial"/>
          <w:color w:val="0A0905"/>
        </w:rPr>
        <w:t xml:space="preserve"> </w:t>
      </w:r>
      <w:proofErr w:type="spellStart"/>
      <w:r w:rsidRPr="00F53DE5">
        <w:rPr>
          <w:rStyle w:val="searchhistory-search-term"/>
          <w:rFonts w:cs="Arial"/>
          <w:color w:val="0A0905"/>
        </w:rPr>
        <w:t>exp</w:t>
      </w:r>
      <w:proofErr w:type="spellEnd"/>
      <w:r w:rsidRPr="00F53DE5">
        <w:rPr>
          <w:rStyle w:val="searchhistory-search-term"/>
          <w:rFonts w:cs="Arial"/>
          <w:color w:val="0A0905"/>
        </w:rPr>
        <w:t xml:space="preserve"> homeopathic agent/it</w:t>
      </w:r>
      <w:r w:rsidRPr="00421711">
        <w:rPr>
          <w:rFonts w:cs="Arial"/>
        </w:rPr>
        <w:t>)</w:t>
      </w:r>
    </w:p>
    <w:p w:rsidR="00FD6531" w:rsidRPr="00421711" w:rsidRDefault="00FD6531" w:rsidP="00FD6531">
      <w:pPr>
        <w:numPr>
          <w:ilvl w:val="0"/>
          <w:numId w:val="10"/>
        </w:numPr>
        <w:spacing w:after="0" w:line="240" w:lineRule="auto"/>
      </w:pPr>
      <w:r w:rsidRPr="00421711">
        <w:rPr>
          <w:rFonts w:cs="Arial"/>
        </w:rPr>
        <w:t>Cochrane (homeopathy</w:t>
      </w:r>
      <w:r>
        <w:rPr>
          <w:rFonts w:cs="Arial"/>
        </w:rPr>
        <w:t xml:space="preserve"> or homoeopathy </w:t>
      </w:r>
      <w:r w:rsidR="00515ED7">
        <w:rPr>
          <w:rFonts w:cs="Arial"/>
        </w:rPr>
        <w:t>)</w:t>
      </w:r>
    </w:p>
    <w:p w:rsidR="00FD6531" w:rsidRDefault="00FD6531" w:rsidP="00FD6531">
      <w:pPr>
        <w:numPr>
          <w:ilvl w:val="0"/>
          <w:numId w:val="10"/>
        </w:numPr>
        <w:spacing w:after="0" w:line="240" w:lineRule="auto"/>
        <w:rPr>
          <w:rFonts w:cs="Arial"/>
        </w:rPr>
      </w:pPr>
      <w:r w:rsidRPr="00421711">
        <w:rPr>
          <w:rFonts w:cs="Arial"/>
        </w:rPr>
        <w:t>Natural Medicines Comprehensive database</w:t>
      </w:r>
      <w:r>
        <w:rPr>
          <w:rFonts w:cs="Arial"/>
        </w:rPr>
        <w:t xml:space="preserve"> (homeopathy)</w:t>
      </w:r>
    </w:p>
    <w:p w:rsidR="00F45C87" w:rsidRDefault="00F45C87" w:rsidP="00FD6531">
      <w:pPr>
        <w:numPr>
          <w:ilvl w:val="0"/>
          <w:numId w:val="10"/>
        </w:numPr>
        <w:spacing w:after="0" w:line="240" w:lineRule="auto"/>
        <w:rPr>
          <w:rFonts w:cs="Arial"/>
        </w:rPr>
      </w:pPr>
      <w:r>
        <w:rPr>
          <w:rFonts w:cs="Arial"/>
        </w:rPr>
        <w:t>SPS (from 2017) (h</w:t>
      </w:r>
      <w:r w:rsidR="003522D3" w:rsidRPr="003522D3">
        <w:rPr>
          <w:rFonts w:cs="Arial"/>
        </w:rPr>
        <w:t>om</w:t>
      </w:r>
      <w:r>
        <w:rPr>
          <w:rFonts w:cs="Arial"/>
        </w:rPr>
        <w:t>eopathy/homoeopathy/homeopath*/h</w:t>
      </w:r>
      <w:r w:rsidR="003522D3" w:rsidRPr="003522D3">
        <w:rPr>
          <w:rFonts w:cs="Arial"/>
        </w:rPr>
        <w:t>omoeopath*</w:t>
      </w:r>
      <w:r>
        <w:rPr>
          <w:rFonts w:cs="Arial"/>
        </w:rPr>
        <w:t>)</w:t>
      </w:r>
    </w:p>
    <w:p w:rsidR="004F475C" w:rsidRPr="00427F92" w:rsidRDefault="004F475C" w:rsidP="00427F92"/>
    <w:sectPr w:rsidR="004F475C" w:rsidRPr="00427F92" w:rsidSect="004F475C">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3BF" w:rsidRDefault="00A303BF" w:rsidP="00B2372E">
      <w:pPr>
        <w:spacing w:after="0" w:line="240" w:lineRule="auto"/>
      </w:pPr>
      <w:r>
        <w:separator/>
      </w:r>
    </w:p>
  </w:endnote>
  <w:endnote w:type="continuationSeparator" w:id="0">
    <w:p w:rsidR="00A303BF" w:rsidRDefault="00A303BF" w:rsidP="00B23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3BF" w:rsidRPr="006945F6" w:rsidRDefault="00A303BF" w:rsidP="00B2372E">
    <w:pPr>
      <w:pStyle w:val="Footer"/>
      <w:ind w:right="360"/>
      <w:rPr>
        <w:color w:val="A6A6A6"/>
      </w:rPr>
    </w:pPr>
    <w:r w:rsidRPr="006945F6">
      <w:rPr>
        <w:color w:val="A6A6A6"/>
      </w:rPr>
      <w:t xml:space="preserve">Available through </w:t>
    </w:r>
    <w:r>
      <w:rPr>
        <w:color w:val="A6A6A6"/>
      </w:rPr>
      <w:t>Specialist Pharmacy Service</w:t>
    </w:r>
    <w:r w:rsidRPr="006945F6">
      <w:rPr>
        <w:color w:val="A6A6A6"/>
      </w:rPr>
      <w:t xml:space="preserve"> at </w:t>
    </w:r>
  </w:p>
  <w:p w:rsidR="00A303BF" w:rsidRPr="006945F6" w:rsidRDefault="003716DE" w:rsidP="00B2372E">
    <w:pPr>
      <w:pStyle w:val="Footer"/>
      <w:ind w:right="360"/>
      <w:rPr>
        <w:color w:val="A6A6A6"/>
      </w:rPr>
    </w:pPr>
    <w:hyperlink r:id="rId1" w:history="1">
      <w:r w:rsidR="00A303BF" w:rsidRPr="00AB2D91">
        <w:rPr>
          <w:rStyle w:val="Hyperlink"/>
        </w:rPr>
        <w:t>www.sps.nhs.uk</w:t>
      </w:r>
    </w:hyperlink>
    <w:r w:rsidR="00A303BF">
      <w:rPr>
        <w:color w:val="A6A6A6"/>
      </w:rPr>
      <w:t xml:space="preserve"> </w:t>
    </w:r>
  </w:p>
  <w:p w:rsidR="00A303BF" w:rsidRDefault="00A303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3BF" w:rsidRDefault="00A303BF" w:rsidP="00B2372E">
      <w:pPr>
        <w:spacing w:after="0" w:line="240" w:lineRule="auto"/>
      </w:pPr>
      <w:r>
        <w:separator/>
      </w:r>
    </w:p>
  </w:footnote>
  <w:footnote w:type="continuationSeparator" w:id="0">
    <w:p w:rsidR="00A303BF" w:rsidRDefault="00A303BF" w:rsidP="00B237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3BF" w:rsidRPr="00B1695F" w:rsidRDefault="00A303BF" w:rsidP="003A21B9">
    <w:pPr>
      <w:pStyle w:val="Header"/>
      <w:tabs>
        <w:tab w:val="clear" w:pos="4513"/>
        <w:tab w:val="clear" w:pos="9026"/>
        <w:tab w:val="left" w:pos="7650"/>
      </w:tabs>
      <w:rPr>
        <w:b/>
        <w:color w:val="0070C0"/>
      </w:rPr>
    </w:pPr>
    <w:r>
      <w:rPr>
        <w:b/>
        <w:noProof/>
        <w:color w:val="0070C0"/>
        <w:sz w:val="24"/>
        <w:lang w:eastAsia="en-GB"/>
      </w:rPr>
      <w:drawing>
        <wp:anchor distT="0" distB="0" distL="114300" distR="114300" simplePos="0" relativeHeight="251661312" behindDoc="0" locked="0" layoutInCell="1" allowOverlap="1">
          <wp:simplePos x="0" y="0"/>
          <wp:positionH relativeFrom="column">
            <wp:posOffset>2867025</wp:posOffset>
          </wp:positionH>
          <wp:positionV relativeFrom="paragraph">
            <wp:posOffset>-182880</wp:posOffset>
          </wp:positionV>
          <wp:extent cx="2876550" cy="514350"/>
          <wp:effectExtent l="19050" t="0" r="0" b="0"/>
          <wp:wrapSquare wrapText="bothSides"/>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876550" cy="514350"/>
                  </a:xfrm>
                  <a:prstGeom prst="rect">
                    <a:avLst/>
                  </a:prstGeom>
                  <a:noFill/>
                  <a:ln w="9525">
                    <a:noFill/>
                    <a:miter lim="800000"/>
                    <a:headEnd/>
                    <a:tailEnd/>
                  </a:ln>
                </pic:spPr>
              </pic:pic>
            </a:graphicData>
          </a:graphic>
        </wp:anchor>
      </w:drawing>
    </w:r>
    <w:r w:rsidR="00D0522E">
      <w:rPr>
        <w:b/>
        <w:noProof/>
        <w:color w:val="0070C0"/>
        <w:sz w:val="24"/>
        <w:lang w:eastAsia="en-GB"/>
      </w:rPr>
      <mc:AlternateContent>
        <mc:Choice Requires="wps">
          <w:drawing>
            <wp:anchor distT="0" distB="0" distL="114300" distR="114300" simplePos="0" relativeHeight="251663360" behindDoc="0" locked="0" layoutInCell="1" allowOverlap="1">
              <wp:simplePos x="0" y="0"/>
              <wp:positionH relativeFrom="column">
                <wp:posOffset>187960</wp:posOffset>
              </wp:positionH>
              <wp:positionV relativeFrom="paragraph">
                <wp:posOffset>-87630</wp:posOffset>
              </wp:positionV>
              <wp:extent cx="1393190" cy="28257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3BF" w:rsidRPr="00B1695F" w:rsidRDefault="00A303BF" w:rsidP="003A21B9">
                          <w:pPr>
                            <w:pStyle w:val="Header"/>
                            <w:tabs>
                              <w:tab w:val="clear" w:pos="4513"/>
                              <w:tab w:val="clear" w:pos="9026"/>
                              <w:tab w:val="left" w:pos="7650"/>
                            </w:tabs>
                            <w:rPr>
                              <w:b/>
                              <w:color w:val="0070C0"/>
                            </w:rPr>
                          </w:pPr>
                          <w:r w:rsidRPr="00B1695F">
                            <w:rPr>
                              <w:b/>
                              <w:color w:val="0070C0"/>
                              <w:sz w:val="24"/>
                            </w:rPr>
                            <w:t>Medicines Q&amp;As</w:t>
                          </w:r>
                        </w:p>
                        <w:p w:rsidR="00A303BF" w:rsidRDefault="00A303B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4.8pt;margin-top:-6.9pt;width:109.7pt;height:2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LMntgIAALk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" filled="f" stroked="f">
              <v:textbox>
                <w:txbxContent>
                  <w:p w:rsidR="00A303BF" w:rsidRPr="00B1695F" w:rsidRDefault="00A303BF" w:rsidP="003A21B9">
                    <w:pPr>
                      <w:pStyle w:val="Header"/>
                      <w:tabs>
                        <w:tab w:val="clear" w:pos="4513"/>
                        <w:tab w:val="clear" w:pos="9026"/>
                        <w:tab w:val="left" w:pos="7650"/>
                      </w:tabs>
                      <w:rPr>
                        <w:b/>
                        <w:color w:val="0070C0"/>
                      </w:rPr>
                    </w:pPr>
                    <w:r w:rsidRPr="00B1695F">
                      <w:rPr>
                        <w:b/>
                        <w:color w:val="0070C0"/>
                        <w:sz w:val="24"/>
                      </w:rPr>
                      <w:t>Medicines Q&amp;As</w:t>
                    </w:r>
                  </w:p>
                  <w:p w:rsidR="00A303BF" w:rsidRDefault="00A303BF"/>
                </w:txbxContent>
              </v:textbox>
            </v:shape>
          </w:pict>
        </mc:Fallback>
      </mc:AlternateContent>
    </w:r>
  </w:p>
  <w:p w:rsidR="00A303BF" w:rsidRDefault="00D0522E">
    <w:pPr>
      <w:pStyle w:val="Header"/>
    </w:pPr>
    <w:r>
      <w:rPr>
        <w:b/>
        <w:noProof/>
        <w:color w:val="0070C0"/>
        <w:sz w:val="24"/>
        <w:lang w:eastAsia="en-GB"/>
      </w:rP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ragraph">
                <wp:posOffset>15875</wp:posOffset>
              </wp:positionV>
              <wp:extent cx="1762125" cy="0"/>
              <wp:effectExtent l="16510" t="15875" r="12065" b="127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line">
                        <a:avLst/>
                      </a:prstGeom>
                      <a:noFill/>
                      <a:ln w="222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C97A2"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25pt" to="139.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" strokecolor="#0070c0" strokeweight="1.7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F42B4"/>
    <w:multiLevelType w:val="hybridMultilevel"/>
    <w:tmpl w:val="78DC2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003DC"/>
    <w:multiLevelType w:val="hybridMultilevel"/>
    <w:tmpl w:val="0D8C2666"/>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E77185"/>
    <w:multiLevelType w:val="hybridMultilevel"/>
    <w:tmpl w:val="81FACF7E"/>
    <w:lvl w:ilvl="0" w:tplc="E3E43F9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03502"/>
    <w:multiLevelType w:val="hybridMultilevel"/>
    <w:tmpl w:val="AFBE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0E345A"/>
    <w:multiLevelType w:val="hybridMultilevel"/>
    <w:tmpl w:val="3DC2B7F4"/>
    <w:lvl w:ilvl="0" w:tplc="CB10C71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437541"/>
    <w:multiLevelType w:val="hybridMultilevel"/>
    <w:tmpl w:val="2BFCA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B610C0"/>
    <w:multiLevelType w:val="hybridMultilevel"/>
    <w:tmpl w:val="7E666B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99E4766"/>
    <w:multiLevelType w:val="hybridMultilevel"/>
    <w:tmpl w:val="9CC81D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A955D0D"/>
    <w:multiLevelType w:val="hybridMultilevel"/>
    <w:tmpl w:val="28187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3E29E4"/>
    <w:multiLevelType w:val="hybridMultilevel"/>
    <w:tmpl w:val="9A2E72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87273A"/>
    <w:multiLevelType w:val="singleLevel"/>
    <w:tmpl w:val="882A470A"/>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C6A33C1"/>
    <w:multiLevelType w:val="hybridMultilevel"/>
    <w:tmpl w:val="59FC76E6"/>
    <w:lvl w:ilvl="0" w:tplc="C41621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4"/>
  </w:num>
  <w:num w:numId="3">
    <w:abstractNumId w:val="10"/>
  </w:num>
  <w:num w:numId="4">
    <w:abstractNumId w:val="3"/>
  </w:num>
  <w:num w:numId="5">
    <w:abstractNumId w:val="2"/>
  </w:num>
  <w:num w:numId="6">
    <w:abstractNumId w:val="7"/>
  </w:num>
  <w:num w:numId="7">
    <w:abstractNumId w:val="6"/>
  </w:num>
  <w:num w:numId="8">
    <w:abstractNumId w:val="1"/>
  </w:num>
  <w:num w:numId="9">
    <w:abstractNumId w:val="8"/>
  </w:num>
  <w:num w:numId="10">
    <w:abstractNumId w:val="0"/>
    <w:lvlOverride w:ilvl="0">
      <w:lvl w:ilvl="0">
        <w:numFmt w:val="bullet"/>
        <w:lvlText w:val=""/>
        <w:legacy w:legacy="1" w:legacySpace="0" w:legacyIndent="360"/>
        <w:lvlJc w:val="left"/>
        <w:pPr>
          <w:ind w:left="720" w:hanging="360"/>
        </w:pPr>
        <w:rPr>
          <w:rFonts w:ascii="Symbol" w:hAnsi="Symbol" w:hint="default"/>
        </w:rPr>
      </w:lvl>
    </w:lvlOverride>
  </w:num>
  <w:num w:numId="11">
    <w:abstractNumId w:val="11"/>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72E"/>
    <w:rsid w:val="00013070"/>
    <w:rsid w:val="00057611"/>
    <w:rsid w:val="00062837"/>
    <w:rsid w:val="00091676"/>
    <w:rsid w:val="000C5087"/>
    <w:rsid w:val="00141618"/>
    <w:rsid w:val="00142676"/>
    <w:rsid w:val="00146DE6"/>
    <w:rsid w:val="001745F2"/>
    <w:rsid w:val="001D6798"/>
    <w:rsid w:val="00222388"/>
    <w:rsid w:val="002434D7"/>
    <w:rsid w:val="002A0495"/>
    <w:rsid w:val="002D3B5C"/>
    <w:rsid w:val="00320DC6"/>
    <w:rsid w:val="003522D3"/>
    <w:rsid w:val="003716DE"/>
    <w:rsid w:val="003A21B9"/>
    <w:rsid w:val="00427F92"/>
    <w:rsid w:val="00457A21"/>
    <w:rsid w:val="0048763E"/>
    <w:rsid w:val="004D3710"/>
    <w:rsid w:val="004F475C"/>
    <w:rsid w:val="00505AD2"/>
    <w:rsid w:val="00515ED7"/>
    <w:rsid w:val="00523EA7"/>
    <w:rsid w:val="005612BF"/>
    <w:rsid w:val="005C6886"/>
    <w:rsid w:val="005E35E7"/>
    <w:rsid w:val="006350FB"/>
    <w:rsid w:val="00687162"/>
    <w:rsid w:val="0069148B"/>
    <w:rsid w:val="006B4B51"/>
    <w:rsid w:val="006F61A6"/>
    <w:rsid w:val="00752FFF"/>
    <w:rsid w:val="007F79D2"/>
    <w:rsid w:val="00846273"/>
    <w:rsid w:val="00892E8C"/>
    <w:rsid w:val="008A2DDA"/>
    <w:rsid w:val="00966CFC"/>
    <w:rsid w:val="00972555"/>
    <w:rsid w:val="00A303BF"/>
    <w:rsid w:val="00A5099A"/>
    <w:rsid w:val="00AB1C74"/>
    <w:rsid w:val="00B2372E"/>
    <w:rsid w:val="00B35BF4"/>
    <w:rsid w:val="00B55879"/>
    <w:rsid w:val="00BA705F"/>
    <w:rsid w:val="00C571A2"/>
    <w:rsid w:val="00CA3A44"/>
    <w:rsid w:val="00CB799D"/>
    <w:rsid w:val="00D0522E"/>
    <w:rsid w:val="00D71E82"/>
    <w:rsid w:val="00D9543C"/>
    <w:rsid w:val="00E00DDF"/>
    <w:rsid w:val="00E116FE"/>
    <w:rsid w:val="00EC1C8B"/>
    <w:rsid w:val="00F45C87"/>
    <w:rsid w:val="00F94B25"/>
    <w:rsid w:val="00FC1174"/>
    <w:rsid w:val="00FC1290"/>
    <w:rsid w:val="00FD65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5:docId w15:val="{DFAAFC40-F682-452E-8211-273EA022C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72E"/>
    <w:rPr>
      <w:rFonts w:ascii="Arial" w:eastAsia="Calibri" w:hAnsi="Arial" w:cs="Times New Roman"/>
      <w:sz w:val="20"/>
    </w:rPr>
  </w:style>
  <w:style w:type="paragraph" w:styleId="Heading1">
    <w:name w:val="heading 1"/>
    <w:basedOn w:val="Normal"/>
    <w:next w:val="Normal"/>
    <w:link w:val="Heading1Char"/>
    <w:uiPriority w:val="9"/>
    <w:qFormat/>
    <w:rsid w:val="00B2372E"/>
    <w:pPr>
      <w:keepNext/>
      <w:keepLines/>
      <w:spacing w:after="0"/>
      <w:jc w:val="center"/>
      <w:outlineLvl w:val="0"/>
    </w:pPr>
    <w:rPr>
      <w:rFonts w:eastAsia="Times New Roman"/>
      <w:b/>
      <w:bCs/>
      <w:color w:val="0070C0"/>
      <w:sz w:val="28"/>
      <w:szCs w:val="28"/>
    </w:rPr>
  </w:style>
  <w:style w:type="paragraph" w:styleId="Heading2">
    <w:name w:val="heading 2"/>
    <w:basedOn w:val="Normal"/>
    <w:next w:val="Normal"/>
    <w:link w:val="Heading2Char"/>
    <w:qFormat/>
    <w:rsid w:val="00B2372E"/>
    <w:pPr>
      <w:keepNext/>
      <w:spacing w:after="0" w:line="240" w:lineRule="auto"/>
      <w:outlineLvl w:val="1"/>
    </w:pPr>
    <w:rPr>
      <w:rFonts w:eastAsia="Times New Roman"/>
      <w:b/>
      <w:bCs/>
      <w:color w:val="0070C0"/>
      <w:sz w:val="24"/>
      <w:szCs w:val="20"/>
      <w:lang w:val="en-US"/>
    </w:rPr>
  </w:style>
  <w:style w:type="paragraph" w:styleId="Heading3">
    <w:name w:val="heading 3"/>
    <w:basedOn w:val="Normal"/>
    <w:next w:val="Normal"/>
    <w:link w:val="Heading3Char"/>
    <w:uiPriority w:val="9"/>
    <w:unhideWhenUsed/>
    <w:qFormat/>
    <w:rsid w:val="00B2372E"/>
    <w:pPr>
      <w:keepNext/>
      <w:keepLines/>
      <w:spacing w:before="200" w:after="0"/>
      <w:outlineLvl w:val="2"/>
    </w:pPr>
    <w:rPr>
      <w:rFonts w:eastAsia="Times New Roman"/>
      <w:b/>
      <w:bCs/>
      <w:color w:val="0070C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72E"/>
    <w:rPr>
      <w:rFonts w:ascii="Arial" w:eastAsia="Times New Roman" w:hAnsi="Arial" w:cs="Times New Roman"/>
      <w:b/>
      <w:bCs/>
      <w:color w:val="0070C0"/>
      <w:sz w:val="28"/>
      <w:szCs w:val="28"/>
    </w:rPr>
  </w:style>
  <w:style w:type="character" w:customStyle="1" w:styleId="Heading2Char">
    <w:name w:val="Heading 2 Char"/>
    <w:basedOn w:val="DefaultParagraphFont"/>
    <w:link w:val="Heading2"/>
    <w:rsid w:val="00B2372E"/>
    <w:rPr>
      <w:rFonts w:ascii="Arial" w:eastAsia="Times New Roman" w:hAnsi="Arial" w:cs="Times New Roman"/>
      <w:b/>
      <w:bCs/>
      <w:color w:val="0070C0"/>
      <w:sz w:val="24"/>
      <w:szCs w:val="20"/>
      <w:lang w:val="en-US"/>
    </w:rPr>
  </w:style>
  <w:style w:type="character" w:customStyle="1" w:styleId="Heading3Char">
    <w:name w:val="Heading 3 Char"/>
    <w:basedOn w:val="DefaultParagraphFont"/>
    <w:link w:val="Heading3"/>
    <w:uiPriority w:val="9"/>
    <w:rsid w:val="00B2372E"/>
    <w:rPr>
      <w:rFonts w:ascii="Arial" w:eastAsia="Times New Roman" w:hAnsi="Arial" w:cs="Times New Roman"/>
      <w:b/>
      <w:bCs/>
      <w:color w:val="0070C0"/>
      <w:sz w:val="20"/>
      <w:szCs w:val="20"/>
    </w:rPr>
  </w:style>
  <w:style w:type="character" w:styleId="Hyperlink">
    <w:name w:val="Hyperlink"/>
    <w:rsid w:val="00B2372E"/>
    <w:rPr>
      <w:color w:val="0000FF"/>
      <w:u w:val="single"/>
    </w:rPr>
  </w:style>
  <w:style w:type="paragraph" w:styleId="ListParagraph">
    <w:name w:val="List Paragraph"/>
    <w:basedOn w:val="Normal"/>
    <w:uiPriority w:val="34"/>
    <w:qFormat/>
    <w:rsid w:val="00B2372E"/>
    <w:pPr>
      <w:ind w:left="720"/>
      <w:contextualSpacing/>
    </w:pPr>
  </w:style>
  <w:style w:type="paragraph" w:styleId="Header">
    <w:name w:val="header"/>
    <w:basedOn w:val="Normal"/>
    <w:link w:val="HeaderChar"/>
    <w:unhideWhenUsed/>
    <w:rsid w:val="00B2372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2372E"/>
    <w:rPr>
      <w:rFonts w:ascii="Arial" w:eastAsia="Calibri" w:hAnsi="Arial" w:cs="Times New Roman"/>
      <w:sz w:val="20"/>
    </w:rPr>
  </w:style>
  <w:style w:type="paragraph" w:styleId="Footer">
    <w:name w:val="footer"/>
    <w:basedOn w:val="Normal"/>
    <w:link w:val="FooterChar"/>
    <w:unhideWhenUsed/>
    <w:rsid w:val="00B2372E"/>
    <w:pPr>
      <w:tabs>
        <w:tab w:val="center" w:pos="4513"/>
        <w:tab w:val="right" w:pos="9026"/>
      </w:tabs>
      <w:spacing w:after="0" w:line="240" w:lineRule="auto"/>
    </w:pPr>
  </w:style>
  <w:style w:type="character" w:customStyle="1" w:styleId="FooterChar">
    <w:name w:val="Footer Char"/>
    <w:basedOn w:val="DefaultParagraphFont"/>
    <w:link w:val="Footer"/>
    <w:rsid w:val="00B2372E"/>
    <w:rPr>
      <w:rFonts w:ascii="Arial" w:eastAsia="Calibri" w:hAnsi="Arial" w:cs="Times New Roman"/>
      <w:sz w:val="20"/>
    </w:rPr>
  </w:style>
  <w:style w:type="paragraph" w:styleId="NoSpacing">
    <w:name w:val="No Spacing"/>
    <w:uiPriority w:val="1"/>
    <w:qFormat/>
    <w:rsid w:val="00B2372E"/>
    <w:pPr>
      <w:spacing w:after="0" w:line="240" w:lineRule="auto"/>
    </w:pPr>
    <w:rPr>
      <w:rFonts w:ascii="Arial" w:eastAsia="Calibri" w:hAnsi="Arial" w:cs="Times New Roman"/>
      <w:sz w:val="20"/>
    </w:rPr>
  </w:style>
  <w:style w:type="paragraph" w:styleId="BodyText">
    <w:name w:val="Body Text"/>
    <w:basedOn w:val="Normal"/>
    <w:link w:val="BodyTextChar"/>
    <w:rsid w:val="00B2372E"/>
    <w:pPr>
      <w:spacing w:after="0" w:line="240" w:lineRule="auto"/>
    </w:pPr>
    <w:rPr>
      <w:rFonts w:eastAsia="Times New Roman"/>
      <w:color w:val="000000"/>
      <w:szCs w:val="20"/>
      <w:lang w:val="en-AU"/>
    </w:rPr>
  </w:style>
  <w:style w:type="character" w:customStyle="1" w:styleId="BodyTextChar">
    <w:name w:val="Body Text Char"/>
    <w:basedOn w:val="DefaultParagraphFont"/>
    <w:link w:val="BodyText"/>
    <w:rsid w:val="00B2372E"/>
    <w:rPr>
      <w:rFonts w:ascii="Arial" w:eastAsia="Times New Roman" w:hAnsi="Arial" w:cs="Times New Roman"/>
      <w:color w:val="000000"/>
      <w:sz w:val="20"/>
      <w:szCs w:val="20"/>
      <w:lang w:val="en-AU"/>
    </w:rPr>
  </w:style>
  <w:style w:type="paragraph" w:styleId="BalloonText">
    <w:name w:val="Balloon Text"/>
    <w:basedOn w:val="Normal"/>
    <w:link w:val="BalloonTextChar"/>
    <w:uiPriority w:val="99"/>
    <w:semiHidden/>
    <w:unhideWhenUsed/>
    <w:rsid w:val="003A2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1B9"/>
    <w:rPr>
      <w:rFonts w:ascii="Tahoma" w:eastAsia="Calibri" w:hAnsi="Tahoma" w:cs="Tahoma"/>
      <w:sz w:val="16"/>
      <w:szCs w:val="16"/>
    </w:rPr>
  </w:style>
  <w:style w:type="paragraph" w:styleId="BlockText">
    <w:name w:val="Block Text"/>
    <w:basedOn w:val="Normal"/>
    <w:rsid w:val="007F79D2"/>
    <w:pPr>
      <w:spacing w:after="0" w:line="240" w:lineRule="auto"/>
      <w:ind w:left="-284" w:right="-2"/>
      <w:jc w:val="both"/>
    </w:pPr>
    <w:rPr>
      <w:rFonts w:eastAsia="Times New Roman"/>
      <w:szCs w:val="20"/>
      <w:lang w:eastAsia="en-GB"/>
    </w:rPr>
  </w:style>
  <w:style w:type="character" w:customStyle="1" w:styleId="searchhistory-search-term">
    <w:name w:val="searchhistory-search-term"/>
    <w:basedOn w:val="DefaultParagraphFont"/>
    <w:rsid w:val="00FD6531"/>
  </w:style>
  <w:style w:type="character" w:styleId="FollowedHyperlink">
    <w:name w:val="FollowedHyperlink"/>
    <w:basedOn w:val="DefaultParagraphFont"/>
    <w:uiPriority w:val="99"/>
    <w:semiHidden/>
    <w:unhideWhenUsed/>
    <w:rsid w:val="002D3B5C"/>
    <w:rPr>
      <w:color w:val="800080" w:themeColor="followedHyperlink"/>
      <w:u w:val="single"/>
    </w:rPr>
  </w:style>
  <w:style w:type="character" w:styleId="CommentReference">
    <w:name w:val="annotation reference"/>
    <w:basedOn w:val="DefaultParagraphFont"/>
    <w:uiPriority w:val="99"/>
    <w:semiHidden/>
    <w:unhideWhenUsed/>
    <w:rsid w:val="00AB1C74"/>
    <w:rPr>
      <w:sz w:val="16"/>
      <w:szCs w:val="16"/>
    </w:rPr>
  </w:style>
  <w:style w:type="paragraph" w:styleId="CommentText">
    <w:name w:val="annotation text"/>
    <w:basedOn w:val="Normal"/>
    <w:link w:val="CommentTextChar"/>
    <w:uiPriority w:val="99"/>
    <w:semiHidden/>
    <w:unhideWhenUsed/>
    <w:rsid w:val="00AB1C74"/>
    <w:pPr>
      <w:spacing w:line="240" w:lineRule="auto"/>
    </w:pPr>
    <w:rPr>
      <w:szCs w:val="20"/>
    </w:rPr>
  </w:style>
  <w:style w:type="character" w:customStyle="1" w:styleId="CommentTextChar">
    <w:name w:val="Comment Text Char"/>
    <w:basedOn w:val="DefaultParagraphFont"/>
    <w:link w:val="CommentText"/>
    <w:uiPriority w:val="99"/>
    <w:semiHidden/>
    <w:rsid w:val="00AB1C74"/>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AB1C74"/>
    <w:rPr>
      <w:b/>
      <w:bCs/>
    </w:rPr>
  </w:style>
  <w:style w:type="character" w:customStyle="1" w:styleId="CommentSubjectChar">
    <w:name w:val="Comment Subject Char"/>
    <w:basedOn w:val="CommentTextChar"/>
    <w:link w:val="CommentSubject"/>
    <w:uiPriority w:val="99"/>
    <w:semiHidden/>
    <w:rsid w:val="00AB1C74"/>
    <w:rPr>
      <w:rFonts w:ascii="Arial" w:eastAsia="Calibri"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ps.nhs.uk/articles/about-ukmi-medicines-qa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asereports.bmj.com/content/12/5/e229627.long" TargetMode="External"/><Relationship Id="rId4" Type="http://schemas.openxmlformats.org/officeDocument/2006/relationships/settings" Target="settings.xml"/><Relationship Id="rId9" Type="http://schemas.openxmlformats.org/officeDocument/2006/relationships/hyperlink" Target="http://www.micromedexsolutions.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ps.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44236B-EEB5-4564-97D0-A07179173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2065</Words>
  <Characters>11775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UHS</Company>
  <LinksUpToDate>false</LinksUpToDate>
  <CharactersWithSpaces>13813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Mckie, Joshua</dc:creator>
  <cp:lastModifiedBy>Gail Woodland (Cardiff and Vale UHB - Pharmacy )</cp:lastModifiedBy>
  <cp:revision>2</cp:revision>
  <dcterms:created xsi:type="dcterms:W3CDTF">2019-11-21T17:47:00Z</dcterms:created>
  <dcterms:modified xsi:type="dcterms:W3CDTF">2019-11-21T17:47:00Z</dcterms:modified>
</cp:coreProperties>
</file>