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F4C5" w14:textId="1DFE5844" w:rsidR="006F02E9" w:rsidRDefault="006F02E9" w:rsidP="006F02E9">
      <w:pPr>
        <w:jc w:val="center"/>
        <w:rPr>
          <w:rFonts w:cs="Arial"/>
          <w:b/>
          <w:color w:val="0000FF"/>
          <w:sz w:val="28"/>
          <w:szCs w:val="28"/>
        </w:rPr>
      </w:pPr>
      <w:r w:rsidRPr="006F02E9">
        <w:rPr>
          <w:rStyle w:val="Heading1Char"/>
          <w:rFonts w:eastAsia="Calibri"/>
        </w:rPr>
        <w:t>What is the risk of gastrointestinal bleeding associated with selective serotonin reuptake inhibitors (SSRIs)?</w:t>
      </w:r>
    </w:p>
    <w:p w14:paraId="1EDA16BD" w14:textId="77777777"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hyperlink r:id="rId8" w:history="1">
        <w:r w:rsidRPr="00B107C7">
          <w:rPr>
            <w:color w:val="0000FF"/>
            <w:szCs w:val="20"/>
            <w:u w:val="single"/>
            <w:lang w:val="en-US"/>
          </w:rPr>
          <w:t>UKMi</w:t>
        </w:r>
      </w:hyperlink>
      <w:r w:rsidRPr="00B107C7">
        <w:rPr>
          <w:szCs w:val="20"/>
          <w:lang w:val="en-US"/>
        </w:rPr>
        <w:t>) pharmacists for NHS healthcare professionals</w:t>
      </w:r>
    </w:p>
    <w:p w14:paraId="2FA71D17" w14:textId="77777777"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9" w:history="1">
        <w:r w:rsidRPr="00B107C7">
          <w:rPr>
            <w:rStyle w:val="Hyperlink"/>
            <w:rFonts w:cs="Arial"/>
            <w:i/>
            <w:iCs/>
            <w:sz w:val="18"/>
            <w:szCs w:val="18"/>
          </w:rPr>
          <w:t>https://www.sps.nhs.uk/articles/about-ukmi-medicines-qas/</w:t>
        </w:r>
      </w:hyperlink>
    </w:p>
    <w:p w14:paraId="3913B952" w14:textId="2C558233" w:rsidR="00427F92" w:rsidRPr="00B107C7" w:rsidRDefault="00427F92" w:rsidP="00427F92">
      <w:pPr>
        <w:pStyle w:val="NoSpacing"/>
        <w:jc w:val="center"/>
        <w:rPr>
          <w:szCs w:val="20"/>
          <w:lang w:val="en-US"/>
        </w:rPr>
      </w:pPr>
      <w:r w:rsidRPr="00B107C7">
        <w:rPr>
          <w:szCs w:val="20"/>
          <w:lang w:val="en-US"/>
        </w:rPr>
        <w:t>Date prepared:</w:t>
      </w:r>
      <w:r w:rsidR="00E550E1">
        <w:rPr>
          <w:szCs w:val="20"/>
          <w:lang w:val="en-US"/>
        </w:rPr>
        <w:t xml:space="preserve"> </w:t>
      </w:r>
      <w:r w:rsidR="00606B76">
        <w:rPr>
          <w:szCs w:val="20"/>
          <w:lang w:val="en-US"/>
        </w:rPr>
        <w:t>10</w:t>
      </w:r>
      <w:r w:rsidR="00606B76">
        <w:rPr>
          <w:szCs w:val="20"/>
          <w:vertAlign w:val="superscript"/>
          <w:lang w:val="en-US"/>
        </w:rPr>
        <w:t>th</w:t>
      </w:r>
      <w:r w:rsidR="0055487D">
        <w:rPr>
          <w:szCs w:val="20"/>
          <w:lang w:val="en-US"/>
        </w:rPr>
        <w:t xml:space="preserve"> Octo</w:t>
      </w:r>
      <w:r w:rsidR="00E836CC">
        <w:rPr>
          <w:szCs w:val="20"/>
          <w:lang w:val="en-US"/>
        </w:rPr>
        <w:t xml:space="preserve">ber </w:t>
      </w:r>
      <w:r w:rsidR="00564156">
        <w:rPr>
          <w:szCs w:val="20"/>
          <w:lang w:val="en-US"/>
        </w:rPr>
        <w:t>2019</w:t>
      </w:r>
    </w:p>
    <w:p w14:paraId="44B960F2" w14:textId="77777777" w:rsidR="00427F92" w:rsidRPr="00B00B1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14:paraId="16C8FBCF" w14:textId="77777777" w:rsidR="00427F92" w:rsidRDefault="00427F92" w:rsidP="00427F92">
      <w:pPr>
        <w:pStyle w:val="Heading2"/>
      </w:pPr>
      <w:r w:rsidRPr="00B00B12">
        <w:t>Background</w:t>
      </w:r>
      <w:r>
        <w:t xml:space="preserve"> </w:t>
      </w:r>
    </w:p>
    <w:p w14:paraId="3770EA26" w14:textId="1EBCDD4C" w:rsidR="006F02E9" w:rsidRPr="00F62BCB" w:rsidRDefault="006F02E9" w:rsidP="006F02E9">
      <w:r w:rsidRPr="00F62BCB">
        <w:t xml:space="preserve">An association between selective serotonin reuptake inhibitor (SSRI) use and upper gastrointestinal (GI) bleeding was reported in 1999 following analysis of data from a </w:t>
      </w:r>
      <w:smartTag w:uri="urn:schemas-microsoft-com:office:smarttags" w:element="place">
        <w:smartTag w:uri="urn:schemas-microsoft-com:office:smarttags" w:element="country-region">
          <w:r w:rsidRPr="00F62BCB">
            <w:t>UK</w:t>
          </w:r>
        </w:smartTag>
      </w:smartTag>
      <w:r w:rsidRPr="00F62BCB">
        <w:t xml:space="preserve"> general practice research database (</w:t>
      </w:r>
      <w:r w:rsidRPr="00B73F65">
        <w:t>1</w:t>
      </w:r>
      <w:r w:rsidRPr="00F62BCB">
        <w:t xml:space="preserve">). </w:t>
      </w:r>
      <w:r w:rsidR="000D561B">
        <w:t>Since then, f</w:t>
      </w:r>
      <w:r w:rsidRPr="00F62BCB">
        <w:t xml:space="preserve">urther evidence </w:t>
      </w:r>
      <w:r>
        <w:t xml:space="preserve">supporting this association </w:t>
      </w:r>
      <w:r w:rsidRPr="00F62BCB">
        <w:t>has emerged (</w:t>
      </w:r>
      <w:r>
        <w:t>2-</w:t>
      </w:r>
      <w:r w:rsidR="004F3EF6">
        <w:t>6</w:t>
      </w:r>
      <w:r w:rsidR="000D561B">
        <w:t>).</w:t>
      </w:r>
      <w:r w:rsidRPr="00F45F98">
        <w:t xml:space="preserve"> </w:t>
      </w:r>
      <w:r>
        <w:t xml:space="preserve">In several studies in which an increased risk has been noted with SSRIs alone, the risk has been found to be elevated further by the </w:t>
      </w:r>
      <w:r w:rsidRPr="00F62BCB">
        <w:t>concomitant use of SSRIs and</w:t>
      </w:r>
      <w:r>
        <w:t xml:space="preserve"> non-steroidal anti-inflammatory drugs</w:t>
      </w:r>
      <w:r w:rsidRPr="00F62BCB">
        <w:t xml:space="preserve"> </w:t>
      </w:r>
      <w:r>
        <w:t>(</w:t>
      </w:r>
      <w:r w:rsidRPr="00F62BCB">
        <w:t>NSAIDs</w:t>
      </w:r>
      <w:r>
        <w:t>)</w:t>
      </w:r>
      <w:r w:rsidRPr="00F62BCB">
        <w:t xml:space="preserve"> (</w:t>
      </w:r>
      <w:r w:rsidR="00CD5008">
        <w:t>5</w:t>
      </w:r>
      <w:r>
        <w:t>,</w:t>
      </w:r>
      <w:r w:rsidR="00CD5008">
        <w:t>6</w:t>
      </w:r>
      <w:r w:rsidRPr="00F62BCB">
        <w:t xml:space="preserve">). </w:t>
      </w:r>
    </w:p>
    <w:p w14:paraId="01D38542" w14:textId="2790BC00" w:rsidR="006F02E9" w:rsidRPr="004259AD" w:rsidRDefault="006F02E9" w:rsidP="006F02E9">
      <w:r>
        <w:t>Two main mechanisms have been proposed for SSRI-associated upper GI bleeding. Firstly, se</w:t>
      </w:r>
      <w:r w:rsidRPr="00F45F98">
        <w:t>rotonin plays an important role in the haemostatic response to injury by promoting plat</w:t>
      </w:r>
      <w:r>
        <w:t>elet aggregation (</w:t>
      </w:r>
      <w:r w:rsidRPr="00EE7BE3">
        <w:t>1,</w:t>
      </w:r>
      <w:r w:rsidR="004F3EF6">
        <w:t>7</w:t>
      </w:r>
      <w:r w:rsidRPr="00EE7BE3">
        <w:t>,</w:t>
      </w:r>
      <w:r w:rsidR="004258DB">
        <w:t xml:space="preserve"> </w:t>
      </w:r>
      <w:r w:rsidR="004F3EF6">
        <w:t>8</w:t>
      </w:r>
      <w:r w:rsidRPr="00F45F98">
        <w:t xml:space="preserve">). </w:t>
      </w:r>
      <w:r>
        <w:rPr>
          <w:rFonts w:cs="Arial"/>
          <w:color w:val="333333"/>
        </w:rPr>
        <w:t>Serotonin is not synthesised in</w:t>
      </w:r>
      <w:r w:rsidRPr="000D0DDB">
        <w:rPr>
          <w:rFonts w:cs="Arial"/>
          <w:color w:val="333333"/>
        </w:rPr>
        <w:t xml:space="preserve"> platelets but is taken up into platelets from the bloodstream</w:t>
      </w:r>
      <w:r>
        <w:rPr>
          <w:rFonts w:cs="Arial"/>
          <w:color w:val="333333"/>
        </w:rPr>
        <w:t>. At therapeutic doses SSRIs block this reuptake of serotonin leading to a depletion of serotonin</w:t>
      </w:r>
      <w:r w:rsidRPr="00BF6E63">
        <w:t xml:space="preserve"> </w:t>
      </w:r>
      <w:r>
        <w:t>and, ultimately, an increased risk of bleeding</w:t>
      </w:r>
      <w:r>
        <w:rPr>
          <w:rFonts w:cs="Arial"/>
          <w:color w:val="333333"/>
        </w:rPr>
        <w:t>.</w:t>
      </w:r>
      <w:r w:rsidRPr="00F45F98">
        <w:t xml:space="preserve"> </w:t>
      </w:r>
      <w:r>
        <w:t>Secondly, SSRIs have been shown to directly increase gastric acidity which could increase the risk of ulcer development, and therefore, bleeding (</w:t>
      </w:r>
      <w:r w:rsidR="00CD5008">
        <w:t>4</w:t>
      </w:r>
      <w:r>
        <w:t xml:space="preserve">). </w:t>
      </w:r>
      <w:r w:rsidRPr="002723F8">
        <w:rPr>
          <w:rFonts w:cs="Arial"/>
        </w:rPr>
        <w:t xml:space="preserve">Due to reports of bleeding, including GI bleeding, manufacturers </w:t>
      </w:r>
      <w:r>
        <w:rPr>
          <w:rFonts w:cs="Arial"/>
        </w:rPr>
        <w:t xml:space="preserve">of SSRIs and serotonin and noradenaline re-uptake inhibitors (SNRIs) </w:t>
      </w:r>
      <w:r w:rsidRPr="002723F8">
        <w:rPr>
          <w:rFonts w:cs="Arial"/>
        </w:rPr>
        <w:t>advise caution in patients with a history of bleeding disorders</w:t>
      </w:r>
      <w:r>
        <w:rPr>
          <w:rFonts w:cs="Arial"/>
        </w:rPr>
        <w:t>/those predisposed to bleeding</w:t>
      </w:r>
      <w:r w:rsidRPr="002723F8">
        <w:rPr>
          <w:rFonts w:cs="Arial"/>
        </w:rPr>
        <w:t xml:space="preserve"> and in those taking SSRIs</w:t>
      </w:r>
      <w:r>
        <w:rPr>
          <w:rFonts w:cs="Arial"/>
        </w:rPr>
        <w:t xml:space="preserve"> or SNRIs</w:t>
      </w:r>
      <w:r w:rsidRPr="002723F8">
        <w:rPr>
          <w:rFonts w:cs="Arial"/>
        </w:rPr>
        <w:t xml:space="preserve"> concomitantly with antiplatelets and other drugs that might increase the risk of bleeding (</w:t>
      </w:r>
      <w:r w:rsidR="004F3EF6">
        <w:rPr>
          <w:rFonts w:cs="Arial"/>
        </w:rPr>
        <w:t>9</w:t>
      </w:r>
      <w:r w:rsidRPr="009C4850">
        <w:rPr>
          <w:rFonts w:cs="Arial"/>
        </w:rPr>
        <w:t>-1</w:t>
      </w:r>
      <w:r w:rsidR="000905D8">
        <w:rPr>
          <w:rFonts w:cs="Arial"/>
        </w:rPr>
        <w:t>8</w:t>
      </w:r>
      <w:r w:rsidRPr="002723F8">
        <w:rPr>
          <w:rFonts w:cs="Arial"/>
        </w:rPr>
        <w:t xml:space="preserve">).    </w:t>
      </w:r>
    </w:p>
    <w:p w14:paraId="2AABD319" w14:textId="77777777" w:rsidR="00427F92" w:rsidRPr="00B00B12" w:rsidRDefault="00427F92" w:rsidP="00427F92">
      <w:pPr>
        <w:spacing w:after="0" w:line="240" w:lineRule="auto"/>
        <w:rPr>
          <w:rFonts w:eastAsia="Times New Roman" w:cs="Arial"/>
          <w:szCs w:val="20"/>
          <w:lang w:val="en-US"/>
        </w:rPr>
      </w:pPr>
    </w:p>
    <w:p w14:paraId="1CCE40AD" w14:textId="77777777" w:rsidR="00427F92" w:rsidRDefault="00427F92" w:rsidP="00427F92">
      <w:pPr>
        <w:pStyle w:val="Heading2"/>
      </w:pPr>
      <w:r>
        <w:t>Answer</w:t>
      </w:r>
    </w:p>
    <w:p w14:paraId="4D6FA550" w14:textId="77777777" w:rsidR="00191AC2" w:rsidRDefault="00191AC2" w:rsidP="00FD50D9">
      <w:pPr>
        <w:autoSpaceDE w:val="0"/>
        <w:autoSpaceDN w:val="0"/>
        <w:adjustRightInd w:val="0"/>
        <w:spacing w:after="0" w:line="240" w:lineRule="auto"/>
        <w:rPr>
          <w:b/>
        </w:rPr>
      </w:pPr>
    </w:p>
    <w:p w14:paraId="5323E977" w14:textId="2771052A" w:rsidR="00FD50D9" w:rsidRPr="00E43AD7" w:rsidRDefault="00FD50D9" w:rsidP="00FD50D9">
      <w:pPr>
        <w:autoSpaceDE w:val="0"/>
        <w:autoSpaceDN w:val="0"/>
        <w:adjustRightInd w:val="0"/>
        <w:spacing w:after="0" w:line="240" w:lineRule="auto"/>
        <w:rPr>
          <w:b/>
        </w:rPr>
      </w:pPr>
      <w:r w:rsidRPr="00E43AD7">
        <w:rPr>
          <w:b/>
        </w:rPr>
        <w:t>SSRIs</w:t>
      </w:r>
      <w:r>
        <w:rPr>
          <w:b/>
        </w:rPr>
        <w:t xml:space="preserve"> alone and in combination with NSAIDs</w:t>
      </w:r>
    </w:p>
    <w:p w14:paraId="2F93E81E" w14:textId="77777777" w:rsidR="000D561B" w:rsidRPr="0085267A" w:rsidRDefault="003137D9" w:rsidP="003137D9">
      <w:pPr>
        <w:rPr>
          <w:b/>
        </w:rPr>
      </w:pPr>
      <w:r w:rsidRPr="00A77658">
        <w:t>In a systematic review and meta-analysis designed to</w:t>
      </w:r>
      <w:r>
        <w:t xml:space="preserve"> estimate</w:t>
      </w:r>
      <w:r w:rsidRPr="00A77658">
        <w:t xml:space="preserve"> the risk of upper GI bleeding with SSRIs, with or without concomitant NSAID use (</w:t>
      </w:r>
      <w:r w:rsidR="00CD5008">
        <w:t>5</w:t>
      </w:r>
      <w:r w:rsidRPr="00A77658">
        <w:t>)</w:t>
      </w:r>
      <w:r w:rsidRPr="0085267A">
        <w:rPr>
          <w:b/>
        </w:rPr>
        <w:t xml:space="preserve">, </w:t>
      </w:r>
      <w:r w:rsidRPr="00E14B53">
        <w:t>results were analysed from 15 case-control studies (393</w:t>
      </w:r>
      <w:r>
        <w:t>,</w:t>
      </w:r>
      <w:r w:rsidRPr="00E14B53">
        <w:t>268 participants) and four cohort studies. An increased risk of upper GI bleeding with SSRIs</w:t>
      </w:r>
      <w:r w:rsidR="00BB7A89">
        <w:t xml:space="preserve"> (no concomitant NSAID use)</w:t>
      </w:r>
      <w:r w:rsidRPr="00E14B53">
        <w:t xml:space="preserve"> was found in both analyses (case-control studies: odds ratio [OR] 1.66; 95% confidence interval [CI]:1.44</w:t>
      </w:r>
      <w:r w:rsidRPr="00E14B53">
        <w:rPr>
          <w:rFonts w:cs="Arial"/>
        </w:rPr>
        <w:t>-</w:t>
      </w:r>
      <w:r w:rsidRPr="00E14B53">
        <w:t>1.92; cohort studies: OR 1.68; 95% CI:</w:t>
      </w:r>
      <w:r>
        <w:t xml:space="preserve"> </w:t>
      </w:r>
      <w:r w:rsidRPr="00E14B53">
        <w:t>1.13</w:t>
      </w:r>
      <w:r w:rsidRPr="00E14B53">
        <w:rPr>
          <w:rFonts w:cs="Arial"/>
        </w:rPr>
        <w:t>-</w:t>
      </w:r>
      <w:r w:rsidRPr="00E14B53">
        <w:t>2.50). Using data from 10 case-control studies (2</w:t>
      </w:r>
      <w:r>
        <w:t>2</w:t>
      </w:r>
      <w:r w:rsidRPr="00E14B53">
        <w:t>3</w:t>
      </w:r>
      <w:r w:rsidR="00973D67">
        <w:t>,</w:t>
      </w:r>
      <w:r w:rsidRPr="00E14B53">
        <w:t>336 participants), the risk was found to be increased further in patients taking both SSRIs and NSAIDs (OR 4.25; 95% CI:</w:t>
      </w:r>
      <w:r>
        <w:t xml:space="preserve"> </w:t>
      </w:r>
      <w:r w:rsidRPr="00E14B53">
        <w:t>2.82</w:t>
      </w:r>
      <w:r w:rsidRPr="00E14B53">
        <w:rPr>
          <w:rFonts w:cs="Arial"/>
        </w:rPr>
        <w:t>-</w:t>
      </w:r>
      <w:r w:rsidRPr="00E14B53">
        <w:t>6.42)</w:t>
      </w:r>
      <w:r w:rsidR="00973D67">
        <w:t xml:space="preserve"> </w:t>
      </w:r>
      <w:r w:rsidRPr="00E14B53">
        <w:t>(</w:t>
      </w:r>
      <w:r w:rsidR="00CD5008">
        <w:t>5</w:t>
      </w:r>
      <w:r w:rsidRPr="00E14B53">
        <w:t>).</w:t>
      </w:r>
    </w:p>
    <w:p w14:paraId="583C9460" w14:textId="77777777" w:rsidR="00A331D5" w:rsidRDefault="00A331D5" w:rsidP="00A331D5">
      <w:r>
        <w:t xml:space="preserve">The </w:t>
      </w:r>
      <w:r w:rsidR="003137D9" w:rsidRPr="00041F5B">
        <w:t>effects of acid suppressing agents in patients receiving SSRIs</w:t>
      </w:r>
      <w:r w:rsidR="003137D9">
        <w:t xml:space="preserve"> were investigated in a </w:t>
      </w:r>
      <w:r w:rsidR="000D561B">
        <w:t>different</w:t>
      </w:r>
      <w:r>
        <w:t xml:space="preserve"> </w:t>
      </w:r>
      <w:r w:rsidR="003137D9">
        <w:t>meta</w:t>
      </w:r>
      <w:r w:rsidR="00E43AD7">
        <w:t>-</w:t>
      </w:r>
      <w:r w:rsidR="003137D9">
        <w:t>analysis of 16 case-control studies and six cohort studies, conducted by Jiang et al (2015) and involv</w:t>
      </w:r>
      <w:r w:rsidR="00BB1C23">
        <w:t>ing</w:t>
      </w:r>
      <w:r w:rsidR="003137D9">
        <w:t xml:space="preserve"> 1,073,000 patients (</w:t>
      </w:r>
      <w:r w:rsidR="00CD5008">
        <w:t>6</w:t>
      </w:r>
      <w:r w:rsidR="003137D9">
        <w:t xml:space="preserve">). </w:t>
      </w:r>
      <w:r w:rsidR="008F00FB">
        <w:t>T</w:t>
      </w:r>
      <w:r w:rsidR="003137D9">
        <w:t>his meta</w:t>
      </w:r>
      <w:r w:rsidR="00E43AD7">
        <w:t>-</w:t>
      </w:r>
      <w:r w:rsidR="003137D9">
        <w:t>analysis showed the incidence of upper GI bleeding</w:t>
      </w:r>
      <w:r>
        <w:t xml:space="preserve"> </w:t>
      </w:r>
      <w:r w:rsidR="003137D9">
        <w:t xml:space="preserve">to be 55% higher in patients taking SSRIs compared with </w:t>
      </w:r>
      <w:r w:rsidR="009743D8">
        <w:t>non-users</w:t>
      </w:r>
      <w:r w:rsidR="003137D9">
        <w:t xml:space="preserve"> of SSRIs (OR 1.55;</w:t>
      </w:r>
      <w:r w:rsidR="00615477">
        <w:t xml:space="preserve"> </w:t>
      </w:r>
      <w:r w:rsidR="003137D9">
        <w:t xml:space="preserve">95% CI: 1.35-1.78, p&lt;0.001).The risk of upper GI bleeding was </w:t>
      </w:r>
      <w:r w:rsidR="003D0F9A">
        <w:t>higher still</w:t>
      </w:r>
      <w:r w:rsidR="003137D9">
        <w:t xml:space="preserve"> in patients receiving both SSRIs and NSAIDs (OR 3.72; 95% CI: 3.01-4.67)</w:t>
      </w:r>
      <w:r w:rsidR="008237BF">
        <w:t xml:space="preserve"> or</w:t>
      </w:r>
      <w:r w:rsidR="00395C94">
        <w:t xml:space="preserve"> </w:t>
      </w:r>
      <w:r w:rsidR="003137D9">
        <w:t xml:space="preserve">SSRIs and antiplatelet drugs (OR 2.48 (1.70-3.61). </w:t>
      </w:r>
      <w:r>
        <w:t>Using the odds ratios from the meta</w:t>
      </w:r>
      <w:r w:rsidR="00E43AD7">
        <w:t>-</w:t>
      </w:r>
      <w:r>
        <w:t>analysis, and assuming a baseline incidence of upper GI bleeding in the general population of 23 per 10000 patients, the authors estimated a number needed to harm (NNH, the number of patients who would have to receive therapy to induce one episode of upper GI bleeding) of 791 per year with SSRIs. This changed to 160 per year with concomitant SSRI and NSAID use and 294 with concomitant SSRI and antiplatelet use (6).</w:t>
      </w:r>
    </w:p>
    <w:p w14:paraId="2714F9AC" w14:textId="77777777" w:rsidR="003D0F9A" w:rsidRDefault="00A331D5" w:rsidP="003B3D38">
      <w:r>
        <w:t>In patients receiving acid suppressing drugs in addition to SSRIs, the risk of upper GI bleeding remained low (OR 0.81;95% CI: 0.43-1.53), as it did in patients receiving acid suppressing drugs, SSRIs and NSAIDs (OR 0.98;95% CI: 0.51-1.88)</w:t>
      </w:r>
      <w:r w:rsidR="000905D8">
        <w:t xml:space="preserve"> (6)</w:t>
      </w:r>
      <w:r>
        <w:t xml:space="preserve">. </w:t>
      </w:r>
    </w:p>
    <w:p w14:paraId="6ABB0A4F" w14:textId="77777777" w:rsidR="00A331D5" w:rsidRDefault="000905D8" w:rsidP="003B3D38">
      <w:r>
        <w:lastRenderedPageBreak/>
        <w:t>Abajo et al (2008) (19</w:t>
      </w:r>
      <w:r w:rsidR="00C47F79">
        <w:t>)</w:t>
      </w:r>
      <w:r w:rsidR="00A331D5">
        <w:t xml:space="preserve"> </w:t>
      </w:r>
      <w:r w:rsidR="000633BA">
        <w:t xml:space="preserve">(study </w:t>
      </w:r>
      <w:r w:rsidR="00A331D5">
        <w:t>included in the meta</w:t>
      </w:r>
      <w:r w:rsidR="00E43AD7">
        <w:t>-</w:t>
      </w:r>
      <w:r w:rsidR="00A331D5">
        <w:t>ana</w:t>
      </w:r>
      <w:r w:rsidR="000633BA">
        <w:t>lysis by Jiang et al (2015) (6),</w:t>
      </w:r>
      <w:r w:rsidR="00A331D5">
        <w:t xml:space="preserve"> found </w:t>
      </w:r>
      <w:r w:rsidR="00A331D5" w:rsidRPr="00B24682">
        <w:t xml:space="preserve">that, without GI protection, </w:t>
      </w:r>
      <w:r w:rsidR="00A331D5">
        <w:t>an upper GI bleed would be experienced by one in</w:t>
      </w:r>
      <w:r w:rsidR="00A331D5" w:rsidRPr="00B24682">
        <w:t xml:space="preserve"> every 2000 patients receiving an SRI</w:t>
      </w:r>
      <w:r w:rsidR="00A331D5">
        <w:t xml:space="preserve"> (serotonin reuptake inhibitor; includes SSRIs and venlafaxine, an SNRI) only, or one in </w:t>
      </w:r>
      <w:r w:rsidR="00A331D5" w:rsidRPr="00B24682">
        <w:t xml:space="preserve">every 250 patients receiving an </w:t>
      </w:r>
      <w:smartTag w:uri="urn:schemas-microsoft-com:office:smarttags" w:element="stockticker">
        <w:r w:rsidR="00A331D5" w:rsidRPr="00B24682">
          <w:t>SRI</w:t>
        </w:r>
      </w:smartTag>
      <w:r w:rsidR="00A331D5" w:rsidRPr="00B24682">
        <w:t xml:space="preserve"> with an NSAID</w:t>
      </w:r>
      <w:r w:rsidR="00A331D5">
        <w:t xml:space="preserve">, </w:t>
      </w:r>
      <w:r w:rsidR="00A331D5" w:rsidRPr="00B24682">
        <w:t xml:space="preserve">With GI protection, 5000 or more patients would need to be treated with an </w:t>
      </w:r>
      <w:smartTag w:uri="urn:schemas-microsoft-com:office:smarttags" w:element="stockticker">
        <w:r w:rsidR="00A331D5" w:rsidRPr="00B24682">
          <w:t>SRI</w:t>
        </w:r>
      </w:smartTag>
      <w:r w:rsidR="00A331D5" w:rsidRPr="00B24682">
        <w:t xml:space="preserve"> or </w:t>
      </w:r>
      <w:smartTag w:uri="urn:schemas-microsoft-com:office:smarttags" w:element="stockticker">
        <w:r w:rsidR="00A331D5" w:rsidRPr="00B24682">
          <w:t>SRI</w:t>
        </w:r>
      </w:smartTag>
      <w:r w:rsidR="00A331D5">
        <w:t xml:space="preserve"> plus NSAID </w:t>
      </w:r>
      <w:r w:rsidR="00A331D5" w:rsidRPr="00B24682">
        <w:t>for one case to be attributed to these drugs</w:t>
      </w:r>
      <w:r w:rsidR="00A331D5">
        <w:t xml:space="preserve"> (19).</w:t>
      </w:r>
    </w:p>
    <w:p w14:paraId="248755D6" w14:textId="77777777" w:rsidR="003D0F9A" w:rsidRPr="00E43AD7" w:rsidRDefault="003D0F9A" w:rsidP="00E43AD7">
      <w:pPr>
        <w:spacing w:after="0"/>
        <w:rPr>
          <w:b/>
        </w:rPr>
      </w:pPr>
      <w:r w:rsidRPr="00E43AD7">
        <w:rPr>
          <w:b/>
        </w:rPr>
        <w:t>Concomitant clopidogrel, low-dose aspirin or warfarin</w:t>
      </w:r>
    </w:p>
    <w:p w14:paraId="76F4C41C" w14:textId="0428F144" w:rsidR="003D0F9A" w:rsidRDefault="003B3D38" w:rsidP="00E43AD7">
      <w:pPr>
        <w:autoSpaceDE w:val="0"/>
        <w:autoSpaceDN w:val="0"/>
        <w:adjustRightInd w:val="0"/>
        <w:spacing w:after="0" w:line="240" w:lineRule="auto"/>
      </w:pPr>
      <w:r>
        <w:t>A</w:t>
      </w:r>
      <w:r w:rsidR="00573BE9">
        <w:t xml:space="preserve">n increased risk of </w:t>
      </w:r>
      <w:r w:rsidR="009870DB">
        <w:t xml:space="preserve">GI </w:t>
      </w:r>
      <w:r w:rsidR="00573BE9">
        <w:t xml:space="preserve">bleeding </w:t>
      </w:r>
      <w:r w:rsidR="009A0A9F">
        <w:t>w</w:t>
      </w:r>
      <w:r w:rsidR="00C54F1D">
        <w:t xml:space="preserve">ith combined SSRI and </w:t>
      </w:r>
      <w:r w:rsidR="00075987">
        <w:t>clopidogrel/low-dose aspirin</w:t>
      </w:r>
      <w:r w:rsidR="008F00FB">
        <w:t xml:space="preserve"> </w:t>
      </w:r>
      <w:r w:rsidR="00C54F1D">
        <w:t>use</w:t>
      </w:r>
      <w:r>
        <w:t xml:space="preserve"> has also been shown in studies</w:t>
      </w:r>
      <w:r w:rsidR="00075987">
        <w:t>, but conflicting evidence exists</w:t>
      </w:r>
      <w:r w:rsidR="00BE06F0">
        <w:t xml:space="preserve"> (20</w:t>
      </w:r>
      <w:r w:rsidR="008F00FB">
        <w:t>)</w:t>
      </w:r>
      <w:r w:rsidR="00A331D5">
        <w:t xml:space="preserve">. </w:t>
      </w:r>
      <w:r w:rsidR="0039687E">
        <w:t xml:space="preserve">In one retrospective study, </w:t>
      </w:r>
      <w:r w:rsidR="009870DB">
        <w:t xml:space="preserve">when compared to aspirin alone, </w:t>
      </w:r>
      <w:r w:rsidR="0039687E">
        <w:t>SSRI</w:t>
      </w:r>
      <w:r w:rsidR="009870DB">
        <w:t>s</w:t>
      </w:r>
      <w:r w:rsidR="0039687E">
        <w:t xml:space="preserve"> increased </w:t>
      </w:r>
      <w:r w:rsidR="009A0A9F">
        <w:t xml:space="preserve">the risk of </w:t>
      </w:r>
      <w:r w:rsidR="009870DB">
        <w:t xml:space="preserve">GI </w:t>
      </w:r>
      <w:r w:rsidR="009A0A9F">
        <w:t xml:space="preserve">bleeding in post-acute myocardial infarction patients who were receiving </w:t>
      </w:r>
      <w:r>
        <w:t xml:space="preserve">prophylactic treatment with </w:t>
      </w:r>
      <w:r w:rsidR="009A0A9F">
        <w:t xml:space="preserve">aspirin </w:t>
      </w:r>
      <w:r w:rsidR="0039687E">
        <w:t>(</w:t>
      </w:r>
      <w:r w:rsidR="00854387">
        <w:t>Hazard ratio (</w:t>
      </w:r>
      <w:r w:rsidR="0039687E">
        <w:t>HR</w:t>
      </w:r>
      <w:r w:rsidR="00854387">
        <w:t xml:space="preserve">) </w:t>
      </w:r>
      <w:r w:rsidR="0039687E">
        <w:t>=1.50; 95% CI=1.05 to 2.15</w:t>
      </w:r>
      <w:r w:rsidR="009A0A9F">
        <w:t>)</w:t>
      </w:r>
      <w:r>
        <w:t xml:space="preserve">, </w:t>
      </w:r>
      <w:r w:rsidR="0039687E">
        <w:t xml:space="preserve">and the risk of bleeding was </w:t>
      </w:r>
      <w:r>
        <w:t>higher still</w:t>
      </w:r>
      <w:r w:rsidR="009870DB">
        <w:t xml:space="preserve"> </w:t>
      </w:r>
      <w:r>
        <w:t>when</w:t>
      </w:r>
      <w:r w:rsidR="0039687E">
        <w:t xml:space="preserve"> </w:t>
      </w:r>
      <w:r w:rsidR="003D0F9A">
        <w:t xml:space="preserve">both </w:t>
      </w:r>
      <w:r w:rsidR="0039687E">
        <w:t xml:space="preserve">clopidogrel and an SSRI </w:t>
      </w:r>
      <w:r>
        <w:t xml:space="preserve">were added </w:t>
      </w:r>
      <w:r w:rsidR="0039687E">
        <w:t xml:space="preserve">to </w:t>
      </w:r>
      <w:r>
        <w:t xml:space="preserve">the </w:t>
      </w:r>
      <w:r w:rsidR="0039687E">
        <w:t>aspirin (HR 3.11, 95% CI 2.00 to 4.85</w:t>
      </w:r>
      <w:r w:rsidR="00573BE9">
        <w:t>)</w:t>
      </w:r>
      <w:r w:rsidR="00A36DF8">
        <w:t xml:space="preserve"> </w:t>
      </w:r>
      <w:r w:rsidR="00BE06F0">
        <w:t>(21</w:t>
      </w:r>
      <w:r w:rsidR="00573BE9">
        <w:t xml:space="preserve">). </w:t>
      </w:r>
    </w:p>
    <w:p w14:paraId="2714706B" w14:textId="77777777" w:rsidR="003D0F9A" w:rsidRDefault="003D0F9A" w:rsidP="00E43AD7">
      <w:pPr>
        <w:autoSpaceDE w:val="0"/>
        <w:autoSpaceDN w:val="0"/>
        <w:adjustRightInd w:val="0"/>
        <w:spacing w:after="0" w:line="240" w:lineRule="auto"/>
      </w:pPr>
    </w:p>
    <w:p w14:paraId="5629714B" w14:textId="6AC86CD2" w:rsidR="00573BE9" w:rsidRDefault="00573BE9" w:rsidP="00E43AD7">
      <w:pPr>
        <w:autoSpaceDE w:val="0"/>
        <w:autoSpaceDN w:val="0"/>
        <w:adjustRightInd w:val="0"/>
        <w:spacing w:after="0" w:line="240" w:lineRule="auto"/>
      </w:pPr>
      <w:r>
        <w:t>Masclee et al (2014) (2</w:t>
      </w:r>
      <w:r w:rsidR="00BE06F0">
        <w:t>2</w:t>
      </w:r>
      <w:r>
        <w:t>) analysed data on 114,835 patients with upper GI bleeding from seven population-based healthcare databases, with each patient acting as their own control. The relative risk of diagnosed upper GI bleeding with SSRI monotherapy was 2.06 (95% CI: 1.94-2.18), but rose to 4.60 (95% CI: 4.09-5.17) when SSRIs were combined with low-dose aspirin, and to 6.95 (95% CI: 5.97-8.08) when SSRIs were combined with NSAIDs (2</w:t>
      </w:r>
      <w:r w:rsidR="00BE06F0">
        <w:t>2</w:t>
      </w:r>
      <w:r>
        <w:t>).</w:t>
      </w:r>
    </w:p>
    <w:p w14:paraId="12E6A08A" w14:textId="1D1F2E22" w:rsidR="003D0F9A" w:rsidRDefault="003D0F9A" w:rsidP="00E43AD7">
      <w:pPr>
        <w:autoSpaceDE w:val="0"/>
        <w:autoSpaceDN w:val="0"/>
        <w:adjustRightInd w:val="0"/>
        <w:spacing w:after="0" w:line="240" w:lineRule="auto"/>
      </w:pPr>
    </w:p>
    <w:p w14:paraId="7521DF39" w14:textId="3F78E046" w:rsidR="003D0F9A" w:rsidRPr="00E43AD7" w:rsidRDefault="00284E32" w:rsidP="003D0F9A">
      <w:pPr>
        <w:rPr>
          <w:b/>
          <w:sz w:val="28"/>
          <w:szCs w:val="28"/>
        </w:rPr>
      </w:pPr>
      <w:r>
        <w:t>There is an established pharmacokinetic interaction between fluvoxamine and warfarin, resulting in increased anticoagulant effects</w:t>
      </w:r>
      <w:r w:rsidR="00496108">
        <w:t xml:space="preserve"> </w:t>
      </w:r>
      <w:r w:rsidR="009777F4">
        <w:t xml:space="preserve">but no known </w:t>
      </w:r>
      <w:r w:rsidR="00AE46CC">
        <w:t>similar interaction for other SSRIs</w:t>
      </w:r>
      <w:r w:rsidR="000B0483">
        <w:t xml:space="preserve"> (23)</w:t>
      </w:r>
      <w:r w:rsidR="00B1772A">
        <w:t>.</w:t>
      </w:r>
      <w:r w:rsidR="00AE46CC">
        <w:t xml:space="preserve"> </w:t>
      </w:r>
      <w:r w:rsidR="00B1772A">
        <w:t>One</w:t>
      </w:r>
      <w:r w:rsidR="00785500">
        <w:t xml:space="preserve"> case-controlled</w:t>
      </w:r>
      <w:r>
        <w:t xml:space="preserve"> study found </w:t>
      </w:r>
      <w:r w:rsidR="000633BA">
        <w:t>patients receiving</w:t>
      </w:r>
      <w:r>
        <w:t xml:space="preserve"> </w:t>
      </w:r>
      <w:r w:rsidRPr="00E43AD7">
        <w:t>w</w:t>
      </w:r>
      <w:r w:rsidRPr="00837DD4">
        <w:t>arfarin t</w:t>
      </w:r>
      <w:r w:rsidRPr="00E43AD7">
        <w:t xml:space="preserve">o have an increased odds ratio of gastrointestinal bleeding on starting </w:t>
      </w:r>
      <w:r w:rsidRPr="00284E32">
        <w:t>citalopram</w:t>
      </w:r>
      <w:r w:rsidR="002D7DC0">
        <w:t xml:space="preserve"> </w:t>
      </w:r>
      <w:r w:rsidR="002D7DC0">
        <w:rPr>
          <w:rFonts w:ascii="AdvP403A40" w:eastAsiaTheme="minorHAnsi" w:hAnsi="AdvP403A40" w:cs="AdvP403A40"/>
          <w:sz w:val="18"/>
          <w:szCs w:val="18"/>
        </w:rPr>
        <w:t>(OR = 1.73 [95% CI, 1.25–2.38]),</w:t>
      </w:r>
      <w:r>
        <w:t xml:space="preserve"> </w:t>
      </w:r>
      <w:r w:rsidR="009A5FB4">
        <w:t>fluoxetine</w:t>
      </w:r>
      <w:r w:rsidR="002D7DC0">
        <w:t xml:space="preserve"> </w:t>
      </w:r>
      <w:r w:rsidR="002D7DC0">
        <w:rPr>
          <w:rFonts w:ascii="AdvP403A40" w:eastAsiaTheme="minorHAnsi" w:hAnsi="AdvP403A40" w:cs="AdvP403A40"/>
          <w:sz w:val="18"/>
          <w:szCs w:val="18"/>
        </w:rPr>
        <w:t>(OR = 1.63 [95% CI, 1.11–2.38])</w:t>
      </w:r>
      <w:r w:rsidR="009A5FB4">
        <w:t>, paroxetine</w:t>
      </w:r>
      <w:r w:rsidR="002D7DC0">
        <w:t xml:space="preserve"> </w:t>
      </w:r>
      <w:r w:rsidR="002D7DC0">
        <w:rPr>
          <w:rFonts w:ascii="AdvP403A40" w:eastAsiaTheme="minorHAnsi" w:hAnsi="AdvP403A40" w:cs="AdvP403A40"/>
          <w:sz w:val="18"/>
          <w:szCs w:val="18"/>
        </w:rPr>
        <w:t>(OR = 1.64 [95% CI, 1.27–2.12])</w:t>
      </w:r>
      <w:r w:rsidR="002D7DC0">
        <w:t>,</w:t>
      </w:r>
      <w:r w:rsidR="009A5FB4">
        <w:t xml:space="preserve"> </w:t>
      </w:r>
      <w:r w:rsidR="00837DD4">
        <w:t>amitriptyline</w:t>
      </w:r>
      <w:r w:rsidR="00785500">
        <w:t xml:space="preserve"> </w:t>
      </w:r>
      <w:r w:rsidR="002D7DC0">
        <w:rPr>
          <w:rFonts w:ascii="AdvP403A40" w:eastAsiaTheme="minorHAnsi" w:hAnsi="AdvP403A40" w:cs="AdvP403A40"/>
          <w:sz w:val="18"/>
          <w:szCs w:val="18"/>
        </w:rPr>
        <w:t>(OR = 1.47 [95% CI, 1.02–2.11])</w:t>
      </w:r>
      <w:r w:rsidR="00675C0C">
        <w:rPr>
          <w:rFonts w:ascii="AdvP403A40" w:eastAsiaTheme="minorHAnsi" w:hAnsi="AdvP403A40" w:cs="AdvP403A40"/>
          <w:sz w:val="18"/>
          <w:szCs w:val="18"/>
        </w:rPr>
        <w:t xml:space="preserve">, </w:t>
      </w:r>
      <w:r w:rsidR="00785500">
        <w:t xml:space="preserve">and </w:t>
      </w:r>
      <w:r w:rsidR="00837DD4">
        <w:t>mirtazapine</w:t>
      </w:r>
      <w:r w:rsidR="002D7DC0">
        <w:t xml:space="preserve"> </w:t>
      </w:r>
      <w:r w:rsidR="002D7DC0">
        <w:rPr>
          <w:rFonts w:ascii="AdvP403A40" w:eastAsiaTheme="minorHAnsi" w:hAnsi="AdvP403A40" w:cs="AdvP403A40"/>
          <w:sz w:val="18"/>
          <w:szCs w:val="18"/>
        </w:rPr>
        <w:t xml:space="preserve">(OR = 1.75 [95% CI, 1.30–2.35]) </w:t>
      </w:r>
      <w:r w:rsidRPr="00E43AD7">
        <w:t>(</w:t>
      </w:r>
      <w:r w:rsidR="000B0483">
        <w:t>24</w:t>
      </w:r>
      <w:r w:rsidR="00BB1C23">
        <w:t>)</w:t>
      </w:r>
      <w:r w:rsidR="00E32F53">
        <w:t xml:space="preserve">. </w:t>
      </w:r>
    </w:p>
    <w:p w14:paraId="2F7D7722" w14:textId="77777777" w:rsidR="00E734E2" w:rsidRPr="00E43AD7" w:rsidRDefault="003D0F9A" w:rsidP="00E43AD7">
      <w:pPr>
        <w:autoSpaceDE w:val="0"/>
        <w:autoSpaceDN w:val="0"/>
        <w:adjustRightInd w:val="0"/>
        <w:spacing w:after="0" w:line="240" w:lineRule="auto"/>
        <w:rPr>
          <w:b/>
        </w:rPr>
      </w:pPr>
      <w:r w:rsidRPr="00E43AD7">
        <w:rPr>
          <w:b/>
        </w:rPr>
        <w:t>Duration of exposure to SSRIs</w:t>
      </w:r>
    </w:p>
    <w:p w14:paraId="7B501CB4" w14:textId="6B0EB3CA" w:rsidR="00943FFF" w:rsidRDefault="003137D9" w:rsidP="003137D9">
      <w:r>
        <w:t xml:space="preserve">It has been suggested that recent initiation of SSRIs increases the risk of upper GI bleeding. </w:t>
      </w:r>
      <w:r w:rsidR="00943FFF" w:rsidRPr="00662262">
        <w:t>In</w:t>
      </w:r>
      <w:r w:rsidR="00943FFF">
        <w:t xml:space="preserve"> a case</w:t>
      </w:r>
      <w:r w:rsidR="00867BAF">
        <w:t>-control study (</w:t>
      </w:r>
      <w:r w:rsidR="008C2C11">
        <w:t>25</w:t>
      </w:r>
      <w:r w:rsidR="00943FFF" w:rsidRPr="00662262">
        <w:t xml:space="preserve">), the </w:t>
      </w:r>
      <w:r w:rsidR="00943FFF">
        <w:t xml:space="preserve">highest adjusted OR for serious upper GI bleeding </w:t>
      </w:r>
      <w:r w:rsidR="00943FFF" w:rsidRPr="00662262">
        <w:t>was in patients who had started using SSRIs within the last 0-30 days.</w:t>
      </w:r>
      <w:r w:rsidR="00943FFF" w:rsidRPr="005A0ED0">
        <w:t xml:space="preserve"> </w:t>
      </w:r>
      <w:r w:rsidR="005C7C67">
        <w:t>A</w:t>
      </w:r>
      <w:r w:rsidR="00943FFF" w:rsidRPr="005A0ED0">
        <w:t>nother study</w:t>
      </w:r>
      <w:r w:rsidR="005C7C67">
        <w:t xml:space="preserve"> </w:t>
      </w:r>
      <w:r w:rsidR="00943FFF" w:rsidRPr="005A0ED0">
        <w:t xml:space="preserve">reported that mortality was increased in the 30 days following hospital admission </w:t>
      </w:r>
      <w:r w:rsidR="005C7C67">
        <w:t>(</w:t>
      </w:r>
      <w:r w:rsidR="00943FFF" w:rsidRPr="005A0ED0">
        <w:t>for peptic ulcer bleeding</w:t>
      </w:r>
      <w:r w:rsidR="005C7C67">
        <w:t>)</w:t>
      </w:r>
      <w:r w:rsidR="00943FFF" w:rsidRPr="005A0ED0">
        <w:t xml:space="preserve"> in patients who had started SSRIs within 60 days of admission</w:t>
      </w:r>
      <w:r w:rsidR="0097113B">
        <w:t xml:space="preserve">, </w:t>
      </w:r>
      <w:r w:rsidR="00943FFF" w:rsidRPr="005A0ED0">
        <w:t xml:space="preserve">particularly </w:t>
      </w:r>
      <w:r w:rsidR="005C7C67">
        <w:t xml:space="preserve">in </w:t>
      </w:r>
      <w:r w:rsidR="00943FFF" w:rsidRPr="005A0ED0">
        <w:t>those over 80 years. In this study, long-term exposure to SSRIs</w:t>
      </w:r>
      <w:r w:rsidR="00943FFF">
        <w:t xml:space="preserve"> (i.e. current use of SSRIs with first prescription prior to 60 days before admission with GI bleeding)</w:t>
      </w:r>
      <w:r w:rsidR="00943FFF" w:rsidRPr="005A0ED0">
        <w:t xml:space="preserve">, </w:t>
      </w:r>
      <w:r w:rsidR="00943FFF">
        <w:t xml:space="preserve">either </w:t>
      </w:r>
      <w:r w:rsidR="00943FFF" w:rsidRPr="005A0ED0">
        <w:t>alone</w:t>
      </w:r>
      <w:r w:rsidR="00943FFF">
        <w:t>,</w:t>
      </w:r>
      <w:r w:rsidR="00943FFF" w:rsidRPr="005A0ED0">
        <w:t xml:space="preserve"> or with NSAIDs did not increase 30-day mortality after p</w:t>
      </w:r>
      <w:r w:rsidR="00943FFF">
        <w:t>eptic u</w:t>
      </w:r>
      <w:r w:rsidR="00867BAF">
        <w:t>lcer bleeding (</w:t>
      </w:r>
      <w:r w:rsidR="008C2C11">
        <w:t>26</w:t>
      </w:r>
      <w:r w:rsidR="00943FFF" w:rsidRPr="005A0ED0">
        <w:t>).</w:t>
      </w:r>
    </w:p>
    <w:p w14:paraId="1EE7CDB4" w14:textId="0A86D6CB" w:rsidR="00675C0C" w:rsidRDefault="003137D9" w:rsidP="002F7D8B">
      <w:pPr>
        <w:rPr>
          <w:b/>
        </w:rPr>
      </w:pPr>
      <w:r>
        <w:t>In the meta</w:t>
      </w:r>
      <w:r w:rsidR="00E5654F">
        <w:t>-</w:t>
      </w:r>
      <w:r>
        <w:t>analysis by Jiang et al (2015)</w:t>
      </w:r>
      <w:r w:rsidR="004A0233">
        <w:t xml:space="preserve"> (6)</w:t>
      </w:r>
      <w:r>
        <w:t xml:space="preserve">, upper GI bleeding </w:t>
      </w:r>
      <w:r w:rsidR="002161E3">
        <w:t xml:space="preserve">risk </w:t>
      </w:r>
      <w:r>
        <w:t>was increased significantly when the duration of exposure was less than 30 days (OR 2.35; 95% CI: 1.24-4.46) or more than 90 days (OR 1.71;</w:t>
      </w:r>
      <w:r w:rsidR="008319C2">
        <w:t xml:space="preserve"> </w:t>
      </w:r>
      <w:r>
        <w:t>95% CI: 1.07-2.76). For cases in which patients were exposed to SSRIs for 30-90 day</w:t>
      </w:r>
      <w:r w:rsidR="00C31B63">
        <w:t>s</w:t>
      </w:r>
      <w:r>
        <w:t>, there was a non-statistically significant trend towards an increased risk of upper GI bleeding (OR 2.23;</w:t>
      </w:r>
      <w:r w:rsidR="00155046">
        <w:t xml:space="preserve"> </w:t>
      </w:r>
      <w:r>
        <w:t>95% CI: 0.97-5.90) (</w:t>
      </w:r>
      <w:r w:rsidR="00AC4E1E">
        <w:t>6</w:t>
      </w:r>
      <w:r>
        <w:t xml:space="preserve">). </w:t>
      </w:r>
      <w:r w:rsidR="00861F99">
        <w:t>An</w:t>
      </w:r>
      <w:r w:rsidR="00861F99" w:rsidRPr="003D0F9A">
        <w:t xml:space="preserve"> editorial by Targownik et al in 2</w:t>
      </w:r>
      <w:r w:rsidR="008C2C11">
        <w:t>015 (27</w:t>
      </w:r>
      <w:r w:rsidR="00861F99" w:rsidRPr="003D0F9A">
        <w:t xml:space="preserve">) concluded that there was no clear evidence from studies of </w:t>
      </w:r>
      <w:r w:rsidR="00861F99">
        <w:t>a durational</w:t>
      </w:r>
      <w:r w:rsidR="00861F99" w:rsidRPr="003D0F9A">
        <w:t xml:space="preserve"> effect. Another review suggested that the risk of abnormal bleeding is elevated throughout SSRI treatment, and that patients who bleed shortly after treatment initiation are likely to have already been at risk when the SSRIs were initiated (2</w:t>
      </w:r>
      <w:r w:rsidR="008C2C11">
        <w:t>8</w:t>
      </w:r>
      <w:r w:rsidR="00861F99">
        <w:t>).</w:t>
      </w:r>
    </w:p>
    <w:p w14:paraId="3DCB3022" w14:textId="77777777" w:rsidR="00675C0C" w:rsidRDefault="00675C0C" w:rsidP="00861F99">
      <w:pPr>
        <w:spacing w:after="0"/>
        <w:rPr>
          <w:b/>
        </w:rPr>
      </w:pPr>
    </w:p>
    <w:p w14:paraId="4131358D" w14:textId="5E12B2AE" w:rsidR="003137D9" w:rsidRPr="003D0F9A" w:rsidRDefault="003D0F9A" w:rsidP="00861F99">
      <w:pPr>
        <w:spacing w:after="0"/>
      </w:pPr>
      <w:r w:rsidRPr="00861F99">
        <w:rPr>
          <w:b/>
        </w:rPr>
        <w:t xml:space="preserve">Affinity for serotonin </w:t>
      </w:r>
      <w:r w:rsidRPr="003C1AA0">
        <w:rPr>
          <w:b/>
        </w:rPr>
        <w:t>transporter</w:t>
      </w:r>
      <w:r w:rsidR="003C1AA0">
        <w:rPr>
          <w:b/>
        </w:rPr>
        <w:t xml:space="preserve"> and other risk factors</w:t>
      </w:r>
      <w:r w:rsidR="00AC4E1E" w:rsidRPr="003D0F9A">
        <w:t>.</w:t>
      </w:r>
    </w:p>
    <w:p w14:paraId="17E038B1" w14:textId="02288F40" w:rsidR="00FE5888" w:rsidRDefault="00187CC1" w:rsidP="003137D9">
      <w:r>
        <w:t xml:space="preserve">There is </w:t>
      </w:r>
      <w:r w:rsidR="0035516D">
        <w:t xml:space="preserve">limited </w:t>
      </w:r>
      <w:r>
        <w:t>evidence that</w:t>
      </w:r>
      <w:r w:rsidR="006C5C6F">
        <w:t xml:space="preserve"> </w:t>
      </w:r>
      <w:r w:rsidR="00E42B3F">
        <w:t xml:space="preserve">the risk of gastrointestinal bleeds with individual SSRIs is related to their affinity </w:t>
      </w:r>
      <w:r w:rsidR="006367A8">
        <w:t xml:space="preserve">for the </w:t>
      </w:r>
      <w:r w:rsidR="003B4E0E">
        <w:t xml:space="preserve">serotonin </w:t>
      </w:r>
      <w:r w:rsidR="00E42B3F">
        <w:t>transporter</w:t>
      </w:r>
      <w:r w:rsidR="003B4E0E">
        <w:t xml:space="preserve">. </w:t>
      </w:r>
      <w:r w:rsidR="00E42B3F">
        <w:t>Studies have reported a</w:t>
      </w:r>
      <w:r w:rsidR="00AA7D08">
        <w:t xml:space="preserve"> statistically significantly increased </w:t>
      </w:r>
      <w:r w:rsidR="00423812">
        <w:t xml:space="preserve">risk of gastrointestinal bleeding </w:t>
      </w:r>
      <w:r w:rsidR="00AA7D08">
        <w:t>with h</w:t>
      </w:r>
      <w:r w:rsidR="002C1B30">
        <w:t>igh and intermediate</w:t>
      </w:r>
      <w:r w:rsidR="00117262">
        <w:t>-</w:t>
      </w:r>
      <w:r w:rsidR="007A4DF3">
        <w:t>affinity SSRIs suc</w:t>
      </w:r>
      <w:r w:rsidR="00117262">
        <w:t xml:space="preserve">h as fluoxetine, paroxetine, </w:t>
      </w:r>
      <w:r w:rsidR="007A4DF3">
        <w:t>sertraline</w:t>
      </w:r>
      <w:r w:rsidR="00117262">
        <w:t xml:space="preserve"> and (es)citalopram</w:t>
      </w:r>
      <w:r w:rsidR="00AA7D08">
        <w:t xml:space="preserve"> </w:t>
      </w:r>
      <w:r w:rsidR="007A4DF3">
        <w:t>(</w:t>
      </w:r>
      <w:r w:rsidR="008C2C11">
        <w:t>29,30</w:t>
      </w:r>
      <w:r w:rsidR="00117262">
        <w:t>)</w:t>
      </w:r>
      <w:r w:rsidR="008C0C43">
        <w:t>. I</w:t>
      </w:r>
      <w:r w:rsidR="00423812">
        <w:t>n t</w:t>
      </w:r>
      <w:r w:rsidR="00AA7D08">
        <w:t>he meta</w:t>
      </w:r>
      <w:r w:rsidR="00E5654F">
        <w:t>-</w:t>
      </w:r>
      <w:r w:rsidR="00AA7D08">
        <w:t xml:space="preserve">analysis by </w:t>
      </w:r>
      <w:r w:rsidR="00D63889">
        <w:t>Jiang et al (2015)</w:t>
      </w:r>
      <w:r w:rsidR="004A0233">
        <w:t xml:space="preserve"> (6)</w:t>
      </w:r>
      <w:r w:rsidR="00423812">
        <w:t xml:space="preserve"> </w:t>
      </w:r>
      <w:r w:rsidR="00E42B3F">
        <w:t xml:space="preserve">a </w:t>
      </w:r>
      <w:r w:rsidR="00D63889">
        <w:t xml:space="preserve">significant and similar </w:t>
      </w:r>
      <w:r w:rsidR="00E42B3F">
        <w:t xml:space="preserve">increase in risk of upper GI bleeding was reported </w:t>
      </w:r>
      <w:r w:rsidR="00D63889">
        <w:t>for paroxetine (OR 1.68 ;95% CI: 1.08-2.26), sertraline (OR 1.67; 95% CI: 1.37-2.04) and fluoxetine (OR 1.77 ; 95% CI: 1.32-</w:t>
      </w:r>
      <w:r w:rsidR="00D63889">
        <w:lastRenderedPageBreak/>
        <w:t>2.38)</w:t>
      </w:r>
      <w:r w:rsidR="003E6CDD">
        <w:t xml:space="preserve"> compared with no treatment</w:t>
      </w:r>
      <w:r w:rsidR="00F94F46">
        <w:t xml:space="preserve">. </w:t>
      </w:r>
      <w:r w:rsidR="00DF2A86">
        <w:t xml:space="preserve">The risk was </w:t>
      </w:r>
      <w:r w:rsidR="00D63889">
        <w:t>even higher for citalopram (OR 2.07; 95% CI: 1.47-2.92)</w:t>
      </w:r>
      <w:r w:rsidR="00423812">
        <w:t xml:space="preserve"> and</w:t>
      </w:r>
      <w:r w:rsidR="00D63889">
        <w:t xml:space="preserve"> escitalopram</w:t>
      </w:r>
      <w:r>
        <w:t xml:space="preserve"> </w:t>
      </w:r>
      <w:r w:rsidR="00D63889">
        <w:t>(OR 2.45; 95% CI: 1.35-4.42)</w:t>
      </w:r>
      <w:r w:rsidR="008C0C43">
        <w:t>. However, a non-significant increase in upper GI bleeding risk was reported</w:t>
      </w:r>
      <w:r w:rsidR="00D63889">
        <w:t xml:space="preserve"> for fluvoxamine (OR 1.74;</w:t>
      </w:r>
      <w:r w:rsidR="008C7E61">
        <w:t xml:space="preserve"> </w:t>
      </w:r>
      <w:r w:rsidR="00D63889">
        <w:t xml:space="preserve">95% CI: 0.37-8.29) </w:t>
      </w:r>
      <w:r w:rsidR="00EF4E25">
        <w:t>and</w:t>
      </w:r>
      <w:r w:rsidR="00D63889">
        <w:t xml:space="preserve"> venlafaxine (OR 1.39;95% CI: 0.96-2.01)</w:t>
      </w:r>
      <w:r w:rsidR="004A0233">
        <w:t xml:space="preserve"> </w:t>
      </w:r>
      <w:r w:rsidR="00D63889">
        <w:t>(6)</w:t>
      </w:r>
      <w:r>
        <w:t>, both of which have a</w:t>
      </w:r>
      <w:r w:rsidR="008C0C43">
        <w:t>n</w:t>
      </w:r>
      <w:r>
        <w:t xml:space="preserve"> intermediate affinity for the seroton</w:t>
      </w:r>
      <w:r w:rsidR="004A0233">
        <w:t>in transporter (</w:t>
      </w:r>
      <w:r w:rsidR="008C2C11">
        <w:t>29,30</w:t>
      </w:r>
      <w:r>
        <w:t>)</w:t>
      </w:r>
      <w:r w:rsidR="00D63889">
        <w:t>.</w:t>
      </w:r>
      <w:r w:rsidR="00423812">
        <w:t xml:space="preserve"> </w:t>
      </w:r>
      <w:r w:rsidR="005A2BD1">
        <w:t>Evidence that the risk of GI bleeds is low for antidepressants with</w:t>
      </w:r>
      <w:r w:rsidR="00EF4E25">
        <w:t xml:space="preserve"> a low affinity f</w:t>
      </w:r>
      <w:r w:rsidR="005A2BD1">
        <w:t>or the serotonin transporter is lacking</w:t>
      </w:r>
      <w:r w:rsidR="00EF4E25">
        <w:t>. One</w:t>
      </w:r>
      <w:r w:rsidR="00E42B3F">
        <w:t xml:space="preserve"> meta</w:t>
      </w:r>
      <w:r w:rsidR="003E1654">
        <w:t>-</w:t>
      </w:r>
      <w:r w:rsidR="00E42B3F">
        <w:t xml:space="preserve">analysis </w:t>
      </w:r>
      <w:r w:rsidR="00C12880">
        <w:t xml:space="preserve">(31) </w:t>
      </w:r>
      <w:r w:rsidR="00E42B3F">
        <w:t>found</w:t>
      </w:r>
      <w:r w:rsidR="00EF4E25">
        <w:t xml:space="preserve"> </w:t>
      </w:r>
      <w:r w:rsidR="00C12880">
        <w:t xml:space="preserve">the pooled OR for GI bleeding with </w:t>
      </w:r>
      <w:r w:rsidR="00117262">
        <w:t>mirtazapine</w:t>
      </w:r>
      <w:r w:rsidR="00C12880">
        <w:t xml:space="preserve"> to be similar to those reported for SSRIs in other meta-analyses (5,6)</w:t>
      </w:r>
      <w:r w:rsidR="00117262">
        <w:t xml:space="preserve"> </w:t>
      </w:r>
      <w:r w:rsidR="008C0C43">
        <w:t>(mirtazapine</w:t>
      </w:r>
      <w:r w:rsidR="00C12880">
        <w:t xml:space="preserve"> pooled OR for GI bleeding</w:t>
      </w:r>
      <w:r w:rsidR="004210B3">
        <w:t xml:space="preserve"> compared to non-antidepressant use</w:t>
      </w:r>
      <w:r w:rsidR="00C12880">
        <w:t>:</w:t>
      </w:r>
      <w:r w:rsidR="008C0C43">
        <w:t>1</w:t>
      </w:r>
      <w:r w:rsidR="00C12880">
        <w:t>.17, 95% CI=1.01</w:t>
      </w:r>
      <w:r w:rsidR="008C0C43">
        <w:t>-1.</w:t>
      </w:r>
      <w:r w:rsidR="00C12880">
        <w:t xml:space="preserve">37) </w:t>
      </w:r>
      <w:r w:rsidR="004A0233">
        <w:t>(3</w:t>
      </w:r>
      <w:r w:rsidR="008C2C11">
        <w:t>1</w:t>
      </w:r>
      <w:r w:rsidR="00AC5CC3">
        <w:t>)</w:t>
      </w:r>
      <w:r w:rsidR="00606B76">
        <w:t>.</w:t>
      </w:r>
      <w:r w:rsidR="0035516D">
        <w:t xml:space="preserve"> </w:t>
      </w:r>
    </w:p>
    <w:p w14:paraId="0FEBA94F" w14:textId="6467E55E" w:rsidR="00733EAB" w:rsidRDefault="001C744E" w:rsidP="003137D9">
      <w:r>
        <w:t>P</w:t>
      </w:r>
      <w:r w:rsidR="003137D9" w:rsidRPr="002A4D32">
        <w:t xml:space="preserve">atient age </w:t>
      </w:r>
      <w:r>
        <w:t xml:space="preserve">and </w:t>
      </w:r>
      <w:r w:rsidR="006A7A21">
        <w:t xml:space="preserve">history of GI bleeding </w:t>
      </w:r>
      <w:r w:rsidR="003137D9" w:rsidRPr="002A4D32">
        <w:t xml:space="preserve">were </w:t>
      </w:r>
      <w:r w:rsidR="009D3DBC">
        <w:t xml:space="preserve">risk </w:t>
      </w:r>
      <w:r w:rsidR="003137D9" w:rsidRPr="002A4D32">
        <w:t xml:space="preserve">factors </w:t>
      </w:r>
      <w:r w:rsidR="006A7A21">
        <w:t>considered</w:t>
      </w:r>
      <w:r w:rsidR="003137D9" w:rsidRPr="002A4D32">
        <w:t xml:space="preserve"> in </w:t>
      </w:r>
      <w:r w:rsidR="006A7A21">
        <w:t>an</w:t>
      </w:r>
      <w:r w:rsidR="003137D9" w:rsidRPr="002A4D32">
        <w:t xml:space="preserve"> observational study in 317,824 elderly patients </w:t>
      </w:r>
      <w:r w:rsidR="00AC5CC3">
        <w:t>that</w:t>
      </w:r>
      <w:r w:rsidR="003137D9" w:rsidRPr="002A4D32">
        <w:t xml:space="preserve"> looked at upper GI bleeding rates. The antidepressants these patients were taking were split into </w:t>
      </w:r>
      <w:r w:rsidR="003137D9">
        <w:t>3</w:t>
      </w:r>
      <w:r w:rsidR="003137D9" w:rsidRPr="002A4D32">
        <w:t xml:space="preserve"> groups</w:t>
      </w:r>
      <w:r w:rsidR="003137D9">
        <w:t xml:space="preserve">, </w:t>
      </w:r>
      <w:r w:rsidR="003137D9" w:rsidRPr="002A4D32">
        <w:t>low</w:t>
      </w:r>
      <w:r w:rsidR="003137D9">
        <w:t xml:space="preserve"> (e.g. nortriptyline, doxepin, trazodone), intermediate</w:t>
      </w:r>
      <w:r w:rsidR="003137D9" w:rsidRPr="002A4D32">
        <w:t xml:space="preserve"> </w:t>
      </w:r>
      <w:r w:rsidR="003137D9">
        <w:t xml:space="preserve">(e.g. imipramine, amitriptyline, fluvoxamine, venlafaxine) and high (paroxetine, sertraline, fluoxetine, clomipramine) </w:t>
      </w:r>
      <w:r w:rsidR="003137D9" w:rsidRPr="002A4D32">
        <w:t>inhibition of serotonin reuptake (</w:t>
      </w:r>
      <w:r w:rsidR="00F46C1A">
        <w:t>7</w:t>
      </w:r>
      <w:r w:rsidR="003137D9" w:rsidRPr="002A4D32">
        <w:t>). Absolute differences between these antidepressant groups were greatest (and statistically significant) for patients aged 80 and over (bleeding rates for high versus low inhibition: 14.7 per 1000 person years versus 10.6 per 1000 person years; NNH =244), and those with previous upper GI bleeding (bleeding rates for high versus low inhibition: 40.3 per 1000 person years versus 28.6 per 1000 person years; NNH=85) (</w:t>
      </w:r>
      <w:r w:rsidR="00F46C1A">
        <w:t>7</w:t>
      </w:r>
      <w:r w:rsidR="003137D9" w:rsidRPr="002A4D32">
        <w:t>).</w:t>
      </w:r>
    </w:p>
    <w:p w14:paraId="5ECAE85B" w14:textId="5C067751" w:rsidR="006A7A21" w:rsidRPr="00B15A49" w:rsidRDefault="00733EAB" w:rsidP="00B15A49">
      <w:pPr>
        <w:spacing w:after="0"/>
        <w:rPr>
          <w:b/>
        </w:rPr>
      </w:pPr>
      <w:r w:rsidRPr="00B15A49">
        <w:rPr>
          <w:b/>
        </w:rPr>
        <w:t>SNRIs</w:t>
      </w:r>
    </w:p>
    <w:p w14:paraId="4CF58D07" w14:textId="3A4D821A" w:rsidR="008A5E6B" w:rsidRPr="002A4D32" w:rsidRDefault="00F92BA7" w:rsidP="003137D9">
      <w:r>
        <w:t>T</w:t>
      </w:r>
      <w:r w:rsidR="00043B71">
        <w:t xml:space="preserve">he effects of </w:t>
      </w:r>
      <w:r w:rsidR="00C4051E">
        <w:t xml:space="preserve">both </w:t>
      </w:r>
      <w:r w:rsidR="00043B71">
        <w:t>serotonin-noradrenaline reuptake inhibitors (SNRIs) and SSRIs on gastrointestinal bleeding</w:t>
      </w:r>
      <w:r w:rsidR="00867BAF">
        <w:t xml:space="preserve"> were investigated by Cheng et al (2015)</w:t>
      </w:r>
      <w:r w:rsidR="00491C6A">
        <w:t xml:space="preserve"> (</w:t>
      </w:r>
      <w:r w:rsidR="00F46C1A">
        <w:t>3</w:t>
      </w:r>
      <w:r w:rsidR="008C2C11">
        <w:t>2</w:t>
      </w:r>
      <w:r w:rsidR="00491C6A">
        <w:t>)</w:t>
      </w:r>
      <w:r w:rsidR="00867BAF">
        <w:t>, who examined records from the National Health Insurance Research Database of Taiwan</w:t>
      </w:r>
      <w:r w:rsidR="008A5E6B">
        <w:t xml:space="preserve">. Incidences of upper and lower GI bleeding in patients taking SSRIs (n=8809) or SNRIs (n=944) </w:t>
      </w:r>
      <w:r w:rsidR="00C4051E">
        <w:t>were compared with those of</w:t>
      </w:r>
      <w:r w:rsidR="008A5E6B">
        <w:t xml:space="preserve"> 39,012 age,</w:t>
      </w:r>
      <w:r w:rsidR="00615477">
        <w:t xml:space="preserve"> </w:t>
      </w:r>
      <w:r w:rsidR="008A5E6B">
        <w:t>sex and enrolment time-matche</w:t>
      </w:r>
      <w:r w:rsidR="00C4051E">
        <w:t xml:space="preserve">d controls </w:t>
      </w:r>
      <w:r w:rsidR="00987258">
        <w:t>for a 10-year</w:t>
      </w:r>
      <w:r w:rsidR="008A5E6B">
        <w:t xml:space="preserve"> time period </w:t>
      </w:r>
      <w:r w:rsidR="00987258">
        <w:t>(</w:t>
      </w:r>
      <w:r w:rsidR="008A5E6B">
        <w:t>2000-2010</w:t>
      </w:r>
      <w:r w:rsidR="00987258">
        <w:t>)</w:t>
      </w:r>
      <w:r w:rsidR="008A5E6B">
        <w:t>.</w:t>
      </w:r>
      <w:r w:rsidR="00043B71">
        <w:t xml:space="preserve"> </w:t>
      </w:r>
      <w:r w:rsidR="00F47B9F">
        <w:t xml:space="preserve">After adjustment for </w:t>
      </w:r>
      <w:r w:rsidR="00731C5A">
        <w:t xml:space="preserve">known </w:t>
      </w:r>
      <w:r w:rsidR="00F47B9F">
        <w:t xml:space="preserve">risk factors, SSRI use was found to be an independent risk factor for </w:t>
      </w:r>
      <w:r w:rsidR="008E1D85">
        <w:t xml:space="preserve">both </w:t>
      </w:r>
      <w:r w:rsidR="00F47B9F">
        <w:t>upper GI bleeding (hazard ratio (HR): 1.97, 95% CI:1.67-2.31</w:t>
      </w:r>
      <w:r w:rsidR="00615477">
        <w:t>;</w:t>
      </w:r>
      <w:r w:rsidR="00D8635B">
        <w:t xml:space="preserve"> </w:t>
      </w:r>
      <w:r w:rsidR="00491C6A">
        <w:t>p&lt;0.001)</w:t>
      </w:r>
      <w:r w:rsidR="00F47B9F">
        <w:t xml:space="preserve"> and lower GI bleeding (HR:</w:t>
      </w:r>
      <w:r w:rsidR="00615477">
        <w:t xml:space="preserve"> </w:t>
      </w:r>
      <w:r w:rsidR="00F47B9F">
        <w:t>2.96, 95% CI:</w:t>
      </w:r>
      <w:r w:rsidR="00615477">
        <w:t xml:space="preserve"> </w:t>
      </w:r>
      <w:r w:rsidR="00F47B9F">
        <w:t>2.46-3.57</w:t>
      </w:r>
      <w:r w:rsidR="00615477">
        <w:t>;</w:t>
      </w:r>
      <w:r w:rsidR="00D8635B">
        <w:t xml:space="preserve"> </w:t>
      </w:r>
      <w:r w:rsidR="00491C6A">
        <w:t>p&lt;0.001</w:t>
      </w:r>
      <w:r w:rsidR="00F47B9F">
        <w:t>).</w:t>
      </w:r>
      <w:r w:rsidR="00491C6A">
        <w:t xml:space="preserve"> </w:t>
      </w:r>
      <w:r w:rsidR="00A65363">
        <w:t>N</w:t>
      </w:r>
      <w:r w:rsidR="008E1D85">
        <w:t>either t</w:t>
      </w:r>
      <w:r w:rsidR="00491C6A">
        <w:t xml:space="preserve">he risk of upper </w:t>
      </w:r>
      <w:r w:rsidR="008E1D85">
        <w:t>nor</w:t>
      </w:r>
      <w:r w:rsidR="00491C6A">
        <w:t xml:space="preserve"> lower GI bleeding was increased by SNRI use (for upper GI bleeding: HR:</w:t>
      </w:r>
      <w:r w:rsidR="00615477">
        <w:t xml:space="preserve"> </w:t>
      </w:r>
      <w:r w:rsidR="00491C6A">
        <w:t>1.09, 95% CI:</w:t>
      </w:r>
      <w:r w:rsidR="00D8635B">
        <w:t xml:space="preserve"> </w:t>
      </w:r>
      <w:r w:rsidR="00491C6A">
        <w:t>0.58-2.04</w:t>
      </w:r>
      <w:r w:rsidR="00615477">
        <w:t>;</w:t>
      </w:r>
      <w:r w:rsidR="00D8635B">
        <w:t xml:space="preserve"> </w:t>
      </w:r>
      <w:r w:rsidR="00491C6A">
        <w:t>p=0.786)</w:t>
      </w:r>
      <w:r w:rsidR="00615477">
        <w:t xml:space="preserve"> and</w:t>
      </w:r>
      <w:r w:rsidR="00491C6A">
        <w:t xml:space="preserve"> for lower GI bleeding: HR:</w:t>
      </w:r>
      <w:r w:rsidR="00615477">
        <w:t xml:space="preserve"> </w:t>
      </w:r>
      <w:r w:rsidR="00491C6A">
        <w:t>0.84, 95% CI: 0.32-2.27</w:t>
      </w:r>
      <w:r w:rsidR="00615477">
        <w:t>;</w:t>
      </w:r>
      <w:r w:rsidR="00D8635B">
        <w:t xml:space="preserve"> </w:t>
      </w:r>
      <w:r w:rsidR="00491C6A">
        <w:t>p=0.737) (25)</w:t>
      </w:r>
      <w:r w:rsidR="00731C5A">
        <w:t xml:space="preserve">, perhaps surprising given the proposed mechanism </w:t>
      </w:r>
      <w:r w:rsidR="00B60DD7">
        <w:t xml:space="preserve">of </w:t>
      </w:r>
      <w:r w:rsidR="00731C5A">
        <w:t>bleeding with SSRIs</w:t>
      </w:r>
      <w:r w:rsidR="00491C6A">
        <w:t xml:space="preserve">. </w:t>
      </w:r>
      <w:r w:rsidR="008E1D85">
        <w:t>In contrast</w:t>
      </w:r>
      <w:r w:rsidR="00A65363">
        <w:t>,</w:t>
      </w:r>
      <w:r w:rsidR="008E1D85">
        <w:t xml:space="preserve"> </w:t>
      </w:r>
      <w:r w:rsidR="00731C5A">
        <w:t xml:space="preserve">de Abajo et al (2008) </w:t>
      </w:r>
      <w:r w:rsidR="00F46C1A">
        <w:t xml:space="preserve">(19) </w:t>
      </w:r>
      <w:r w:rsidR="00731C5A">
        <w:t xml:space="preserve">found </w:t>
      </w:r>
      <w:r w:rsidR="009C1BE5">
        <w:t>current use of SNRI</w:t>
      </w:r>
      <w:r w:rsidR="00731C5A">
        <w:t xml:space="preserve">s </w:t>
      </w:r>
      <w:r w:rsidR="00A65363">
        <w:t>(</w:t>
      </w:r>
      <w:r w:rsidR="008E1D85">
        <w:t xml:space="preserve">venlafaxine) </w:t>
      </w:r>
      <w:r w:rsidR="00731C5A">
        <w:t xml:space="preserve">to </w:t>
      </w:r>
      <w:r w:rsidR="00A65363">
        <w:t xml:space="preserve">significantly </w:t>
      </w:r>
      <w:r w:rsidR="00B60DD7">
        <w:t>increase</w:t>
      </w:r>
      <w:r w:rsidR="008E1D85">
        <w:t xml:space="preserve"> the </w:t>
      </w:r>
      <w:r w:rsidR="009C1BE5">
        <w:t>risk of upper GI bleed</w:t>
      </w:r>
      <w:r w:rsidR="008E1D85">
        <w:t>ing (OR: 2.9, 95% CI</w:t>
      </w:r>
      <w:r>
        <w:t>: 1.5</w:t>
      </w:r>
      <w:r w:rsidR="008E1D85">
        <w:t>-5.</w:t>
      </w:r>
      <w:r w:rsidR="00E25101">
        <w:t>7</w:t>
      </w:r>
      <w:r w:rsidR="008E1D85">
        <w:t xml:space="preserve">) compared with no use of </w:t>
      </w:r>
      <w:r w:rsidR="00E25101">
        <w:t xml:space="preserve">an </w:t>
      </w:r>
      <w:r w:rsidR="008E1D85">
        <w:t>antidepressant.</w:t>
      </w:r>
    </w:p>
    <w:p w14:paraId="03301EDD" w14:textId="0FB325F8" w:rsidR="003137D9" w:rsidRPr="005A0ED0" w:rsidRDefault="003137D9" w:rsidP="003137D9">
      <w:r>
        <w:t xml:space="preserve">Current NICE guidance on depression states that </w:t>
      </w:r>
      <w:r w:rsidRPr="009D2BE5">
        <w:t xml:space="preserve">SSRIs are associated with an increased risk of bleeding, especially in older people or in people taking other drugs that have the potential to damage the gastrointestinal mucosa or interfere with clotting. </w:t>
      </w:r>
      <w:r>
        <w:t>NICE recommends considering</w:t>
      </w:r>
      <w:r w:rsidRPr="009D2BE5">
        <w:t xml:space="preserve"> prescribing a gastroprotective drug in older people who are taking NSAIDs or aspirin</w:t>
      </w:r>
      <w:r>
        <w:t xml:space="preserve"> (</w:t>
      </w:r>
      <w:r w:rsidR="00F46C1A">
        <w:t>3</w:t>
      </w:r>
      <w:r w:rsidR="008C2C11">
        <w:t>3</w:t>
      </w:r>
      <w:r>
        <w:t xml:space="preserve">). For patients who are taking multiple drugs that could cause bleeding, </w:t>
      </w:r>
      <w:r w:rsidR="00BC3264">
        <w:t xml:space="preserve">seeking </w:t>
      </w:r>
      <w:r>
        <w:t>informed medical advice before starting regular use of non-prescription drugs, such as ibuprofen</w:t>
      </w:r>
      <w:r w:rsidR="00BC3264">
        <w:t xml:space="preserve"> is recommended</w:t>
      </w:r>
      <w:r w:rsidR="00E47D7C">
        <w:t xml:space="preserve">. </w:t>
      </w:r>
      <w:r w:rsidR="00BC3264">
        <w:t>P</w:t>
      </w:r>
      <w:r w:rsidR="00E47D7C">
        <w:t>aracetamol should be considered as an alternative to an NSAID in patients who are taking SSRIs</w:t>
      </w:r>
      <w:r>
        <w:t xml:space="preserve"> (2</w:t>
      </w:r>
      <w:r w:rsidR="00F46C1A">
        <w:t>3</w:t>
      </w:r>
      <w:r w:rsidR="00615477">
        <w:t>)</w:t>
      </w:r>
      <w:r>
        <w:t>.</w:t>
      </w:r>
    </w:p>
    <w:p w14:paraId="681CA52D" w14:textId="77777777" w:rsidR="006F02E9" w:rsidRDefault="006F02E9" w:rsidP="00427F92">
      <w:pPr>
        <w:pStyle w:val="Heading2"/>
        <w:rPr>
          <w:rFonts w:cs="Arial"/>
        </w:rPr>
      </w:pPr>
    </w:p>
    <w:p w14:paraId="2DF9A597" w14:textId="77777777" w:rsidR="00427F92" w:rsidRPr="009752DF" w:rsidRDefault="00427F92" w:rsidP="00427F92">
      <w:pPr>
        <w:pStyle w:val="Heading2"/>
        <w:rPr>
          <w:rFonts w:cs="Arial"/>
        </w:rPr>
      </w:pPr>
      <w:r w:rsidRPr="009752DF">
        <w:rPr>
          <w:rFonts w:cs="Arial"/>
        </w:rPr>
        <w:t>Summary</w:t>
      </w:r>
    </w:p>
    <w:p w14:paraId="74BD330C" w14:textId="0492CC81" w:rsidR="00480CFA" w:rsidRPr="00480CFA" w:rsidRDefault="007B2AFB" w:rsidP="00FD50D9">
      <w:pPr>
        <w:pStyle w:val="ListParagraph"/>
        <w:numPr>
          <w:ilvl w:val="0"/>
          <w:numId w:val="40"/>
        </w:numPr>
        <w:rPr>
          <w:rFonts w:cs="Arial"/>
        </w:rPr>
      </w:pPr>
      <w:r>
        <w:rPr>
          <w:rFonts w:cs="Arial"/>
        </w:rPr>
        <w:t>O</w:t>
      </w:r>
      <w:r w:rsidR="003137D9" w:rsidRPr="00480CFA">
        <w:rPr>
          <w:rFonts w:cs="Arial"/>
        </w:rPr>
        <w:t>bservational stud</w:t>
      </w:r>
      <w:r>
        <w:rPr>
          <w:rFonts w:cs="Arial"/>
        </w:rPr>
        <w:t>y results</w:t>
      </w:r>
      <w:r w:rsidR="003137D9" w:rsidRPr="00480CFA">
        <w:rPr>
          <w:rFonts w:cs="Arial"/>
        </w:rPr>
        <w:t xml:space="preserve"> </w:t>
      </w:r>
      <w:r>
        <w:rPr>
          <w:rFonts w:cs="Arial"/>
        </w:rPr>
        <w:t xml:space="preserve">have indicated </w:t>
      </w:r>
      <w:r w:rsidR="003137D9" w:rsidRPr="00480CFA">
        <w:rPr>
          <w:rFonts w:cs="Arial"/>
        </w:rPr>
        <w:t>that there is an association between the use of SSRIs and upper GI bleeds</w:t>
      </w:r>
      <w:r w:rsidR="00785EF4">
        <w:rPr>
          <w:rFonts w:cs="Arial"/>
        </w:rPr>
        <w:t xml:space="preserve">, with a number needed to harm </w:t>
      </w:r>
      <w:r w:rsidR="009B3D4C">
        <w:rPr>
          <w:rFonts w:cs="Arial"/>
        </w:rPr>
        <w:t>(</w:t>
      </w:r>
      <w:r w:rsidR="004D7116">
        <w:rPr>
          <w:rFonts w:cs="Arial"/>
        </w:rPr>
        <w:t>NNH</w:t>
      </w:r>
      <w:r w:rsidR="00785EF4">
        <w:rPr>
          <w:rFonts w:cs="Arial"/>
        </w:rPr>
        <w:t xml:space="preserve">, </w:t>
      </w:r>
      <w:r w:rsidR="00785EF4">
        <w:t>the number of patients who would have to receive therapy to induce one episode of upper GI bleeding)</w:t>
      </w:r>
      <w:r w:rsidR="00785EF4">
        <w:rPr>
          <w:rFonts w:cs="Arial"/>
        </w:rPr>
        <w:t xml:space="preserve"> of</w:t>
      </w:r>
      <w:r w:rsidR="0055487D">
        <w:rPr>
          <w:rFonts w:cs="Arial"/>
        </w:rPr>
        <w:t xml:space="preserve"> </w:t>
      </w:r>
      <w:r w:rsidR="009E04C6">
        <w:rPr>
          <w:rFonts w:cs="Arial"/>
        </w:rPr>
        <w:t>791</w:t>
      </w:r>
      <w:r w:rsidR="00785EF4">
        <w:rPr>
          <w:rFonts w:cs="Arial"/>
        </w:rPr>
        <w:t>.</w:t>
      </w:r>
    </w:p>
    <w:p w14:paraId="40EFBA6A" w14:textId="2AFD802F" w:rsidR="00480CFA" w:rsidRDefault="005C0D6E" w:rsidP="00FD50D9">
      <w:pPr>
        <w:pStyle w:val="ListParagraph"/>
        <w:numPr>
          <w:ilvl w:val="0"/>
          <w:numId w:val="40"/>
        </w:numPr>
        <w:rPr>
          <w:rFonts w:cs="Arial"/>
        </w:rPr>
      </w:pPr>
      <w:r>
        <w:rPr>
          <w:rFonts w:cs="Arial"/>
        </w:rPr>
        <w:t>T</w:t>
      </w:r>
      <w:r w:rsidR="003137D9" w:rsidRPr="00480CFA">
        <w:rPr>
          <w:rFonts w:cs="Arial"/>
        </w:rPr>
        <w:t xml:space="preserve">he use of SSRIs with concomitant NSAIDs </w:t>
      </w:r>
      <w:r>
        <w:rPr>
          <w:rFonts w:cs="Arial"/>
        </w:rPr>
        <w:t xml:space="preserve">has been found </w:t>
      </w:r>
      <w:r w:rsidR="003137D9" w:rsidRPr="00480CFA">
        <w:rPr>
          <w:rFonts w:cs="Arial"/>
        </w:rPr>
        <w:t>to increase the risk of upper GI bleeding further</w:t>
      </w:r>
      <w:r w:rsidR="009B3D4C">
        <w:rPr>
          <w:rFonts w:cs="Arial"/>
        </w:rPr>
        <w:t xml:space="preserve"> (</w:t>
      </w:r>
      <w:r w:rsidR="00701B2C">
        <w:rPr>
          <w:rFonts w:cs="Arial"/>
        </w:rPr>
        <w:t>NNH=</w:t>
      </w:r>
      <w:r w:rsidR="009E04C6">
        <w:rPr>
          <w:rFonts w:cs="Arial"/>
        </w:rPr>
        <w:t>160)</w:t>
      </w:r>
      <w:r w:rsidR="003137D9" w:rsidRPr="00480CFA">
        <w:rPr>
          <w:rFonts w:cs="Arial"/>
        </w:rPr>
        <w:t xml:space="preserve"> </w:t>
      </w:r>
    </w:p>
    <w:p w14:paraId="797021CF" w14:textId="5A2B6762" w:rsidR="00480CFA" w:rsidRPr="00480CFA" w:rsidRDefault="00C378F2" w:rsidP="00FD50D9">
      <w:pPr>
        <w:pStyle w:val="ListParagraph"/>
        <w:numPr>
          <w:ilvl w:val="0"/>
          <w:numId w:val="40"/>
        </w:numPr>
        <w:rPr>
          <w:rFonts w:cs="Arial"/>
        </w:rPr>
      </w:pPr>
      <w:r>
        <w:t>An increased risk of gastrointestinal bleeding with combined SSRI and clopidogrel/low-dose aspirin use has also been shown in</w:t>
      </w:r>
      <w:r w:rsidR="00BD7339">
        <w:t xml:space="preserve"> studies</w:t>
      </w:r>
      <w:r>
        <w:t>, but conflicting evidence exists</w:t>
      </w:r>
      <w:r w:rsidR="00BD7339">
        <w:t xml:space="preserve"> (NNH=294 for combined SSRI and antiplatelet use in one meta-analysis)</w:t>
      </w:r>
      <w:r>
        <w:t xml:space="preserve">. </w:t>
      </w:r>
    </w:p>
    <w:p w14:paraId="3A1B3BE8" w14:textId="1D66253D" w:rsidR="00480CFA" w:rsidRDefault="003137D9" w:rsidP="00480CFA">
      <w:pPr>
        <w:pStyle w:val="ListParagraph"/>
        <w:numPr>
          <w:ilvl w:val="0"/>
          <w:numId w:val="40"/>
        </w:numPr>
        <w:rPr>
          <w:rFonts w:cs="Arial"/>
        </w:rPr>
      </w:pPr>
      <w:r w:rsidRPr="00480CFA">
        <w:rPr>
          <w:rFonts w:cs="Arial"/>
        </w:rPr>
        <w:lastRenderedPageBreak/>
        <w:t>Being over the age of 80 or having a previous history of GI bleeding add</w:t>
      </w:r>
      <w:r w:rsidR="00470EBF" w:rsidRPr="00480CFA">
        <w:rPr>
          <w:rFonts w:cs="Arial"/>
        </w:rPr>
        <w:t>s</w:t>
      </w:r>
      <w:r w:rsidRPr="00480CFA">
        <w:rPr>
          <w:rFonts w:cs="Arial"/>
        </w:rPr>
        <w:t xml:space="preserve"> to the risk of upper GI bleeding with SSRIs.</w:t>
      </w:r>
      <w:r w:rsidR="00C3480F" w:rsidRPr="00480CFA">
        <w:rPr>
          <w:rFonts w:cs="Arial"/>
        </w:rPr>
        <w:t xml:space="preserve"> </w:t>
      </w:r>
      <w:r w:rsidR="00470EBF" w:rsidRPr="00480CFA">
        <w:rPr>
          <w:rFonts w:cs="Arial"/>
        </w:rPr>
        <w:t>T</w:t>
      </w:r>
      <w:r w:rsidR="00C3480F" w:rsidRPr="00480CFA">
        <w:rPr>
          <w:rFonts w:cs="Arial"/>
        </w:rPr>
        <w:t xml:space="preserve">he risk </w:t>
      </w:r>
      <w:r w:rsidR="00470EBF" w:rsidRPr="00480CFA">
        <w:rPr>
          <w:rFonts w:cs="Arial"/>
        </w:rPr>
        <w:t>may also be</w:t>
      </w:r>
      <w:r w:rsidR="00C3480F" w:rsidRPr="00480CFA">
        <w:rPr>
          <w:rFonts w:cs="Arial"/>
        </w:rPr>
        <w:t xml:space="preserve"> higher in patients who have just started taking SSRIs, </w:t>
      </w:r>
      <w:r w:rsidR="005112D5" w:rsidRPr="00480CFA">
        <w:rPr>
          <w:rFonts w:cs="Arial"/>
        </w:rPr>
        <w:t xml:space="preserve">and </w:t>
      </w:r>
      <w:r w:rsidR="00C3480F" w:rsidRPr="00480CFA">
        <w:rPr>
          <w:rFonts w:cs="Arial"/>
        </w:rPr>
        <w:t>in those taking SSRIs with a high/intermediate affinity for the serotonin receptor</w:t>
      </w:r>
      <w:r w:rsidR="00523715" w:rsidRPr="00480CFA">
        <w:rPr>
          <w:rFonts w:cs="Arial"/>
        </w:rPr>
        <w:t>.</w:t>
      </w:r>
      <w:r w:rsidR="00C3480F" w:rsidRPr="00480CFA">
        <w:rPr>
          <w:rFonts w:cs="Arial"/>
        </w:rPr>
        <w:t xml:space="preserve"> </w:t>
      </w:r>
    </w:p>
    <w:p w14:paraId="27C3DAEF" w14:textId="30230B0A" w:rsidR="00C22615" w:rsidRDefault="00C3480F" w:rsidP="00480CFA">
      <w:pPr>
        <w:pStyle w:val="ListParagraph"/>
        <w:numPr>
          <w:ilvl w:val="0"/>
          <w:numId w:val="40"/>
        </w:numPr>
        <w:rPr>
          <w:rFonts w:cs="Arial"/>
        </w:rPr>
      </w:pPr>
      <w:r w:rsidRPr="00480CFA">
        <w:rPr>
          <w:rFonts w:cs="Arial"/>
        </w:rPr>
        <w:t xml:space="preserve">If an </w:t>
      </w:r>
      <w:smartTag w:uri="urn:schemas-microsoft-com:office:smarttags" w:element="stockticker">
        <w:r w:rsidRPr="00480CFA">
          <w:rPr>
            <w:rFonts w:cs="Arial"/>
          </w:rPr>
          <w:t>SSRI</w:t>
        </w:r>
      </w:smartTag>
      <w:r w:rsidRPr="00480CFA">
        <w:rPr>
          <w:rFonts w:cs="Arial"/>
        </w:rPr>
        <w:t xml:space="preserve"> is required in a patient at high risk of an upper GI bleed, consider the use of a gastro-protective agent. Studies have shown th</w:t>
      </w:r>
      <w:r w:rsidR="00044717" w:rsidRPr="00480CFA">
        <w:rPr>
          <w:rFonts w:cs="Arial"/>
        </w:rPr>
        <w:t>at</w:t>
      </w:r>
      <w:r w:rsidRPr="00480CFA">
        <w:rPr>
          <w:rFonts w:cs="Arial"/>
        </w:rPr>
        <w:t xml:space="preserve"> acid suppressing drugs, e.g. PPIs</w:t>
      </w:r>
      <w:r w:rsidR="004F16DB" w:rsidRPr="00480CFA">
        <w:rPr>
          <w:rFonts w:cs="Arial"/>
        </w:rPr>
        <w:t>,</w:t>
      </w:r>
      <w:r w:rsidR="00044717" w:rsidRPr="00480CFA">
        <w:rPr>
          <w:rFonts w:cs="Arial"/>
        </w:rPr>
        <w:t xml:space="preserve"> </w:t>
      </w:r>
      <w:r w:rsidRPr="00480CFA">
        <w:rPr>
          <w:rFonts w:cs="Arial"/>
        </w:rPr>
        <w:t>protect against upper GI bleeds in patients receiving single-therapy SSRI</w:t>
      </w:r>
      <w:r w:rsidR="00701B2C">
        <w:rPr>
          <w:rFonts w:cs="Arial"/>
        </w:rPr>
        <w:t xml:space="preserve"> </w:t>
      </w:r>
      <w:r w:rsidRPr="00480CFA">
        <w:rPr>
          <w:rFonts w:cs="Arial"/>
        </w:rPr>
        <w:t xml:space="preserve">or combined NSAID and </w:t>
      </w:r>
      <w:smartTag w:uri="urn:schemas-microsoft-com:office:smarttags" w:element="stockticker">
        <w:r w:rsidRPr="00480CFA">
          <w:rPr>
            <w:rFonts w:cs="Arial"/>
          </w:rPr>
          <w:t>SSRI</w:t>
        </w:r>
      </w:smartTag>
      <w:r w:rsidRPr="00480CFA">
        <w:rPr>
          <w:rFonts w:cs="Arial"/>
        </w:rPr>
        <w:t xml:space="preserve"> treatment</w:t>
      </w:r>
      <w:r w:rsidR="00606B76">
        <w:rPr>
          <w:rFonts w:cs="Arial"/>
        </w:rPr>
        <w:t xml:space="preserve">. </w:t>
      </w:r>
      <w:r w:rsidRPr="00480CFA">
        <w:rPr>
          <w:rFonts w:cs="Arial"/>
        </w:rPr>
        <w:t>Current NICE guidance on depression recommends considering a gastroprotective drug in older</w:t>
      </w:r>
      <w:r w:rsidRPr="00C22615">
        <w:rPr>
          <w:rFonts w:cs="Arial"/>
        </w:rPr>
        <w:t xml:space="preserve"> people on SSRIs who are also taking NSAIDs or aspirin. </w:t>
      </w:r>
    </w:p>
    <w:p w14:paraId="6E550FF2" w14:textId="1111AE62" w:rsidR="00C22615" w:rsidRDefault="00C22615" w:rsidP="00480CFA">
      <w:pPr>
        <w:pStyle w:val="ListParagraph"/>
        <w:numPr>
          <w:ilvl w:val="0"/>
          <w:numId w:val="40"/>
        </w:numPr>
        <w:rPr>
          <w:rFonts w:cs="Arial"/>
        </w:rPr>
      </w:pPr>
      <w:r>
        <w:rPr>
          <w:rFonts w:cs="Arial"/>
        </w:rPr>
        <w:t>People</w:t>
      </w:r>
      <w:r w:rsidR="00BC3264" w:rsidRPr="00C22615">
        <w:rPr>
          <w:rFonts w:cs="Arial"/>
        </w:rPr>
        <w:t xml:space="preserve"> taking multiple drugs that could cause bleeding</w:t>
      </w:r>
      <w:r>
        <w:rPr>
          <w:rFonts w:cs="Arial"/>
        </w:rPr>
        <w:t xml:space="preserve"> should</w:t>
      </w:r>
      <w:r w:rsidR="00BC3264" w:rsidRPr="00C22615">
        <w:rPr>
          <w:rFonts w:cs="Arial"/>
        </w:rPr>
        <w:t xml:space="preserve"> </w:t>
      </w:r>
      <w:r w:rsidR="00470EBF" w:rsidRPr="00C22615">
        <w:rPr>
          <w:rFonts w:cs="Arial"/>
        </w:rPr>
        <w:t>seek</w:t>
      </w:r>
      <w:r w:rsidR="00C3480F" w:rsidRPr="00C22615">
        <w:rPr>
          <w:rFonts w:cs="Arial"/>
        </w:rPr>
        <w:t xml:space="preserve"> </w:t>
      </w:r>
      <w:r w:rsidR="00044717" w:rsidRPr="00C22615">
        <w:rPr>
          <w:rFonts w:cs="Arial"/>
        </w:rPr>
        <w:t>info</w:t>
      </w:r>
      <w:r w:rsidR="00BC3264" w:rsidRPr="00C22615">
        <w:rPr>
          <w:rFonts w:cs="Arial"/>
        </w:rPr>
        <w:t xml:space="preserve">rmed medical advice </w:t>
      </w:r>
      <w:r w:rsidR="00C3480F" w:rsidRPr="00C22615">
        <w:rPr>
          <w:rFonts w:cs="Arial"/>
        </w:rPr>
        <w:t>before starting regular use of non-prescription drugs such as ibuprofen.</w:t>
      </w:r>
      <w:r w:rsidR="00E47D7C" w:rsidRPr="00C22615">
        <w:rPr>
          <w:rFonts w:cs="Arial"/>
        </w:rPr>
        <w:t xml:space="preserve"> </w:t>
      </w:r>
    </w:p>
    <w:p w14:paraId="5D524E19" w14:textId="6E5B8FA2" w:rsidR="006F02E9" w:rsidRPr="00480CFA" w:rsidRDefault="00470EBF" w:rsidP="00480CFA">
      <w:pPr>
        <w:pStyle w:val="ListParagraph"/>
        <w:numPr>
          <w:ilvl w:val="0"/>
          <w:numId w:val="40"/>
        </w:numPr>
        <w:rPr>
          <w:rStyle w:val="Heading3Char"/>
          <w:rFonts w:eastAsia="Calibri" w:cs="Arial"/>
          <w:b w:val="0"/>
          <w:bCs w:val="0"/>
          <w:color w:val="auto"/>
          <w:szCs w:val="22"/>
        </w:rPr>
      </w:pPr>
      <w:r>
        <w:t>C</w:t>
      </w:r>
      <w:r w:rsidR="00E47D7C">
        <w:t>onsider</w:t>
      </w:r>
      <w:r>
        <w:t xml:space="preserve"> paracetamol</w:t>
      </w:r>
      <w:r w:rsidR="00E47D7C">
        <w:t xml:space="preserve"> as an alternative</w:t>
      </w:r>
      <w:r w:rsidR="00C22615">
        <w:t xml:space="preserve"> pain-killer</w:t>
      </w:r>
      <w:r w:rsidR="00E47D7C">
        <w:t xml:space="preserve"> to an NSAID in p</w:t>
      </w:r>
      <w:r w:rsidR="00C22615">
        <w:t>eople</w:t>
      </w:r>
      <w:r w:rsidR="00E47D7C">
        <w:t xml:space="preserve"> who are taking SSRIs.</w:t>
      </w:r>
    </w:p>
    <w:p w14:paraId="398AF06C" w14:textId="77777777" w:rsidR="003137D9" w:rsidRDefault="003137D9" w:rsidP="00427F92">
      <w:pPr>
        <w:spacing w:after="0" w:line="240" w:lineRule="auto"/>
        <w:rPr>
          <w:rStyle w:val="Heading3Char"/>
          <w:rFonts w:eastAsia="Calibri"/>
        </w:rPr>
      </w:pPr>
    </w:p>
    <w:p w14:paraId="223622D2" w14:textId="77777777" w:rsidR="00427F92" w:rsidRDefault="00427F92" w:rsidP="00427F92">
      <w:pPr>
        <w:spacing w:after="0" w:line="240" w:lineRule="auto"/>
        <w:rPr>
          <w:rFonts w:cs="Arial"/>
        </w:rPr>
      </w:pPr>
      <w:r w:rsidRPr="00B1695F">
        <w:rPr>
          <w:rStyle w:val="Heading3Char"/>
          <w:rFonts w:eastAsia="Calibri"/>
        </w:rPr>
        <w:t>Limitations</w:t>
      </w:r>
      <w:r w:rsidRPr="00B00B12">
        <w:rPr>
          <w:rFonts w:eastAsia="Times New Roman" w:cs="Arial"/>
          <w:b/>
          <w:color w:val="0000FF"/>
          <w:szCs w:val="20"/>
          <w:lang w:val="en-US"/>
        </w:rPr>
        <w:br/>
      </w:r>
      <w:r w:rsidR="006F02E9" w:rsidRPr="00DE30DA">
        <w:rPr>
          <w:rFonts w:cs="Arial"/>
        </w:rPr>
        <w:t xml:space="preserve">Studies that have looked at the risk of GI bleeds in </w:t>
      </w:r>
      <w:smartTag w:uri="urn:schemas-microsoft-com:office:smarttags" w:element="stockticker">
        <w:r w:rsidR="006F02E9" w:rsidRPr="00DE30DA">
          <w:rPr>
            <w:rFonts w:cs="Arial"/>
          </w:rPr>
          <w:t>SSRI</w:t>
        </w:r>
      </w:smartTag>
      <w:r w:rsidR="006F02E9" w:rsidRPr="00DE30DA">
        <w:rPr>
          <w:rFonts w:cs="Arial"/>
        </w:rPr>
        <w:t xml:space="preserve"> users have differed </w:t>
      </w:r>
      <w:r w:rsidR="006F02E9">
        <w:rPr>
          <w:rFonts w:cs="Arial"/>
        </w:rPr>
        <w:t xml:space="preserve">widely </w:t>
      </w:r>
      <w:r w:rsidR="006F02E9" w:rsidRPr="00DE30DA">
        <w:rPr>
          <w:rFonts w:cs="Arial"/>
        </w:rPr>
        <w:t>with respect to the confounding factors taken into account.</w:t>
      </w:r>
      <w:r w:rsidR="006F02E9" w:rsidRPr="00DA4F13">
        <w:rPr>
          <w:rFonts w:cs="Arial"/>
        </w:rPr>
        <w:t xml:space="preserve"> </w:t>
      </w:r>
      <w:r w:rsidR="006F02E9">
        <w:rPr>
          <w:rFonts w:cs="Arial"/>
        </w:rPr>
        <w:t>Many are retrospective studies (selection bias not always accounted for) with heterogeneous populations.</w:t>
      </w:r>
    </w:p>
    <w:p w14:paraId="11E2A5FD" w14:textId="77777777" w:rsidR="00470EBF" w:rsidRPr="00B1695F" w:rsidRDefault="00470EBF" w:rsidP="00427F92">
      <w:pPr>
        <w:spacing w:after="0" w:line="240" w:lineRule="auto"/>
      </w:pPr>
    </w:p>
    <w:p w14:paraId="3F068A44" w14:textId="77777777" w:rsidR="00427F92" w:rsidRPr="00B00B12" w:rsidRDefault="00427F92" w:rsidP="00427F92">
      <w:pPr>
        <w:pStyle w:val="Heading3"/>
        <w:rPr>
          <w:lang w:val="en-US"/>
        </w:rPr>
      </w:pPr>
      <w:r w:rsidRPr="00B00B12">
        <w:rPr>
          <w:lang w:val="en-US"/>
        </w:rPr>
        <w:t>References</w:t>
      </w:r>
    </w:p>
    <w:p w14:paraId="78F324BF" w14:textId="77777777" w:rsidR="006F02E9" w:rsidRDefault="006F02E9" w:rsidP="00E426BD">
      <w:pPr>
        <w:pStyle w:val="Default"/>
        <w:numPr>
          <w:ilvl w:val="1"/>
          <w:numId w:val="38"/>
        </w:numPr>
        <w:rPr>
          <w:sz w:val="20"/>
          <w:szCs w:val="20"/>
        </w:rPr>
      </w:pPr>
      <w:r>
        <w:rPr>
          <w:sz w:val="20"/>
          <w:szCs w:val="20"/>
        </w:rPr>
        <w:t xml:space="preserve">de Abajo FJ, Garcia Rodriguez LA, Montero D. Association between selective serotonin reuptake inhibitors and upper gastrointestinal bleeding: population based case-control study. Br Med J 1999;319:1106-9. </w:t>
      </w:r>
    </w:p>
    <w:p w14:paraId="22D5AF9F" w14:textId="77777777" w:rsidR="006F02E9" w:rsidRDefault="006F02E9" w:rsidP="00E426BD">
      <w:pPr>
        <w:pStyle w:val="Default"/>
        <w:numPr>
          <w:ilvl w:val="1"/>
          <w:numId w:val="38"/>
        </w:numPr>
        <w:rPr>
          <w:sz w:val="20"/>
          <w:szCs w:val="20"/>
        </w:rPr>
      </w:pPr>
      <w:r>
        <w:rPr>
          <w:sz w:val="20"/>
          <w:szCs w:val="20"/>
        </w:rPr>
        <w:t xml:space="preserve">Loke YK, Trivedi AN, Singh S. Meta-analysis: gastrointestinal bleeding due to interaction between selective serotonin uptake inhibitors and non-steroidal anti-inflammatory drugs. Aliment Pharmacol Ther 2008;27:31-40. </w:t>
      </w:r>
    </w:p>
    <w:p w14:paraId="7ABF2087" w14:textId="77777777" w:rsidR="006F02E9" w:rsidRDefault="006F02E9" w:rsidP="00E426BD">
      <w:pPr>
        <w:pStyle w:val="Default"/>
        <w:numPr>
          <w:ilvl w:val="1"/>
          <w:numId w:val="38"/>
        </w:numPr>
        <w:rPr>
          <w:sz w:val="20"/>
          <w:szCs w:val="20"/>
        </w:rPr>
      </w:pPr>
      <w:r>
        <w:rPr>
          <w:sz w:val="20"/>
          <w:szCs w:val="20"/>
        </w:rPr>
        <w:t xml:space="preserve">de Abajo FJ, Montero D, Garcia Rodriguez LA et al. Antidepressants and risk of upper gastrointestinal bleeding. Basic Clin Pharmacol Toxicol 2006;98:304-10. </w:t>
      </w:r>
    </w:p>
    <w:p w14:paraId="114FDCF9" w14:textId="77777777" w:rsidR="006F02E9" w:rsidRDefault="006F02E9" w:rsidP="00E426BD">
      <w:pPr>
        <w:pStyle w:val="Default"/>
        <w:numPr>
          <w:ilvl w:val="1"/>
          <w:numId w:val="38"/>
        </w:numPr>
        <w:rPr>
          <w:sz w:val="20"/>
          <w:szCs w:val="20"/>
        </w:rPr>
      </w:pPr>
      <w:r>
        <w:rPr>
          <w:sz w:val="20"/>
          <w:szCs w:val="20"/>
        </w:rPr>
        <w:t xml:space="preserve">Andrade C, Sandarsh S, Chethan KB et al. Serotonin reuptake inhibitor antidepressants and abnormal bleeding: A review for clinicians and a reconsideration of mechanisms. J Clin Psychiat 2010;71(12):1565-75. </w:t>
      </w:r>
    </w:p>
    <w:p w14:paraId="3FDCEEBC" w14:textId="77777777" w:rsidR="006F02E9" w:rsidRDefault="006F02E9" w:rsidP="00E426BD">
      <w:pPr>
        <w:pStyle w:val="Default"/>
        <w:numPr>
          <w:ilvl w:val="1"/>
          <w:numId w:val="38"/>
        </w:numPr>
        <w:rPr>
          <w:sz w:val="20"/>
          <w:szCs w:val="20"/>
        </w:rPr>
      </w:pPr>
      <w:r>
        <w:rPr>
          <w:sz w:val="20"/>
          <w:szCs w:val="20"/>
        </w:rPr>
        <w:t>Anglin R, Yuan Y, Moayyedi P et al. Risk of upper gastrointestinal bleeding with selective serotonin reuptake inhibitors with or without concurrent nonsteroidal anti-inflammatory use: a systematic review and meta-analysis. Am J Gastroenterol 2014;109:811-819.</w:t>
      </w:r>
    </w:p>
    <w:p w14:paraId="19BF7791" w14:textId="77777777" w:rsidR="006F02E9" w:rsidRDefault="006F02E9" w:rsidP="00E426BD">
      <w:pPr>
        <w:pStyle w:val="Default"/>
        <w:numPr>
          <w:ilvl w:val="1"/>
          <w:numId w:val="38"/>
        </w:numPr>
        <w:rPr>
          <w:sz w:val="20"/>
          <w:szCs w:val="20"/>
        </w:rPr>
      </w:pPr>
      <w:r>
        <w:rPr>
          <w:sz w:val="20"/>
          <w:szCs w:val="20"/>
        </w:rPr>
        <w:t>Jiang H-Y, Chem H-Z, Hu X-J et al. Use of selective serotonin reuptake inhibitors and risk of upper gastrointestinal bleeding: A systematic review and meta-analysis. Clin Gastroenterol Hepatol 2015;13:42-50.</w:t>
      </w:r>
    </w:p>
    <w:p w14:paraId="615AC446" w14:textId="77777777" w:rsidR="006F02E9" w:rsidRDefault="006F02E9" w:rsidP="008921A7">
      <w:pPr>
        <w:pStyle w:val="Default"/>
        <w:numPr>
          <w:ilvl w:val="1"/>
          <w:numId w:val="38"/>
        </w:numPr>
        <w:rPr>
          <w:sz w:val="20"/>
          <w:szCs w:val="20"/>
        </w:rPr>
      </w:pPr>
      <w:r>
        <w:rPr>
          <w:sz w:val="20"/>
          <w:szCs w:val="20"/>
        </w:rPr>
        <w:t xml:space="preserve">van Walraven C, Mamdani MM, Wells PS et al. Inhibition of serotonin reuptake by antidepressants and upper gastrointestinal bleeding in elderly patients: retrospective cohort study. Br Med J 2001;323:655-8. </w:t>
      </w:r>
    </w:p>
    <w:p w14:paraId="7228A005" w14:textId="77777777" w:rsidR="006F02E9" w:rsidRDefault="006F02E9" w:rsidP="002F7D8B">
      <w:pPr>
        <w:pStyle w:val="Default"/>
        <w:numPr>
          <w:ilvl w:val="1"/>
          <w:numId w:val="38"/>
        </w:numPr>
        <w:ind w:left="1434" w:hanging="357"/>
        <w:rPr>
          <w:sz w:val="20"/>
          <w:szCs w:val="20"/>
        </w:rPr>
      </w:pPr>
      <w:r>
        <w:rPr>
          <w:sz w:val="20"/>
          <w:szCs w:val="20"/>
        </w:rPr>
        <w:t xml:space="preserve">Dalton SO, Johansen C, Mellemkjoer L et al. Use of selective serotonin reuptake inhibitors and risk of upper gastrointestinal tract bleeding. A population-based cohort study. Arch Intern Med 2003;163:59-64. </w:t>
      </w:r>
    </w:p>
    <w:p w14:paraId="1B8FE3EB" w14:textId="77777777" w:rsidR="006F02E9" w:rsidRDefault="006F02E9" w:rsidP="002F7D8B">
      <w:pPr>
        <w:pStyle w:val="Default"/>
        <w:numPr>
          <w:ilvl w:val="1"/>
          <w:numId w:val="38"/>
        </w:numPr>
        <w:ind w:left="1434" w:hanging="357"/>
        <w:rPr>
          <w:sz w:val="20"/>
          <w:szCs w:val="20"/>
        </w:rPr>
      </w:pPr>
      <w:r>
        <w:rPr>
          <w:sz w:val="20"/>
          <w:szCs w:val="20"/>
        </w:rPr>
        <w:t>Summary of Product Characteristics – Seroxat</w:t>
      </w:r>
      <w:r>
        <w:rPr>
          <w:position w:val="8"/>
          <w:sz w:val="20"/>
          <w:szCs w:val="20"/>
          <w:vertAlign w:val="superscript"/>
        </w:rPr>
        <w:t xml:space="preserve">® </w:t>
      </w:r>
      <w:r>
        <w:rPr>
          <w:sz w:val="20"/>
          <w:szCs w:val="20"/>
        </w:rPr>
        <w:t xml:space="preserve">10mg, 20mg, 30mg tablets, 20mg/10ml oral suspension (paroxetine). GlaxoSmithKline UK. Accessed via </w:t>
      </w:r>
      <w:hyperlink r:id="rId10" w:history="1">
        <w:r w:rsidRPr="00CE3BFA">
          <w:rPr>
            <w:rStyle w:val="Hyperlink"/>
            <w:sz w:val="20"/>
            <w:szCs w:val="20"/>
          </w:rPr>
          <w:t>https://www.medicines.org.uk/emc/medicine/2057</w:t>
        </w:r>
      </w:hyperlink>
      <w:r>
        <w:rPr>
          <w:sz w:val="20"/>
          <w:szCs w:val="20"/>
        </w:rPr>
        <w:t xml:space="preserve"> on 2</w:t>
      </w:r>
      <w:r w:rsidR="00BE61EE">
        <w:rPr>
          <w:sz w:val="20"/>
          <w:szCs w:val="20"/>
        </w:rPr>
        <w:t>7</w:t>
      </w:r>
      <w:r>
        <w:rPr>
          <w:sz w:val="20"/>
          <w:szCs w:val="20"/>
        </w:rPr>
        <w:t>/0</w:t>
      </w:r>
      <w:r w:rsidR="00073B33">
        <w:rPr>
          <w:sz w:val="20"/>
          <w:szCs w:val="20"/>
        </w:rPr>
        <w:t>6</w:t>
      </w:r>
      <w:r>
        <w:rPr>
          <w:sz w:val="20"/>
          <w:szCs w:val="20"/>
        </w:rPr>
        <w:t>/1</w:t>
      </w:r>
      <w:r w:rsidR="00BE61EE">
        <w:rPr>
          <w:sz w:val="20"/>
          <w:szCs w:val="20"/>
        </w:rPr>
        <w:t>9</w:t>
      </w:r>
      <w:r>
        <w:rPr>
          <w:sz w:val="20"/>
          <w:szCs w:val="20"/>
        </w:rPr>
        <w:t xml:space="preserve"> [date of revision of the text </w:t>
      </w:r>
      <w:r w:rsidR="00BE61EE">
        <w:rPr>
          <w:sz w:val="20"/>
          <w:szCs w:val="20"/>
        </w:rPr>
        <w:t>13 Feb</w:t>
      </w:r>
      <w:r>
        <w:rPr>
          <w:sz w:val="20"/>
          <w:szCs w:val="20"/>
        </w:rPr>
        <w:t xml:space="preserve"> 201</w:t>
      </w:r>
      <w:r w:rsidR="00BE61EE">
        <w:rPr>
          <w:sz w:val="20"/>
          <w:szCs w:val="20"/>
        </w:rPr>
        <w:t>9</w:t>
      </w:r>
      <w:r>
        <w:rPr>
          <w:sz w:val="20"/>
          <w:szCs w:val="20"/>
        </w:rPr>
        <w:t xml:space="preserve">]. </w:t>
      </w:r>
    </w:p>
    <w:p w14:paraId="7A276AD6" w14:textId="28548E12" w:rsidR="006F02E9" w:rsidRDefault="006F02E9" w:rsidP="00621539">
      <w:pPr>
        <w:pStyle w:val="Default"/>
        <w:numPr>
          <w:ilvl w:val="1"/>
          <w:numId w:val="38"/>
        </w:numPr>
        <w:rPr>
          <w:sz w:val="20"/>
          <w:szCs w:val="20"/>
        </w:rPr>
      </w:pPr>
      <w:r>
        <w:rPr>
          <w:sz w:val="20"/>
          <w:szCs w:val="20"/>
        </w:rPr>
        <w:t>Summary of Product Characteristics – Lustral</w:t>
      </w:r>
      <w:r>
        <w:rPr>
          <w:position w:val="8"/>
          <w:sz w:val="20"/>
          <w:szCs w:val="20"/>
          <w:vertAlign w:val="superscript"/>
        </w:rPr>
        <w:t xml:space="preserve">TM </w:t>
      </w:r>
      <w:r>
        <w:rPr>
          <w:sz w:val="20"/>
          <w:szCs w:val="20"/>
        </w:rPr>
        <w:t xml:space="preserve">100mg film-coated tablets (sertraline). Pfizer Limited. Accessed via </w:t>
      </w:r>
      <w:hyperlink r:id="rId11" w:history="1">
        <w:r w:rsidRPr="00CE3BFA">
          <w:rPr>
            <w:rStyle w:val="Hyperlink"/>
            <w:sz w:val="20"/>
            <w:szCs w:val="20"/>
          </w:rPr>
          <w:t>https://www.medicines.org.uk/emc/medicine/27116</w:t>
        </w:r>
      </w:hyperlink>
      <w:r>
        <w:rPr>
          <w:sz w:val="20"/>
          <w:szCs w:val="20"/>
        </w:rPr>
        <w:t xml:space="preserve"> on 2</w:t>
      </w:r>
      <w:r w:rsidR="00BE61EE">
        <w:rPr>
          <w:sz w:val="20"/>
          <w:szCs w:val="20"/>
        </w:rPr>
        <w:t>7</w:t>
      </w:r>
      <w:r>
        <w:rPr>
          <w:sz w:val="20"/>
          <w:szCs w:val="20"/>
        </w:rPr>
        <w:t>/0</w:t>
      </w:r>
      <w:r w:rsidR="00E428D7">
        <w:rPr>
          <w:sz w:val="20"/>
          <w:szCs w:val="20"/>
        </w:rPr>
        <w:t>6</w:t>
      </w:r>
      <w:r>
        <w:rPr>
          <w:sz w:val="20"/>
          <w:szCs w:val="20"/>
        </w:rPr>
        <w:t>/1</w:t>
      </w:r>
      <w:r w:rsidR="00BE61EE">
        <w:rPr>
          <w:sz w:val="20"/>
          <w:szCs w:val="20"/>
        </w:rPr>
        <w:t>9</w:t>
      </w:r>
      <w:r>
        <w:rPr>
          <w:sz w:val="20"/>
          <w:szCs w:val="20"/>
        </w:rPr>
        <w:t xml:space="preserve"> [date of revision of the text</w:t>
      </w:r>
      <w:r w:rsidR="00E428D7">
        <w:rPr>
          <w:sz w:val="20"/>
          <w:szCs w:val="20"/>
        </w:rPr>
        <w:t xml:space="preserve"> Nov 201</w:t>
      </w:r>
      <w:r w:rsidR="00BE61EE">
        <w:rPr>
          <w:sz w:val="20"/>
          <w:szCs w:val="20"/>
        </w:rPr>
        <w:t>8</w:t>
      </w:r>
      <w:r w:rsidR="00E428D7">
        <w:rPr>
          <w:sz w:val="20"/>
          <w:szCs w:val="20"/>
        </w:rPr>
        <w:t>]</w:t>
      </w:r>
      <w:r>
        <w:rPr>
          <w:sz w:val="20"/>
          <w:szCs w:val="20"/>
        </w:rPr>
        <w:t xml:space="preserve">. </w:t>
      </w:r>
    </w:p>
    <w:p w14:paraId="553A83FC" w14:textId="77777777" w:rsidR="006F02E9" w:rsidRDefault="006F02E9" w:rsidP="00621539">
      <w:pPr>
        <w:pStyle w:val="Default"/>
        <w:numPr>
          <w:ilvl w:val="1"/>
          <w:numId w:val="38"/>
        </w:numPr>
        <w:rPr>
          <w:sz w:val="20"/>
          <w:szCs w:val="20"/>
        </w:rPr>
      </w:pPr>
      <w:r>
        <w:rPr>
          <w:sz w:val="20"/>
          <w:szCs w:val="20"/>
        </w:rPr>
        <w:t>Summary of Product Characteristics – Prozac</w:t>
      </w:r>
      <w:r>
        <w:rPr>
          <w:position w:val="8"/>
          <w:sz w:val="20"/>
          <w:szCs w:val="20"/>
          <w:vertAlign w:val="superscript"/>
        </w:rPr>
        <w:t xml:space="preserve">® </w:t>
      </w:r>
      <w:r>
        <w:rPr>
          <w:sz w:val="20"/>
          <w:szCs w:val="20"/>
        </w:rPr>
        <w:t xml:space="preserve">20mg hard capsules, and 20mg per 5ml oral liquid (fluoxetine). Eli Lilly and Company Limited. Accessed via </w:t>
      </w:r>
      <w:hyperlink r:id="rId12" w:history="1">
        <w:r w:rsidRPr="00023D9C">
          <w:rPr>
            <w:rStyle w:val="Hyperlink"/>
            <w:sz w:val="20"/>
            <w:szCs w:val="20"/>
          </w:rPr>
          <w:t>https://www.medicines.org.uk/emc/medicine/504</w:t>
        </w:r>
      </w:hyperlink>
      <w:r>
        <w:rPr>
          <w:sz w:val="20"/>
          <w:szCs w:val="20"/>
          <w:u w:val="single"/>
        </w:rPr>
        <w:t xml:space="preserve"> </w:t>
      </w:r>
      <w:r w:rsidRPr="004B0FDD">
        <w:rPr>
          <w:sz w:val="20"/>
          <w:szCs w:val="20"/>
          <w:u w:val="single"/>
        </w:rPr>
        <w:t xml:space="preserve"> </w:t>
      </w:r>
      <w:r>
        <w:rPr>
          <w:sz w:val="20"/>
          <w:szCs w:val="20"/>
        </w:rPr>
        <w:t>on 2</w:t>
      </w:r>
      <w:r w:rsidR="00BE61EE">
        <w:rPr>
          <w:sz w:val="20"/>
          <w:szCs w:val="20"/>
        </w:rPr>
        <w:t>7</w:t>
      </w:r>
      <w:r>
        <w:rPr>
          <w:sz w:val="20"/>
          <w:szCs w:val="20"/>
        </w:rPr>
        <w:t>/0</w:t>
      </w:r>
      <w:r w:rsidR="00073B33">
        <w:rPr>
          <w:sz w:val="20"/>
          <w:szCs w:val="20"/>
        </w:rPr>
        <w:t>6</w:t>
      </w:r>
      <w:r>
        <w:rPr>
          <w:sz w:val="20"/>
          <w:szCs w:val="20"/>
        </w:rPr>
        <w:t>/1</w:t>
      </w:r>
      <w:r w:rsidR="00BE61EE">
        <w:rPr>
          <w:sz w:val="20"/>
          <w:szCs w:val="20"/>
        </w:rPr>
        <w:t>9</w:t>
      </w:r>
      <w:r>
        <w:rPr>
          <w:sz w:val="20"/>
          <w:szCs w:val="20"/>
        </w:rPr>
        <w:t xml:space="preserve"> [date of revision of the text 08 </w:t>
      </w:r>
      <w:r w:rsidR="00BE61EE">
        <w:rPr>
          <w:sz w:val="20"/>
          <w:szCs w:val="20"/>
        </w:rPr>
        <w:t>Mar</w:t>
      </w:r>
      <w:r>
        <w:rPr>
          <w:sz w:val="20"/>
          <w:szCs w:val="20"/>
        </w:rPr>
        <w:t xml:space="preserve"> 201</w:t>
      </w:r>
      <w:r w:rsidR="00BE61EE">
        <w:rPr>
          <w:sz w:val="20"/>
          <w:szCs w:val="20"/>
        </w:rPr>
        <w:t>8</w:t>
      </w:r>
      <w:r>
        <w:rPr>
          <w:sz w:val="20"/>
          <w:szCs w:val="20"/>
        </w:rPr>
        <w:t xml:space="preserve">]. </w:t>
      </w:r>
    </w:p>
    <w:p w14:paraId="40E63848" w14:textId="77777777" w:rsidR="006F02E9" w:rsidRDefault="006F02E9" w:rsidP="00621539">
      <w:pPr>
        <w:pStyle w:val="Default"/>
        <w:numPr>
          <w:ilvl w:val="1"/>
          <w:numId w:val="38"/>
        </w:numPr>
        <w:rPr>
          <w:sz w:val="20"/>
          <w:szCs w:val="20"/>
        </w:rPr>
      </w:pPr>
      <w:r>
        <w:rPr>
          <w:sz w:val="20"/>
          <w:szCs w:val="20"/>
        </w:rPr>
        <w:lastRenderedPageBreak/>
        <w:t>Summary of Product Characteristics – Cipramil</w:t>
      </w:r>
      <w:r>
        <w:rPr>
          <w:position w:val="8"/>
          <w:sz w:val="20"/>
          <w:szCs w:val="20"/>
          <w:vertAlign w:val="superscript"/>
        </w:rPr>
        <w:t xml:space="preserve">® </w:t>
      </w:r>
      <w:r>
        <w:rPr>
          <w:sz w:val="20"/>
          <w:szCs w:val="20"/>
        </w:rPr>
        <w:t xml:space="preserve">Tablets (citalopram). Lundbeck Ltd. Accessed via </w:t>
      </w:r>
      <w:hyperlink r:id="rId13" w:history="1">
        <w:r w:rsidRPr="00023D9C">
          <w:rPr>
            <w:rStyle w:val="Hyperlink"/>
            <w:sz w:val="20"/>
            <w:szCs w:val="20"/>
          </w:rPr>
          <w:t>https://www.medicines.org.uk/emc/medicine/1070</w:t>
        </w:r>
      </w:hyperlink>
      <w:r>
        <w:rPr>
          <w:sz w:val="20"/>
          <w:szCs w:val="20"/>
        </w:rPr>
        <w:t xml:space="preserve"> </w:t>
      </w:r>
      <w:r w:rsidRPr="008F3DDC" w:rsidDel="008F3DDC">
        <w:rPr>
          <w:sz w:val="20"/>
          <w:szCs w:val="20"/>
        </w:rPr>
        <w:t xml:space="preserve"> </w:t>
      </w:r>
      <w:r>
        <w:rPr>
          <w:sz w:val="20"/>
          <w:szCs w:val="20"/>
        </w:rPr>
        <w:t>on 2</w:t>
      </w:r>
      <w:r w:rsidR="00BD6668">
        <w:rPr>
          <w:sz w:val="20"/>
          <w:szCs w:val="20"/>
        </w:rPr>
        <w:t>7</w:t>
      </w:r>
      <w:r>
        <w:rPr>
          <w:sz w:val="20"/>
          <w:szCs w:val="20"/>
        </w:rPr>
        <w:t>/0</w:t>
      </w:r>
      <w:r w:rsidR="00073B33">
        <w:rPr>
          <w:sz w:val="20"/>
          <w:szCs w:val="20"/>
        </w:rPr>
        <w:t>6</w:t>
      </w:r>
      <w:r>
        <w:rPr>
          <w:sz w:val="20"/>
          <w:szCs w:val="20"/>
        </w:rPr>
        <w:t>/1</w:t>
      </w:r>
      <w:r w:rsidR="00BD6668">
        <w:rPr>
          <w:sz w:val="20"/>
          <w:szCs w:val="20"/>
        </w:rPr>
        <w:t>9</w:t>
      </w:r>
      <w:r>
        <w:rPr>
          <w:sz w:val="20"/>
          <w:szCs w:val="20"/>
        </w:rPr>
        <w:t xml:space="preserve"> [date of revision of the text </w:t>
      </w:r>
      <w:r w:rsidR="00BD6668">
        <w:rPr>
          <w:sz w:val="20"/>
          <w:szCs w:val="20"/>
        </w:rPr>
        <w:t>Mar</w:t>
      </w:r>
      <w:r>
        <w:rPr>
          <w:sz w:val="20"/>
          <w:szCs w:val="20"/>
        </w:rPr>
        <w:t xml:space="preserve"> 201</w:t>
      </w:r>
      <w:r w:rsidR="00BD6668">
        <w:rPr>
          <w:sz w:val="20"/>
          <w:szCs w:val="20"/>
        </w:rPr>
        <w:t>9</w:t>
      </w:r>
      <w:r>
        <w:rPr>
          <w:sz w:val="20"/>
          <w:szCs w:val="20"/>
        </w:rPr>
        <w:t xml:space="preserve">]. </w:t>
      </w:r>
    </w:p>
    <w:p w14:paraId="5B0A04E9" w14:textId="77777777" w:rsidR="006F02E9" w:rsidRPr="002F785B" w:rsidRDefault="006F02E9" w:rsidP="00621539">
      <w:pPr>
        <w:pStyle w:val="Default"/>
        <w:numPr>
          <w:ilvl w:val="1"/>
          <w:numId w:val="38"/>
        </w:numPr>
        <w:rPr>
          <w:sz w:val="20"/>
          <w:szCs w:val="20"/>
        </w:rPr>
      </w:pPr>
      <w:r w:rsidRPr="002F785B">
        <w:rPr>
          <w:sz w:val="20"/>
          <w:szCs w:val="20"/>
        </w:rPr>
        <w:t>Summary of Product Characteristics – Cipralex</w:t>
      </w:r>
      <w:r w:rsidRPr="002F785B">
        <w:rPr>
          <w:position w:val="8"/>
          <w:sz w:val="20"/>
          <w:szCs w:val="20"/>
          <w:vertAlign w:val="superscript"/>
        </w:rPr>
        <w:t xml:space="preserve">® </w:t>
      </w:r>
      <w:r w:rsidRPr="002F785B">
        <w:rPr>
          <w:sz w:val="20"/>
          <w:szCs w:val="20"/>
        </w:rPr>
        <w:t xml:space="preserve">5, 10 and 20mg film-coated tablets (escitalopram). Lundbeck Ltd. Accessed via </w:t>
      </w:r>
      <w:hyperlink r:id="rId14" w:history="1">
        <w:r w:rsidRPr="00A550EB">
          <w:rPr>
            <w:rStyle w:val="Hyperlink"/>
            <w:sz w:val="20"/>
            <w:szCs w:val="20"/>
          </w:rPr>
          <w:t>https://www.medicines.org.uk/emc/medicine/27012</w:t>
        </w:r>
      </w:hyperlink>
      <w:r>
        <w:rPr>
          <w:sz w:val="20"/>
          <w:szCs w:val="20"/>
        </w:rPr>
        <w:t xml:space="preserve"> </w:t>
      </w:r>
      <w:r w:rsidRPr="002F785B">
        <w:rPr>
          <w:sz w:val="20"/>
          <w:szCs w:val="20"/>
        </w:rPr>
        <w:t xml:space="preserve">on </w:t>
      </w:r>
      <w:r>
        <w:rPr>
          <w:sz w:val="20"/>
          <w:szCs w:val="20"/>
        </w:rPr>
        <w:t>2</w:t>
      </w:r>
      <w:r w:rsidR="00BD6668">
        <w:rPr>
          <w:sz w:val="20"/>
          <w:szCs w:val="20"/>
        </w:rPr>
        <w:t>7</w:t>
      </w:r>
      <w:r w:rsidRPr="002F785B">
        <w:rPr>
          <w:sz w:val="20"/>
          <w:szCs w:val="20"/>
        </w:rPr>
        <w:t>/</w:t>
      </w:r>
      <w:r>
        <w:rPr>
          <w:sz w:val="20"/>
          <w:szCs w:val="20"/>
        </w:rPr>
        <w:t>0</w:t>
      </w:r>
      <w:r w:rsidR="00073B33">
        <w:rPr>
          <w:sz w:val="20"/>
          <w:szCs w:val="20"/>
        </w:rPr>
        <w:t>6</w:t>
      </w:r>
      <w:r w:rsidRPr="002F785B">
        <w:rPr>
          <w:sz w:val="20"/>
          <w:szCs w:val="20"/>
        </w:rPr>
        <w:t>/1</w:t>
      </w:r>
      <w:r w:rsidR="00BD6668">
        <w:rPr>
          <w:sz w:val="20"/>
          <w:szCs w:val="20"/>
        </w:rPr>
        <w:t>9</w:t>
      </w:r>
      <w:r w:rsidRPr="002F785B">
        <w:rPr>
          <w:sz w:val="20"/>
          <w:szCs w:val="20"/>
        </w:rPr>
        <w:t xml:space="preserve"> [date of revision of the text </w:t>
      </w:r>
      <w:r w:rsidR="00BD6668">
        <w:rPr>
          <w:sz w:val="20"/>
          <w:szCs w:val="20"/>
        </w:rPr>
        <w:t>1</w:t>
      </w:r>
      <w:r>
        <w:rPr>
          <w:sz w:val="20"/>
          <w:szCs w:val="20"/>
        </w:rPr>
        <w:t>5</w:t>
      </w:r>
      <w:r w:rsidRPr="002F785B">
        <w:rPr>
          <w:sz w:val="20"/>
          <w:szCs w:val="20"/>
        </w:rPr>
        <w:t xml:space="preserve"> </w:t>
      </w:r>
      <w:r w:rsidR="00BD6668">
        <w:rPr>
          <w:sz w:val="20"/>
          <w:szCs w:val="20"/>
        </w:rPr>
        <w:t>Jan</w:t>
      </w:r>
      <w:r w:rsidRPr="002F785B">
        <w:rPr>
          <w:sz w:val="20"/>
          <w:szCs w:val="20"/>
        </w:rPr>
        <w:t xml:space="preserve"> 201</w:t>
      </w:r>
      <w:r w:rsidR="00BD6668">
        <w:rPr>
          <w:sz w:val="20"/>
          <w:szCs w:val="20"/>
        </w:rPr>
        <w:t>8</w:t>
      </w:r>
      <w:r w:rsidRPr="002F785B">
        <w:rPr>
          <w:sz w:val="20"/>
          <w:szCs w:val="20"/>
        </w:rPr>
        <w:t xml:space="preserve">]. </w:t>
      </w:r>
    </w:p>
    <w:p w14:paraId="2A6B47EC" w14:textId="77777777" w:rsidR="006F02E9" w:rsidRPr="00EF66B0" w:rsidRDefault="006F02E9" w:rsidP="00621539">
      <w:pPr>
        <w:pStyle w:val="Default"/>
        <w:numPr>
          <w:ilvl w:val="1"/>
          <w:numId w:val="38"/>
        </w:numPr>
        <w:rPr>
          <w:sz w:val="20"/>
          <w:szCs w:val="20"/>
        </w:rPr>
      </w:pPr>
      <w:r>
        <w:rPr>
          <w:sz w:val="20"/>
          <w:szCs w:val="20"/>
        </w:rPr>
        <w:t>Summary of Product Characteristics – Faverin</w:t>
      </w:r>
      <w:r w:rsidRPr="00EF66B0">
        <w:rPr>
          <w:sz w:val="20"/>
          <w:szCs w:val="20"/>
        </w:rPr>
        <w:t xml:space="preserve">® </w:t>
      </w:r>
      <w:r>
        <w:rPr>
          <w:sz w:val="20"/>
          <w:szCs w:val="20"/>
        </w:rPr>
        <w:t xml:space="preserve">100mg film-coated tablets </w:t>
      </w:r>
      <w:r w:rsidR="00BD6668">
        <w:rPr>
          <w:sz w:val="20"/>
          <w:szCs w:val="20"/>
        </w:rPr>
        <w:t>(fluvoxamine)</w:t>
      </w:r>
      <w:r>
        <w:rPr>
          <w:sz w:val="20"/>
          <w:szCs w:val="20"/>
        </w:rPr>
        <w:t xml:space="preserve">. Mylan Products Ltd. Accessed via </w:t>
      </w:r>
      <w:hyperlink r:id="rId15" w:history="1">
        <w:r w:rsidRPr="00023D9C">
          <w:rPr>
            <w:rStyle w:val="Hyperlink"/>
            <w:sz w:val="20"/>
            <w:szCs w:val="20"/>
          </w:rPr>
          <w:t>https://www.medicines.org.uk/emc/medicine/22124</w:t>
        </w:r>
      </w:hyperlink>
      <w:r>
        <w:rPr>
          <w:sz w:val="20"/>
          <w:szCs w:val="20"/>
        </w:rPr>
        <w:t xml:space="preserve"> </w:t>
      </w:r>
      <w:r w:rsidRPr="008F3DDC" w:rsidDel="008F3DDC">
        <w:rPr>
          <w:sz w:val="20"/>
          <w:szCs w:val="20"/>
        </w:rPr>
        <w:t xml:space="preserve"> </w:t>
      </w:r>
      <w:r>
        <w:rPr>
          <w:sz w:val="20"/>
          <w:szCs w:val="20"/>
        </w:rPr>
        <w:t>on 2</w:t>
      </w:r>
      <w:r w:rsidR="00BD6668">
        <w:rPr>
          <w:sz w:val="20"/>
          <w:szCs w:val="20"/>
        </w:rPr>
        <w:t>7</w:t>
      </w:r>
      <w:r>
        <w:rPr>
          <w:sz w:val="20"/>
          <w:szCs w:val="20"/>
        </w:rPr>
        <w:t>/0</w:t>
      </w:r>
      <w:r w:rsidR="00073B33">
        <w:rPr>
          <w:sz w:val="20"/>
          <w:szCs w:val="20"/>
        </w:rPr>
        <w:t>6</w:t>
      </w:r>
      <w:r>
        <w:rPr>
          <w:sz w:val="20"/>
          <w:szCs w:val="20"/>
        </w:rPr>
        <w:t>/1</w:t>
      </w:r>
      <w:r w:rsidR="00BD6668">
        <w:rPr>
          <w:sz w:val="20"/>
          <w:szCs w:val="20"/>
        </w:rPr>
        <w:t>9</w:t>
      </w:r>
      <w:r>
        <w:rPr>
          <w:sz w:val="20"/>
          <w:szCs w:val="20"/>
        </w:rPr>
        <w:t xml:space="preserve"> [date of revision of the text </w:t>
      </w:r>
      <w:r w:rsidR="00BD6668">
        <w:rPr>
          <w:sz w:val="20"/>
          <w:szCs w:val="20"/>
        </w:rPr>
        <w:t>05</w:t>
      </w:r>
      <w:r>
        <w:rPr>
          <w:sz w:val="20"/>
          <w:szCs w:val="20"/>
        </w:rPr>
        <w:t xml:space="preserve"> </w:t>
      </w:r>
      <w:r w:rsidR="00BD6668">
        <w:rPr>
          <w:sz w:val="20"/>
          <w:szCs w:val="20"/>
        </w:rPr>
        <w:t>Oct</w:t>
      </w:r>
      <w:r>
        <w:rPr>
          <w:sz w:val="20"/>
          <w:szCs w:val="20"/>
        </w:rPr>
        <w:t xml:space="preserve"> 201</w:t>
      </w:r>
      <w:r w:rsidR="00BD6668">
        <w:rPr>
          <w:sz w:val="20"/>
          <w:szCs w:val="20"/>
        </w:rPr>
        <w:t>8</w:t>
      </w:r>
      <w:r>
        <w:rPr>
          <w:sz w:val="20"/>
          <w:szCs w:val="20"/>
        </w:rPr>
        <w:t xml:space="preserve">]. </w:t>
      </w:r>
    </w:p>
    <w:p w14:paraId="70B2E413" w14:textId="77777777" w:rsidR="006F02E9" w:rsidRPr="002F785B" w:rsidRDefault="006F02E9" w:rsidP="00621539">
      <w:pPr>
        <w:pStyle w:val="Default"/>
        <w:numPr>
          <w:ilvl w:val="1"/>
          <w:numId w:val="38"/>
        </w:numPr>
        <w:rPr>
          <w:sz w:val="20"/>
          <w:szCs w:val="20"/>
        </w:rPr>
      </w:pPr>
      <w:r w:rsidRPr="002F785B">
        <w:rPr>
          <w:sz w:val="20"/>
          <w:szCs w:val="20"/>
        </w:rPr>
        <w:t xml:space="preserve">Summary of Product Characteristics – </w:t>
      </w:r>
      <w:r>
        <w:rPr>
          <w:sz w:val="20"/>
          <w:szCs w:val="20"/>
        </w:rPr>
        <w:t>Efexor XL</w:t>
      </w:r>
      <w:r w:rsidRPr="002F785B">
        <w:rPr>
          <w:position w:val="8"/>
          <w:sz w:val="20"/>
          <w:szCs w:val="20"/>
          <w:vertAlign w:val="superscript"/>
        </w:rPr>
        <w:t xml:space="preserve"> </w:t>
      </w:r>
      <w:r>
        <w:rPr>
          <w:sz w:val="20"/>
          <w:szCs w:val="20"/>
        </w:rPr>
        <w:t xml:space="preserve"> 255</w:t>
      </w:r>
      <w:r w:rsidRPr="002F785B">
        <w:rPr>
          <w:sz w:val="20"/>
          <w:szCs w:val="20"/>
        </w:rPr>
        <w:t xml:space="preserve">mg </w:t>
      </w:r>
      <w:r>
        <w:rPr>
          <w:sz w:val="20"/>
          <w:szCs w:val="20"/>
        </w:rPr>
        <w:t>capsules (venlafaxine</w:t>
      </w:r>
      <w:r w:rsidRPr="002F785B">
        <w:rPr>
          <w:sz w:val="20"/>
          <w:szCs w:val="20"/>
        </w:rPr>
        <w:t xml:space="preserve">). </w:t>
      </w:r>
      <w:r>
        <w:rPr>
          <w:sz w:val="20"/>
          <w:szCs w:val="20"/>
        </w:rPr>
        <w:t xml:space="preserve">Pfizer </w:t>
      </w:r>
      <w:r w:rsidRPr="002F785B">
        <w:rPr>
          <w:sz w:val="20"/>
          <w:szCs w:val="20"/>
        </w:rPr>
        <w:t xml:space="preserve"> Ltd. Accessed via </w:t>
      </w:r>
      <w:hyperlink r:id="rId16" w:history="1">
        <w:r w:rsidRPr="00595FF4">
          <w:rPr>
            <w:rStyle w:val="Hyperlink"/>
            <w:sz w:val="20"/>
            <w:szCs w:val="20"/>
          </w:rPr>
          <w:t>https://www.medicines.org.uk/emc/medicine/31218</w:t>
        </w:r>
      </w:hyperlink>
      <w:r>
        <w:rPr>
          <w:sz w:val="20"/>
          <w:szCs w:val="20"/>
        </w:rPr>
        <w:t xml:space="preserve"> </w:t>
      </w:r>
      <w:r w:rsidRPr="002F785B">
        <w:rPr>
          <w:sz w:val="20"/>
          <w:szCs w:val="20"/>
        </w:rPr>
        <w:t xml:space="preserve">on </w:t>
      </w:r>
      <w:r>
        <w:rPr>
          <w:sz w:val="20"/>
          <w:szCs w:val="20"/>
        </w:rPr>
        <w:t>2</w:t>
      </w:r>
      <w:r w:rsidR="00BD6668">
        <w:rPr>
          <w:sz w:val="20"/>
          <w:szCs w:val="20"/>
        </w:rPr>
        <w:t>7</w:t>
      </w:r>
      <w:r w:rsidRPr="002F785B">
        <w:rPr>
          <w:sz w:val="20"/>
          <w:szCs w:val="20"/>
        </w:rPr>
        <w:t>/</w:t>
      </w:r>
      <w:r>
        <w:rPr>
          <w:sz w:val="20"/>
          <w:szCs w:val="20"/>
        </w:rPr>
        <w:t>0</w:t>
      </w:r>
      <w:r w:rsidR="00E428D7">
        <w:rPr>
          <w:sz w:val="20"/>
          <w:szCs w:val="20"/>
        </w:rPr>
        <w:t>6</w:t>
      </w:r>
      <w:r w:rsidRPr="002F785B">
        <w:rPr>
          <w:sz w:val="20"/>
          <w:szCs w:val="20"/>
        </w:rPr>
        <w:t>/1</w:t>
      </w:r>
      <w:r w:rsidR="00BD6668">
        <w:rPr>
          <w:sz w:val="20"/>
          <w:szCs w:val="20"/>
        </w:rPr>
        <w:t>9</w:t>
      </w:r>
      <w:r w:rsidRPr="002F785B">
        <w:rPr>
          <w:sz w:val="20"/>
          <w:szCs w:val="20"/>
        </w:rPr>
        <w:t xml:space="preserve"> [date of revision of the text</w:t>
      </w:r>
      <w:r w:rsidR="00E428D7">
        <w:rPr>
          <w:sz w:val="20"/>
          <w:szCs w:val="20"/>
        </w:rPr>
        <w:t xml:space="preserve"> Jul 201</w:t>
      </w:r>
      <w:r w:rsidR="00BD6668">
        <w:rPr>
          <w:sz w:val="20"/>
          <w:szCs w:val="20"/>
        </w:rPr>
        <w:t>8</w:t>
      </w:r>
      <w:r w:rsidR="00E428D7">
        <w:rPr>
          <w:sz w:val="20"/>
          <w:szCs w:val="20"/>
        </w:rPr>
        <w:t>]</w:t>
      </w:r>
      <w:r w:rsidRPr="002F785B">
        <w:rPr>
          <w:sz w:val="20"/>
          <w:szCs w:val="20"/>
        </w:rPr>
        <w:t xml:space="preserve"> </w:t>
      </w:r>
    </w:p>
    <w:p w14:paraId="19E4A7B6" w14:textId="77777777" w:rsidR="00C0176E" w:rsidRDefault="006F02E9" w:rsidP="00621539">
      <w:pPr>
        <w:pStyle w:val="Default"/>
        <w:numPr>
          <w:ilvl w:val="1"/>
          <w:numId w:val="38"/>
        </w:numPr>
        <w:rPr>
          <w:sz w:val="20"/>
          <w:szCs w:val="20"/>
        </w:rPr>
      </w:pPr>
      <w:r w:rsidRPr="002F785B">
        <w:rPr>
          <w:sz w:val="20"/>
          <w:szCs w:val="20"/>
        </w:rPr>
        <w:t>Summary of Product Characteristics – C</w:t>
      </w:r>
      <w:r>
        <w:rPr>
          <w:sz w:val="20"/>
          <w:szCs w:val="20"/>
        </w:rPr>
        <w:t>ymbalta 30mg and 60mg hard gastro-resistant capsules (duloxetine</w:t>
      </w:r>
      <w:r w:rsidRPr="002F785B">
        <w:rPr>
          <w:sz w:val="20"/>
          <w:szCs w:val="20"/>
        </w:rPr>
        <w:t>).</w:t>
      </w:r>
      <w:r>
        <w:rPr>
          <w:sz w:val="20"/>
          <w:szCs w:val="20"/>
        </w:rPr>
        <w:t>Eli Lilly and Company Limited.</w:t>
      </w:r>
      <w:r w:rsidRPr="002F785B">
        <w:rPr>
          <w:sz w:val="20"/>
          <w:szCs w:val="20"/>
        </w:rPr>
        <w:t xml:space="preserve"> Accessed via </w:t>
      </w:r>
      <w:hyperlink r:id="rId17" w:history="1">
        <w:r w:rsidRPr="00023D9C">
          <w:rPr>
            <w:rStyle w:val="Hyperlink"/>
            <w:sz w:val="20"/>
            <w:szCs w:val="20"/>
          </w:rPr>
          <w:t>https://www.medicines.org.uk/emc/medicine/15694</w:t>
        </w:r>
      </w:hyperlink>
      <w:r>
        <w:rPr>
          <w:sz w:val="20"/>
          <w:szCs w:val="20"/>
        </w:rPr>
        <w:t xml:space="preserve"> </w:t>
      </w:r>
      <w:r w:rsidRPr="007536B9">
        <w:rPr>
          <w:sz w:val="20"/>
          <w:szCs w:val="20"/>
        </w:rPr>
        <w:t xml:space="preserve"> </w:t>
      </w:r>
      <w:r w:rsidRPr="002F785B">
        <w:rPr>
          <w:sz w:val="20"/>
          <w:szCs w:val="20"/>
        </w:rPr>
        <w:t xml:space="preserve">on </w:t>
      </w:r>
      <w:r>
        <w:rPr>
          <w:sz w:val="20"/>
          <w:szCs w:val="20"/>
        </w:rPr>
        <w:t>2</w:t>
      </w:r>
      <w:r w:rsidR="00C0176E">
        <w:rPr>
          <w:sz w:val="20"/>
          <w:szCs w:val="20"/>
        </w:rPr>
        <w:t>5</w:t>
      </w:r>
      <w:r w:rsidRPr="002F785B">
        <w:rPr>
          <w:sz w:val="20"/>
          <w:szCs w:val="20"/>
        </w:rPr>
        <w:t>/</w:t>
      </w:r>
      <w:r>
        <w:rPr>
          <w:sz w:val="20"/>
          <w:szCs w:val="20"/>
        </w:rPr>
        <w:t>0</w:t>
      </w:r>
      <w:r w:rsidR="007F7A4D">
        <w:rPr>
          <w:sz w:val="20"/>
          <w:szCs w:val="20"/>
        </w:rPr>
        <w:t>6</w:t>
      </w:r>
      <w:r w:rsidRPr="002F785B">
        <w:rPr>
          <w:sz w:val="20"/>
          <w:szCs w:val="20"/>
        </w:rPr>
        <w:t>/1</w:t>
      </w:r>
      <w:r w:rsidR="00BD6668">
        <w:rPr>
          <w:sz w:val="20"/>
          <w:szCs w:val="20"/>
        </w:rPr>
        <w:t>9</w:t>
      </w:r>
      <w:r w:rsidRPr="002F785B">
        <w:rPr>
          <w:sz w:val="20"/>
          <w:szCs w:val="20"/>
        </w:rPr>
        <w:t xml:space="preserve"> [date of revision of the text </w:t>
      </w:r>
      <w:r w:rsidR="00C0176E">
        <w:rPr>
          <w:sz w:val="20"/>
          <w:szCs w:val="20"/>
        </w:rPr>
        <w:t>09</w:t>
      </w:r>
      <w:r>
        <w:rPr>
          <w:sz w:val="20"/>
          <w:szCs w:val="20"/>
        </w:rPr>
        <w:t xml:space="preserve"> </w:t>
      </w:r>
      <w:r w:rsidR="00C0176E">
        <w:rPr>
          <w:sz w:val="20"/>
          <w:szCs w:val="20"/>
        </w:rPr>
        <w:t>Nov</w:t>
      </w:r>
      <w:r w:rsidRPr="002F785B">
        <w:rPr>
          <w:sz w:val="20"/>
          <w:szCs w:val="20"/>
        </w:rPr>
        <w:t xml:space="preserve"> 201</w:t>
      </w:r>
      <w:r w:rsidR="00C0176E">
        <w:rPr>
          <w:sz w:val="20"/>
          <w:szCs w:val="20"/>
        </w:rPr>
        <w:t>8</w:t>
      </w:r>
      <w:r w:rsidRPr="002F785B">
        <w:rPr>
          <w:sz w:val="20"/>
          <w:szCs w:val="20"/>
        </w:rPr>
        <w:t xml:space="preserve">]. </w:t>
      </w:r>
    </w:p>
    <w:p w14:paraId="7402BFDD" w14:textId="6C1A7A92" w:rsidR="009A6A6A" w:rsidRPr="00C0176E" w:rsidRDefault="009A6A6A" w:rsidP="00621539">
      <w:pPr>
        <w:pStyle w:val="Default"/>
        <w:numPr>
          <w:ilvl w:val="1"/>
          <w:numId w:val="38"/>
        </w:numPr>
        <w:rPr>
          <w:sz w:val="20"/>
          <w:szCs w:val="20"/>
        </w:rPr>
      </w:pPr>
      <w:r w:rsidRPr="00C0176E">
        <w:rPr>
          <w:sz w:val="20"/>
          <w:szCs w:val="20"/>
        </w:rPr>
        <w:t>Summary of Product Characteristics –</w:t>
      </w:r>
      <w:r w:rsidR="00C0176E" w:rsidRPr="00C0176E">
        <w:rPr>
          <w:sz w:val="20"/>
          <w:szCs w:val="20"/>
        </w:rPr>
        <w:t xml:space="preserve"> Brintellix 5, 10 and 20mg tablets</w:t>
      </w:r>
      <w:r w:rsidR="00C0176E">
        <w:rPr>
          <w:sz w:val="20"/>
          <w:szCs w:val="20"/>
        </w:rPr>
        <w:t xml:space="preserve"> (</w:t>
      </w:r>
      <w:r w:rsidR="00C0176E">
        <w:rPr>
          <w:sz w:val="19"/>
          <w:szCs w:val="19"/>
          <w:shd w:val="clear" w:color="auto" w:fill="FFFFFF"/>
        </w:rPr>
        <w:t>vortioxetine)</w:t>
      </w:r>
      <w:r w:rsidR="00C0176E" w:rsidRPr="00C0176E">
        <w:rPr>
          <w:sz w:val="20"/>
          <w:szCs w:val="20"/>
        </w:rPr>
        <w:t>. Lundbeck</w:t>
      </w:r>
      <w:r w:rsidRPr="00C0176E">
        <w:rPr>
          <w:sz w:val="20"/>
          <w:szCs w:val="20"/>
        </w:rPr>
        <w:t xml:space="preserve"> Limited. Accessed via</w:t>
      </w:r>
      <w:r w:rsidR="001C2F1B">
        <w:rPr>
          <w:sz w:val="20"/>
          <w:szCs w:val="20"/>
        </w:rPr>
        <w:t xml:space="preserve"> </w:t>
      </w:r>
      <w:hyperlink r:id="rId18" w:history="1">
        <w:r w:rsidR="004D7116" w:rsidRPr="004D7116">
          <w:rPr>
            <w:rStyle w:val="Hyperlink"/>
            <w:sz w:val="20"/>
            <w:szCs w:val="20"/>
          </w:rPr>
          <w:t>https://www.medicines.org.uk/emc/product/7121</w:t>
        </w:r>
      </w:hyperlink>
      <w:r w:rsidR="00957BF9">
        <w:rPr>
          <w:sz w:val="20"/>
          <w:szCs w:val="20"/>
        </w:rPr>
        <w:t xml:space="preserve"> </w:t>
      </w:r>
      <w:r w:rsidRPr="00C0176E">
        <w:rPr>
          <w:sz w:val="20"/>
          <w:szCs w:val="20"/>
        </w:rPr>
        <w:t xml:space="preserve">  on 2</w:t>
      </w:r>
      <w:r w:rsidR="00C0176E">
        <w:rPr>
          <w:sz w:val="20"/>
          <w:szCs w:val="20"/>
        </w:rPr>
        <w:t>4</w:t>
      </w:r>
      <w:r w:rsidRPr="00C0176E">
        <w:rPr>
          <w:sz w:val="20"/>
          <w:szCs w:val="20"/>
        </w:rPr>
        <w:t>/06/1</w:t>
      </w:r>
      <w:r w:rsidR="00BD6668">
        <w:rPr>
          <w:sz w:val="20"/>
          <w:szCs w:val="20"/>
        </w:rPr>
        <w:t>9</w:t>
      </w:r>
      <w:r w:rsidRPr="00C0176E">
        <w:rPr>
          <w:sz w:val="20"/>
          <w:szCs w:val="20"/>
        </w:rPr>
        <w:t xml:space="preserve"> [date of revision of the text </w:t>
      </w:r>
      <w:r w:rsidR="00C0176E">
        <w:rPr>
          <w:sz w:val="20"/>
          <w:szCs w:val="20"/>
        </w:rPr>
        <w:t>Nov</w:t>
      </w:r>
      <w:r w:rsidRPr="00C0176E">
        <w:rPr>
          <w:sz w:val="20"/>
          <w:szCs w:val="20"/>
        </w:rPr>
        <w:t xml:space="preserve"> 201</w:t>
      </w:r>
      <w:r w:rsidR="00C0176E" w:rsidRPr="00C0176E">
        <w:rPr>
          <w:sz w:val="20"/>
          <w:szCs w:val="20"/>
        </w:rPr>
        <w:t>8</w:t>
      </w:r>
      <w:r w:rsidRPr="00C0176E">
        <w:rPr>
          <w:sz w:val="20"/>
          <w:szCs w:val="20"/>
        </w:rPr>
        <w:t xml:space="preserve">]. </w:t>
      </w:r>
    </w:p>
    <w:p w14:paraId="28877DD1" w14:textId="77777777" w:rsidR="004F3EF6" w:rsidRPr="00C0176E" w:rsidRDefault="004F3EF6" w:rsidP="00621539">
      <w:pPr>
        <w:pStyle w:val="Default"/>
        <w:numPr>
          <w:ilvl w:val="1"/>
          <w:numId w:val="38"/>
        </w:numPr>
        <w:rPr>
          <w:sz w:val="20"/>
          <w:szCs w:val="20"/>
        </w:rPr>
      </w:pPr>
      <w:r w:rsidRPr="00C0176E">
        <w:rPr>
          <w:sz w:val="20"/>
          <w:szCs w:val="20"/>
        </w:rPr>
        <w:t xml:space="preserve">Summary of Product Characteristics – </w:t>
      </w:r>
      <w:r>
        <w:rPr>
          <w:sz w:val="20"/>
          <w:szCs w:val="20"/>
        </w:rPr>
        <w:t>Priligy 30mg film-coated</w:t>
      </w:r>
      <w:r w:rsidRPr="00C0176E">
        <w:rPr>
          <w:sz w:val="20"/>
          <w:szCs w:val="20"/>
        </w:rPr>
        <w:t xml:space="preserve"> tablets</w:t>
      </w:r>
      <w:r>
        <w:rPr>
          <w:sz w:val="20"/>
          <w:szCs w:val="20"/>
        </w:rPr>
        <w:t xml:space="preserve"> (</w:t>
      </w:r>
      <w:r w:rsidRPr="00466285">
        <w:rPr>
          <w:sz w:val="20"/>
          <w:szCs w:val="20"/>
        </w:rPr>
        <w:t>dapoxetine)</w:t>
      </w:r>
      <w:r w:rsidR="00C26A6C">
        <w:rPr>
          <w:sz w:val="20"/>
          <w:szCs w:val="20"/>
        </w:rPr>
        <w:t>.</w:t>
      </w:r>
      <w:r w:rsidRPr="00C0176E">
        <w:rPr>
          <w:sz w:val="20"/>
          <w:szCs w:val="20"/>
        </w:rPr>
        <w:t xml:space="preserve"> </w:t>
      </w:r>
      <w:r w:rsidRPr="00466285">
        <w:rPr>
          <w:sz w:val="20"/>
          <w:szCs w:val="20"/>
        </w:rPr>
        <w:t>A. Menarini Farmaceutica Internazionale SRL.</w:t>
      </w:r>
      <w:r>
        <w:rPr>
          <w:rFonts w:ascii="ArialMT" w:eastAsia="ArialMT" w:hAnsiTheme="minorHAnsi" w:cs="ArialMT"/>
          <w:sz w:val="19"/>
          <w:szCs w:val="19"/>
        </w:rPr>
        <w:t xml:space="preserve"> </w:t>
      </w:r>
      <w:r w:rsidRPr="00C0176E">
        <w:rPr>
          <w:sz w:val="20"/>
          <w:szCs w:val="20"/>
        </w:rPr>
        <w:t>Accessed via</w:t>
      </w:r>
      <w:r>
        <w:rPr>
          <w:sz w:val="20"/>
          <w:szCs w:val="20"/>
        </w:rPr>
        <w:t xml:space="preserve"> </w:t>
      </w:r>
      <w:hyperlink r:id="rId19" w:history="1">
        <w:r w:rsidRPr="004F3EF6">
          <w:rPr>
            <w:rStyle w:val="Hyperlink"/>
            <w:sz w:val="20"/>
            <w:szCs w:val="20"/>
          </w:rPr>
          <w:t>https://www.medicines.org.uk/emc/product/1269/</w:t>
        </w:r>
      </w:hyperlink>
      <w:r>
        <w:rPr>
          <w:sz w:val="20"/>
          <w:szCs w:val="20"/>
        </w:rPr>
        <w:t xml:space="preserve">  on 15/07</w:t>
      </w:r>
      <w:r w:rsidRPr="00C0176E">
        <w:rPr>
          <w:sz w:val="20"/>
          <w:szCs w:val="20"/>
        </w:rPr>
        <w:t>/1</w:t>
      </w:r>
      <w:r>
        <w:rPr>
          <w:sz w:val="20"/>
          <w:szCs w:val="20"/>
        </w:rPr>
        <w:t>9</w:t>
      </w:r>
      <w:r w:rsidRPr="00C0176E">
        <w:rPr>
          <w:sz w:val="20"/>
          <w:szCs w:val="20"/>
        </w:rPr>
        <w:t xml:space="preserve"> [date of revision of the text </w:t>
      </w:r>
      <w:r>
        <w:rPr>
          <w:sz w:val="20"/>
          <w:szCs w:val="20"/>
        </w:rPr>
        <w:t>Mar</w:t>
      </w:r>
      <w:r w:rsidRPr="00C0176E">
        <w:rPr>
          <w:sz w:val="20"/>
          <w:szCs w:val="20"/>
        </w:rPr>
        <w:t xml:space="preserve"> 201</w:t>
      </w:r>
      <w:r>
        <w:rPr>
          <w:sz w:val="20"/>
          <w:szCs w:val="20"/>
        </w:rPr>
        <w:t>9</w:t>
      </w:r>
      <w:r w:rsidRPr="00C0176E">
        <w:rPr>
          <w:sz w:val="20"/>
          <w:szCs w:val="20"/>
        </w:rPr>
        <w:t xml:space="preserve">]. </w:t>
      </w:r>
    </w:p>
    <w:p w14:paraId="70F29091" w14:textId="77777777" w:rsidR="006F02E9" w:rsidRDefault="006F02E9" w:rsidP="00E43AD7">
      <w:pPr>
        <w:pStyle w:val="Default"/>
        <w:numPr>
          <w:ilvl w:val="1"/>
          <w:numId w:val="38"/>
        </w:numPr>
        <w:rPr>
          <w:sz w:val="20"/>
          <w:szCs w:val="20"/>
        </w:rPr>
      </w:pPr>
      <w:r w:rsidRPr="004F3EF6">
        <w:rPr>
          <w:sz w:val="20"/>
          <w:szCs w:val="20"/>
        </w:rPr>
        <w:t xml:space="preserve">de Abajo FJ, Garcia-Rodriguez LA. Risk of upper gastrointestinal tract bleeding associated with selective serotonin reuptake inhibitors and venlafaxine therapy. Arch Gen Psych 2008;65:795-803. </w:t>
      </w:r>
    </w:p>
    <w:p w14:paraId="24A0FC1F" w14:textId="77777777" w:rsidR="00D43B27" w:rsidRDefault="00D43B27" w:rsidP="00A36DF8">
      <w:pPr>
        <w:pStyle w:val="Default"/>
        <w:numPr>
          <w:ilvl w:val="1"/>
          <w:numId w:val="38"/>
        </w:numPr>
        <w:rPr>
          <w:sz w:val="20"/>
          <w:szCs w:val="20"/>
        </w:rPr>
      </w:pPr>
      <w:r>
        <w:rPr>
          <w:sz w:val="20"/>
          <w:szCs w:val="20"/>
        </w:rPr>
        <w:t>Bixby AL, VandenBerg A, Bostwick JR. Clinical management of bleeding risk with antidepressants. Ann Pharmacother 2019;53(2):186-94.</w:t>
      </w:r>
    </w:p>
    <w:p w14:paraId="4EF4E509" w14:textId="77777777" w:rsidR="00D43B27" w:rsidRDefault="00D43B27" w:rsidP="00A36DF8">
      <w:pPr>
        <w:pStyle w:val="Default"/>
        <w:numPr>
          <w:ilvl w:val="1"/>
          <w:numId w:val="38"/>
        </w:numPr>
        <w:rPr>
          <w:sz w:val="20"/>
          <w:szCs w:val="20"/>
        </w:rPr>
      </w:pPr>
      <w:r>
        <w:rPr>
          <w:sz w:val="20"/>
          <w:szCs w:val="20"/>
        </w:rPr>
        <w:t xml:space="preserve">Labos C, Dasgupta K, Nedja H. Risk of bleeding associated with combined selective serotonin reuptake inhibitors and antiplatelet therapy following acute myocardial infarction. CMAJ 2011; </w:t>
      </w:r>
      <w:r w:rsidRPr="00090EB3">
        <w:rPr>
          <w:sz w:val="20"/>
          <w:szCs w:val="20"/>
        </w:rPr>
        <w:t>183(16):1835-43.</w:t>
      </w:r>
      <w:r>
        <w:rPr>
          <w:sz w:val="20"/>
          <w:szCs w:val="20"/>
        </w:rPr>
        <w:t xml:space="preserve"> </w:t>
      </w:r>
    </w:p>
    <w:p w14:paraId="240377D1" w14:textId="77777777" w:rsidR="00D43B27" w:rsidRDefault="000B0483" w:rsidP="000B2B41">
      <w:pPr>
        <w:pStyle w:val="Default"/>
        <w:numPr>
          <w:ilvl w:val="1"/>
          <w:numId w:val="38"/>
        </w:numPr>
        <w:rPr>
          <w:sz w:val="20"/>
          <w:szCs w:val="20"/>
        </w:rPr>
      </w:pPr>
      <w:r>
        <w:rPr>
          <w:sz w:val="20"/>
          <w:szCs w:val="20"/>
        </w:rPr>
        <w:t>Masclee GMC, Valkhoff VE, Coloma PM et al. Risk of upper gastrointestinal bleeding from different drug combinations. Gastroenterology 2014;147:784-92.</w:t>
      </w:r>
    </w:p>
    <w:p w14:paraId="341855D5" w14:textId="242F8D21" w:rsidR="00D43B27" w:rsidRDefault="00D43B27" w:rsidP="001678BE">
      <w:pPr>
        <w:pStyle w:val="Default"/>
        <w:numPr>
          <w:ilvl w:val="1"/>
          <w:numId w:val="38"/>
        </w:numPr>
        <w:rPr>
          <w:sz w:val="20"/>
          <w:szCs w:val="20"/>
        </w:rPr>
      </w:pPr>
      <w:r w:rsidRPr="00090EB3">
        <w:rPr>
          <w:sz w:val="20"/>
          <w:szCs w:val="20"/>
        </w:rPr>
        <w:t>Baxter K, Preston CL (eds). Stockley’s Drug Interactions [online] London: Pharmaceutical Press</w:t>
      </w:r>
      <w:r>
        <w:rPr>
          <w:sz w:val="20"/>
          <w:szCs w:val="20"/>
        </w:rPr>
        <w:t xml:space="preserve">. Accessed via: </w:t>
      </w:r>
      <w:hyperlink r:id="rId20" w:history="1">
        <w:r w:rsidR="008D4D34" w:rsidRPr="008D4D34">
          <w:rPr>
            <w:rStyle w:val="Hyperlink"/>
            <w:sz w:val="20"/>
            <w:szCs w:val="20"/>
          </w:rPr>
          <w:t>http://www.medicinescomplete.com</w:t>
        </w:r>
      </w:hyperlink>
      <w:r>
        <w:rPr>
          <w:sz w:val="20"/>
          <w:szCs w:val="20"/>
        </w:rPr>
        <w:t xml:space="preserve"> </w:t>
      </w:r>
      <w:r w:rsidR="008D4D34">
        <w:rPr>
          <w:sz w:val="20"/>
          <w:szCs w:val="20"/>
        </w:rPr>
        <w:t>on 24/06/19 and 27/08/19.</w:t>
      </w:r>
    </w:p>
    <w:p w14:paraId="618588A6" w14:textId="77777777" w:rsidR="008C2C11" w:rsidRDefault="00D43B27" w:rsidP="008C2C11">
      <w:pPr>
        <w:pStyle w:val="Default"/>
        <w:numPr>
          <w:ilvl w:val="1"/>
          <w:numId w:val="38"/>
        </w:numPr>
        <w:rPr>
          <w:sz w:val="20"/>
          <w:szCs w:val="20"/>
        </w:rPr>
      </w:pPr>
      <w:r>
        <w:rPr>
          <w:sz w:val="20"/>
          <w:szCs w:val="20"/>
        </w:rPr>
        <w:t xml:space="preserve">Schelleman H, Brensinger CM, Bilker WB et al. Antidepressant-warfarin interaction and associated gastrointestinal bleeding risk in a case-control study. PLoS ONE 2011; </w:t>
      </w:r>
      <w:r w:rsidRPr="00090EB3">
        <w:rPr>
          <w:sz w:val="20"/>
          <w:szCs w:val="20"/>
        </w:rPr>
        <w:t>6(6): e21447. Accessed via:</w:t>
      </w:r>
      <w:r w:rsidR="008D4D34">
        <w:rPr>
          <w:sz w:val="20"/>
          <w:szCs w:val="20"/>
        </w:rPr>
        <w:t xml:space="preserve"> </w:t>
      </w:r>
      <w:hyperlink r:id="rId21" w:history="1">
        <w:r w:rsidR="008D4D34" w:rsidRPr="008D4D34">
          <w:rPr>
            <w:rStyle w:val="Hyperlink"/>
            <w:sz w:val="20"/>
            <w:szCs w:val="20"/>
          </w:rPr>
          <w:t>https://doi.org/10.1371/journal.pone.0021447</w:t>
        </w:r>
      </w:hyperlink>
      <w:r w:rsidRPr="00090EB3">
        <w:rPr>
          <w:sz w:val="20"/>
          <w:szCs w:val="20"/>
        </w:rPr>
        <w:t>.</w:t>
      </w:r>
    </w:p>
    <w:p w14:paraId="5F819217" w14:textId="77777777" w:rsidR="005C7C67" w:rsidRDefault="005C7C67" w:rsidP="005C7C67">
      <w:pPr>
        <w:pStyle w:val="Default"/>
        <w:numPr>
          <w:ilvl w:val="1"/>
          <w:numId w:val="38"/>
        </w:numPr>
        <w:rPr>
          <w:sz w:val="20"/>
          <w:szCs w:val="20"/>
        </w:rPr>
      </w:pPr>
      <w:r w:rsidRPr="00F46C1A">
        <w:rPr>
          <w:sz w:val="20"/>
          <w:szCs w:val="20"/>
        </w:rPr>
        <w:t>Dall M, Schaffalitzky de Muckadell OB, Touborg Lassen A et al. An association between selective serotonin reuptake inhibitor use and serious upper gastrointestinal bleeding. Clin Gastroenterol Hepatol 2009;7:1314-21.</w:t>
      </w:r>
    </w:p>
    <w:p w14:paraId="08CE7644" w14:textId="77777777" w:rsidR="005C7C67" w:rsidRPr="00F46C1A" w:rsidRDefault="005C7C67" w:rsidP="005C7C67">
      <w:pPr>
        <w:pStyle w:val="Default"/>
        <w:numPr>
          <w:ilvl w:val="1"/>
          <w:numId w:val="38"/>
        </w:numPr>
        <w:rPr>
          <w:sz w:val="20"/>
          <w:szCs w:val="20"/>
        </w:rPr>
      </w:pPr>
      <w:r w:rsidRPr="00F46C1A">
        <w:rPr>
          <w:sz w:val="20"/>
          <w:szCs w:val="20"/>
        </w:rPr>
        <w:t xml:space="preserve">Gasse C, Christensen S, Riis A et al. Preadmission use of SSRIs alone or in combination with NSAIDs and 30-day mortality after peptic ulcer bleeding. Scand J Gastroenterol 2009;44:1288-95. </w:t>
      </w:r>
    </w:p>
    <w:p w14:paraId="33D79771" w14:textId="77777777" w:rsidR="008C2C11" w:rsidRDefault="008C2C11" w:rsidP="008C2C11">
      <w:pPr>
        <w:pStyle w:val="Default"/>
        <w:numPr>
          <w:ilvl w:val="1"/>
          <w:numId w:val="38"/>
        </w:numPr>
        <w:rPr>
          <w:sz w:val="20"/>
          <w:szCs w:val="20"/>
        </w:rPr>
      </w:pPr>
      <w:r w:rsidRPr="008C2C11">
        <w:rPr>
          <w:sz w:val="20"/>
          <w:szCs w:val="20"/>
        </w:rPr>
        <w:t>Targownik LE. Are we worried enough about selective serotonin receptor inhibitors and upper gastrointestinal bleeding? Clin Gastroenterol Hepatol 2015;13:51-4.</w:t>
      </w:r>
    </w:p>
    <w:p w14:paraId="5AB9685E" w14:textId="3F4129BD" w:rsidR="008C2C11" w:rsidRPr="008C2C11" w:rsidRDefault="008C2C11" w:rsidP="008C2C11">
      <w:pPr>
        <w:pStyle w:val="Default"/>
        <w:numPr>
          <w:ilvl w:val="1"/>
          <w:numId w:val="38"/>
        </w:numPr>
        <w:rPr>
          <w:sz w:val="20"/>
          <w:szCs w:val="20"/>
        </w:rPr>
      </w:pPr>
      <w:r w:rsidRPr="008C2C11">
        <w:rPr>
          <w:sz w:val="20"/>
          <w:szCs w:val="20"/>
        </w:rPr>
        <w:t>Andrade C and Sharma E. Serotonin reuptake inhibitors and risk of abnormal bleeding. Psychiatr Clin North Am 2016; 39(3):413-26.</w:t>
      </w:r>
    </w:p>
    <w:p w14:paraId="001ABE43" w14:textId="77777777" w:rsidR="004A0233" w:rsidRDefault="00FB72D8" w:rsidP="004A6D12">
      <w:pPr>
        <w:pStyle w:val="Default"/>
        <w:numPr>
          <w:ilvl w:val="1"/>
          <w:numId w:val="38"/>
        </w:numPr>
        <w:rPr>
          <w:sz w:val="20"/>
          <w:szCs w:val="20"/>
        </w:rPr>
      </w:pPr>
      <w:r>
        <w:rPr>
          <w:sz w:val="20"/>
          <w:szCs w:val="20"/>
        </w:rPr>
        <w:t xml:space="preserve">Lewis JD, Strom BL, Localio AR et al. Moderate and high affinity serotonin reuptake inhibitors increase the risk of upper gastrointestinal toxicity. </w:t>
      </w:r>
      <w:r w:rsidR="004A0233">
        <w:rPr>
          <w:sz w:val="20"/>
          <w:szCs w:val="20"/>
        </w:rPr>
        <w:t xml:space="preserve">Pharmacoepidemiol Drug Safety 2008;17:328-335. </w:t>
      </w:r>
    </w:p>
    <w:p w14:paraId="1D01C1DF" w14:textId="77777777" w:rsidR="00FB72D8" w:rsidRPr="004A0233" w:rsidRDefault="00FB72D8" w:rsidP="00D7558B">
      <w:pPr>
        <w:pStyle w:val="Default"/>
        <w:numPr>
          <w:ilvl w:val="1"/>
          <w:numId w:val="38"/>
        </w:numPr>
        <w:rPr>
          <w:sz w:val="20"/>
          <w:szCs w:val="20"/>
        </w:rPr>
      </w:pPr>
      <w:r w:rsidRPr="004A0233">
        <w:rPr>
          <w:sz w:val="20"/>
          <w:szCs w:val="20"/>
        </w:rPr>
        <w:t>Castro</w:t>
      </w:r>
      <w:r w:rsidR="004A0233" w:rsidRPr="004A0233">
        <w:rPr>
          <w:sz w:val="20"/>
          <w:szCs w:val="20"/>
        </w:rPr>
        <w:t xml:space="preserve"> VM, Gallagher PJ, Clements CC et al. Incident user cohort study of risk for gastrointestinal bleed and stroke in individuals with major depressive</w:t>
      </w:r>
      <w:r w:rsidR="004A0233" w:rsidRPr="00F46C1A">
        <w:rPr>
          <w:sz w:val="20"/>
          <w:szCs w:val="20"/>
        </w:rPr>
        <w:t xml:space="preserve"> disorder treated with antidepressants. </w:t>
      </w:r>
      <w:r w:rsidR="004A0233" w:rsidRPr="00C9045E">
        <w:rPr>
          <w:sz w:val="20"/>
          <w:szCs w:val="20"/>
        </w:rPr>
        <w:t>BMJ Open 2012;2</w:t>
      </w:r>
      <w:r w:rsidR="004A0233" w:rsidRPr="00D7558B">
        <w:rPr>
          <w:sz w:val="20"/>
          <w:szCs w:val="20"/>
        </w:rPr>
        <w:t>:e000544.</w:t>
      </w:r>
      <w:r w:rsidR="004A0233" w:rsidRPr="00C9045E">
        <w:rPr>
          <w:sz w:val="20"/>
          <w:szCs w:val="20"/>
        </w:rPr>
        <w:t>doi:10.1136/</w:t>
      </w:r>
      <w:r w:rsidR="004A0233" w:rsidRPr="004A0233">
        <w:rPr>
          <w:rFonts w:ascii="AdvHVC" w:eastAsiaTheme="minorHAnsi" w:hAnsi="AdvHVC" w:cs="AdvHVC"/>
          <w:sz w:val="16"/>
          <w:szCs w:val="16"/>
        </w:rPr>
        <w:t>bmjopen-2011-000544</w:t>
      </w:r>
    </w:p>
    <w:p w14:paraId="67773DF6" w14:textId="77B89729" w:rsidR="004A0233" w:rsidRDefault="004A0233" w:rsidP="00D7558B">
      <w:pPr>
        <w:pStyle w:val="Default"/>
        <w:numPr>
          <w:ilvl w:val="1"/>
          <w:numId w:val="38"/>
        </w:numPr>
        <w:rPr>
          <w:sz w:val="20"/>
          <w:szCs w:val="20"/>
        </w:rPr>
      </w:pPr>
      <w:r>
        <w:rPr>
          <w:sz w:val="20"/>
          <w:szCs w:val="20"/>
        </w:rPr>
        <w:lastRenderedPageBreak/>
        <w:t>Na K-S, Yung H-Y, Cho S-J et al. Can we recommend mirtazapine and bupropion for patients at risk for bleeding?: A systemic review and meta</w:t>
      </w:r>
      <w:r w:rsidR="00D7558B">
        <w:rPr>
          <w:sz w:val="20"/>
          <w:szCs w:val="20"/>
        </w:rPr>
        <w:t>-</w:t>
      </w:r>
      <w:r>
        <w:rPr>
          <w:sz w:val="20"/>
          <w:szCs w:val="20"/>
        </w:rPr>
        <w:t xml:space="preserve">analysis. </w:t>
      </w:r>
      <w:r w:rsidRPr="004A0233">
        <w:rPr>
          <w:sz w:val="20"/>
          <w:szCs w:val="20"/>
        </w:rPr>
        <w:t xml:space="preserve">J </w:t>
      </w:r>
      <w:r w:rsidRPr="00C9045E">
        <w:rPr>
          <w:sz w:val="20"/>
          <w:szCs w:val="20"/>
        </w:rPr>
        <w:t>Affective Disorders 225 (2018) 221–6</w:t>
      </w:r>
    </w:p>
    <w:p w14:paraId="6490E633" w14:textId="77777777" w:rsidR="005C2BA5" w:rsidRDefault="00491C6A" w:rsidP="00D7558B">
      <w:pPr>
        <w:pStyle w:val="Default"/>
        <w:numPr>
          <w:ilvl w:val="1"/>
          <w:numId w:val="38"/>
        </w:numPr>
        <w:rPr>
          <w:sz w:val="20"/>
          <w:szCs w:val="20"/>
        </w:rPr>
      </w:pPr>
      <w:r>
        <w:rPr>
          <w:sz w:val="20"/>
          <w:szCs w:val="20"/>
        </w:rPr>
        <w:t xml:space="preserve">Cheng </w:t>
      </w:r>
      <w:r w:rsidR="005C2BA5">
        <w:rPr>
          <w:sz w:val="20"/>
          <w:szCs w:val="20"/>
        </w:rPr>
        <w:t>Y-L, Hu H-Y, Lin X-H et al. Use of SSRI, but not SNRI, increased upper and lower gastrointestinal bleeding. Medicine 2015;94(46):1-7.</w:t>
      </w:r>
    </w:p>
    <w:p w14:paraId="25DC1895" w14:textId="510180C9" w:rsidR="006F02E9" w:rsidRDefault="006F02E9" w:rsidP="00D7558B">
      <w:pPr>
        <w:pStyle w:val="Default"/>
        <w:numPr>
          <w:ilvl w:val="1"/>
          <w:numId w:val="38"/>
        </w:numPr>
        <w:rPr>
          <w:sz w:val="20"/>
          <w:szCs w:val="20"/>
        </w:rPr>
      </w:pPr>
      <w:r w:rsidRPr="00E049DD">
        <w:rPr>
          <w:sz w:val="20"/>
          <w:szCs w:val="20"/>
        </w:rPr>
        <w:t xml:space="preserve">National Institute for Health and Care Excellence. </w:t>
      </w:r>
      <w:r>
        <w:rPr>
          <w:sz w:val="20"/>
          <w:szCs w:val="20"/>
        </w:rPr>
        <w:t>Depression in adults</w:t>
      </w:r>
      <w:r w:rsidRPr="00E049DD">
        <w:rPr>
          <w:sz w:val="20"/>
          <w:szCs w:val="20"/>
        </w:rPr>
        <w:t xml:space="preserve"> (</w:t>
      </w:r>
      <w:r>
        <w:rPr>
          <w:sz w:val="20"/>
          <w:szCs w:val="20"/>
        </w:rPr>
        <w:t>Oct 2009</w:t>
      </w:r>
      <w:r w:rsidR="006F78EC">
        <w:rPr>
          <w:sz w:val="20"/>
          <w:szCs w:val="20"/>
        </w:rPr>
        <w:t>, updated Apr 2018</w:t>
      </w:r>
      <w:r>
        <w:rPr>
          <w:sz w:val="20"/>
          <w:szCs w:val="20"/>
        </w:rPr>
        <w:t>) (CG 90</w:t>
      </w:r>
      <w:r w:rsidRPr="00E049DD">
        <w:rPr>
          <w:sz w:val="20"/>
          <w:szCs w:val="20"/>
        </w:rPr>
        <w:t xml:space="preserve">). London: National Institute for Health and Care Excellence. </w:t>
      </w:r>
      <w:r>
        <w:rPr>
          <w:sz w:val="20"/>
          <w:szCs w:val="20"/>
        </w:rPr>
        <w:t xml:space="preserve">Accessed via </w:t>
      </w:r>
      <w:hyperlink r:id="rId22" w:history="1">
        <w:r w:rsidR="00C9045E" w:rsidRPr="00C9045E">
          <w:rPr>
            <w:rStyle w:val="Hyperlink"/>
            <w:sz w:val="20"/>
            <w:szCs w:val="20"/>
          </w:rPr>
          <w:t>http://www.nice.org.uk/</w:t>
        </w:r>
      </w:hyperlink>
      <w:r>
        <w:rPr>
          <w:sz w:val="20"/>
          <w:szCs w:val="20"/>
        </w:rPr>
        <w:t xml:space="preserve"> on 2</w:t>
      </w:r>
      <w:r w:rsidR="006F78EC">
        <w:rPr>
          <w:sz w:val="20"/>
          <w:szCs w:val="20"/>
        </w:rPr>
        <w:t>7</w:t>
      </w:r>
      <w:r>
        <w:rPr>
          <w:sz w:val="20"/>
          <w:szCs w:val="20"/>
        </w:rPr>
        <w:t>/0</w:t>
      </w:r>
      <w:r w:rsidR="007F7A4D">
        <w:rPr>
          <w:sz w:val="20"/>
          <w:szCs w:val="20"/>
        </w:rPr>
        <w:t>6</w:t>
      </w:r>
      <w:r>
        <w:rPr>
          <w:sz w:val="20"/>
          <w:szCs w:val="20"/>
        </w:rPr>
        <w:t>/1</w:t>
      </w:r>
      <w:r w:rsidR="006F78EC">
        <w:rPr>
          <w:sz w:val="20"/>
          <w:szCs w:val="20"/>
        </w:rPr>
        <w:t>9</w:t>
      </w:r>
      <w:r>
        <w:rPr>
          <w:sz w:val="20"/>
          <w:szCs w:val="20"/>
        </w:rPr>
        <w:t>.</w:t>
      </w:r>
    </w:p>
    <w:p w14:paraId="07A7CEBE" w14:textId="77777777" w:rsidR="00CD3BCF" w:rsidRDefault="00CD3BCF">
      <w:pPr>
        <w:pStyle w:val="Default"/>
        <w:rPr>
          <w:sz w:val="20"/>
          <w:szCs w:val="20"/>
        </w:rPr>
      </w:pPr>
    </w:p>
    <w:p w14:paraId="4BB314DB" w14:textId="77777777" w:rsidR="00CD3BCF" w:rsidRDefault="00CD3BCF">
      <w:pPr>
        <w:pStyle w:val="Default"/>
        <w:rPr>
          <w:sz w:val="20"/>
          <w:szCs w:val="20"/>
        </w:rPr>
      </w:pPr>
    </w:p>
    <w:p w14:paraId="622909C7" w14:textId="77777777" w:rsidR="006F02E9" w:rsidRDefault="006F02E9" w:rsidP="00427F92">
      <w:pPr>
        <w:pStyle w:val="Heading2"/>
      </w:pPr>
    </w:p>
    <w:p w14:paraId="5B68F69A" w14:textId="77777777" w:rsidR="00427F92" w:rsidRPr="00B1695F" w:rsidRDefault="00427F92" w:rsidP="00427F92">
      <w:pPr>
        <w:pStyle w:val="Heading2"/>
      </w:pPr>
      <w:r w:rsidRPr="00B00B12">
        <w:t xml:space="preserve">Quality Assurance </w:t>
      </w:r>
    </w:p>
    <w:p w14:paraId="64C94D95" w14:textId="77777777" w:rsidR="00427F92" w:rsidRPr="00B00B12" w:rsidRDefault="00427F92" w:rsidP="00427F92">
      <w:pPr>
        <w:pStyle w:val="Heading3"/>
        <w:rPr>
          <w:lang w:val="en-US"/>
        </w:rPr>
      </w:pPr>
      <w:r w:rsidRPr="00B00B12">
        <w:rPr>
          <w:lang w:val="en-US"/>
        </w:rPr>
        <w:t>Prepared by</w:t>
      </w:r>
    </w:p>
    <w:p w14:paraId="19B22C97" w14:textId="7EBC6B3C" w:rsidR="006F02E9" w:rsidRPr="00DA4F13" w:rsidRDefault="006F02E9" w:rsidP="006F02E9">
      <w:pPr>
        <w:rPr>
          <w:rFonts w:cs="Arial"/>
        </w:rPr>
      </w:pPr>
      <w:r>
        <w:rPr>
          <w:rFonts w:cs="Arial"/>
        </w:rPr>
        <w:t xml:space="preserve">Alex Bailey, </w:t>
      </w:r>
      <w:r w:rsidRPr="00B429F0">
        <w:rPr>
          <w:rFonts w:cs="Arial"/>
        </w:rPr>
        <w:t>Welsh Medicines Information Centre</w:t>
      </w:r>
      <w:r w:rsidR="002F7D8B">
        <w:rPr>
          <w:rFonts w:cs="Arial"/>
        </w:rPr>
        <w:t xml:space="preserve"> </w:t>
      </w:r>
    </w:p>
    <w:p w14:paraId="57F0E86E" w14:textId="6495404E" w:rsidR="001C2F1B" w:rsidRPr="001C2F1B" w:rsidRDefault="00427F92" w:rsidP="00D91CBE">
      <w:pPr>
        <w:rPr>
          <w:lang w:val="en-US"/>
        </w:rPr>
      </w:pPr>
      <w:r w:rsidRPr="00902936">
        <w:rPr>
          <w:rStyle w:val="Heading3Char"/>
          <w:rFonts w:eastAsia="Calibri"/>
        </w:rPr>
        <w:t>Date Prepared</w:t>
      </w:r>
      <w:r w:rsidR="002F7D8B">
        <w:rPr>
          <w:lang w:val="en-US"/>
        </w:rPr>
        <w:br/>
      </w:r>
      <w:r w:rsidR="00606B76" w:rsidRPr="00902936">
        <w:rPr>
          <w:rFonts w:eastAsia="Times New Roman"/>
          <w:bCs/>
          <w:szCs w:val="20"/>
          <w:lang w:val="en-US"/>
        </w:rPr>
        <w:t>10th</w:t>
      </w:r>
      <w:r w:rsidR="001C2F1B">
        <w:rPr>
          <w:rFonts w:eastAsia="Times New Roman"/>
          <w:bCs/>
          <w:szCs w:val="20"/>
          <w:lang w:val="en-US"/>
        </w:rPr>
        <w:t xml:space="preserve"> October 2019</w:t>
      </w:r>
    </w:p>
    <w:p w14:paraId="3ADD3DA7" w14:textId="1322C83F" w:rsidR="00D3109E" w:rsidRDefault="00427F92" w:rsidP="00D8635B">
      <w:pPr>
        <w:pStyle w:val="Heading3"/>
        <w:rPr>
          <w:rFonts w:cs="Arial"/>
        </w:rPr>
      </w:pPr>
      <w:bookmarkStart w:id="0" w:name="_GoBack"/>
      <w:r w:rsidRPr="00D3109E">
        <w:rPr>
          <w:rStyle w:val="Heading3Char"/>
          <w:rFonts w:eastAsia="Calibri"/>
          <w:b/>
        </w:rPr>
        <w:t>Checked by</w:t>
      </w:r>
      <w:r w:rsidRPr="00B00B12">
        <w:rPr>
          <w:rFonts w:cs="Arial"/>
          <w:b w:val="0"/>
          <w:color w:val="0000FF"/>
          <w:lang w:val="en-US"/>
        </w:rPr>
        <w:br/>
      </w:r>
      <w:r w:rsidR="006F02E9" w:rsidRPr="00D3109E">
        <w:rPr>
          <w:rFonts w:cs="Arial"/>
          <w:b w:val="0"/>
          <w:color w:val="auto"/>
        </w:rPr>
        <w:t>Gail Woodland, Welsh Medicines Information Centre</w:t>
      </w:r>
    </w:p>
    <w:p w14:paraId="5492FFD7" w14:textId="1D2836E0" w:rsidR="00D8635B" w:rsidRPr="00B00B12" w:rsidRDefault="00D8635B" w:rsidP="00D8635B">
      <w:pPr>
        <w:pStyle w:val="Heading3"/>
        <w:rPr>
          <w:lang w:val="en-US"/>
        </w:rPr>
      </w:pPr>
      <w:r w:rsidRPr="00B00B12">
        <w:rPr>
          <w:lang w:val="en-US"/>
        </w:rPr>
        <w:t>Date</w:t>
      </w:r>
      <w:r>
        <w:rPr>
          <w:lang w:val="en-US"/>
        </w:rPr>
        <w:t xml:space="preserve"> of check</w:t>
      </w:r>
      <w:r w:rsidRPr="00B00B12">
        <w:rPr>
          <w:lang w:val="en-US"/>
        </w:rPr>
        <w:t xml:space="preserve"> </w:t>
      </w:r>
      <w:r w:rsidR="002F7D8B">
        <w:rPr>
          <w:lang w:val="en-US"/>
        </w:rPr>
        <w:br/>
      </w:r>
      <w:r w:rsidR="00902936">
        <w:rPr>
          <w:rFonts w:cs="Arial"/>
          <w:b w:val="0"/>
          <w:color w:val="auto"/>
        </w:rPr>
        <w:t>17</w:t>
      </w:r>
      <w:r w:rsidR="00D91CBE" w:rsidRPr="00902936">
        <w:rPr>
          <w:rFonts w:cs="Arial"/>
          <w:b w:val="0"/>
          <w:color w:val="auto"/>
          <w:vertAlign w:val="superscript"/>
        </w:rPr>
        <w:t>th</w:t>
      </w:r>
      <w:r w:rsidR="00D91CBE">
        <w:rPr>
          <w:rFonts w:cs="Arial"/>
          <w:b w:val="0"/>
          <w:color w:val="auto"/>
        </w:rPr>
        <w:t xml:space="preserve"> October</w:t>
      </w:r>
      <w:r w:rsidR="002F7D8B">
        <w:rPr>
          <w:rFonts w:cs="Arial"/>
          <w:b w:val="0"/>
          <w:color w:val="auto"/>
        </w:rPr>
        <w:t xml:space="preserve"> 2019</w:t>
      </w:r>
    </w:p>
    <w:p w14:paraId="4FC9314F" w14:textId="4700083E" w:rsidR="00A23765" w:rsidRPr="00A23765" w:rsidRDefault="00A23765" w:rsidP="00A23765">
      <w:pPr>
        <w:rPr>
          <w:lang w:val="en-US"/>
        </w:rPr>
      </w:pPr>
    </w:p>
    <w:p w14:paraId="5BCEA20C" w14:textId="77777777" w:rsidR="00427F92" w:rsidRPr="00B00B12" w:rsidRDefault="00427F92" w:rsidP="00427F92">
      <w:pPr>
        <w:pStyle w:val="Heading3"/>
        <w:rPr>
          <w:lang w:val="en-US"/>
        </w:rPr>
      </w:pPr>
      <w:r w:rsidRPr="00B00B12">
        <w:rPr>
          <w:lang w:val="en-US"/>
        </w:rPr>
        <w:t>Search strategy</w:t>
      </w:r>
    </w:p>
    <w:p w14:paraId="212B90FC" w14:textId="77777777" w:rsidR="006F02E9" w:rsidRPr="005B00DD" w:rsidRDefault="006F02E9" w:rsidP="006F02E9">
      <w:pPr>
        <w:numPr>
          <w:ilvl w:val="0"/>
          <w:numId w:val="10"/>
        </w:numPr>
        <w:spacing w:after="0" w:line="240" w:lineRule="auto"/>
        <w:rPr>
          <w:rFonts w:cs="Arial"/>
        </w:rPr>
      </w:pPr>
      <w:r w:rsidRPr="005B00DD">
        <w:rPr>
          <w:rFonts w:cs="Arial"/>
          <w:color w:val="000000"/>
        </w:rPr>
        <w:t>Embase</w:t>
      </w:r>
      <w:r w:rsidRPr="005B00DD">
        <w:rPr>
          <w:rFonts w:cs="Arial"/>
        </w:rPr>
        <w:t xml:space="preserve"> </w:t>
      </w:r>
      <w:bookmarkEnd w:id="0"/>
      <w:r w:rsidRPr="005B00DD">
        <w:rPr>
          <w:rFonts w:cs="Arial"/>
        </w:rPr>
        <w:t>(exp Serotonin Uptake Inhibitor/ae, to [Adverse Drug Reaction, Drug Toxicity] AND exp Gastrointestinal Hemorrhage/)  limited to human</w:t>
      </w:r>
      <w:r>
        <w:rPr>
          <w:rFonts w:cs="Arial"/>
        </w:rPr>
        <w:t xml:space="preserve"> and english language</w:t>
      </w:r>
    </w:p>
    <w:p w14:paraId="1F65D93C" w14:textId="77777777" w:rsidR="006F02E9" w:rsidRPr="005B00DD" w:rsidRDefault="006F02E9" w:rsidP="006F02E9">
      <w:pPr>
        <w:numPr>
          <w:ilvl w:val="0"/>
          <w:numId w:val="10"/>
        </w:numPr>
        <w:spacing w:after="0" w:line="240" w:lineRule="auto"/>
        <w:rPr>
          <w:rFonts w:cs="Arial"/>
        </w:rPr>
      </w:pPr>
      <w:r w:rsidRPr="005B00DD">
        <w:rPr>
          <w:rFonts w:cs="Arial"/>
          <w:color w:val="000000"/>
        </w:rPr>
        <w:t xml:space="preserve">Medline </w:t>
      </w:r>
      <w:r w:rsidRPr="005B00DD">
        <w:rPr>
          <w:rFonts w:cs="Arial"/>
        </w:rPr>
        <w:t xml:space="preserve">(exp Serotonin Uptake Inhibitors/ae, to [Adverse Effects, Toxicity] AND exp Gastrointestinal Hemorrhage/) limited to human </w:t>
      </w:r>
    </w:p>
    <w:p w14:paraId="214B836D" w14:textId="77777777" w:rsidR="006F02E9" w:rsidRPr="005B00DD" w:rsidRDefault="006F02E9" w:rsidP="006F02E9">
      <w:pPr>
        <w:numPr>
          <w:ilvl w:val="0"/>
          <w:numId w:val="10"/>
        </w:numPr>
        <w:spacing w:after="0" w:line="240" w:lineRule="auto"/>
        <w:rPr>
          <w:rFonts w:cs="Arial"/>
        </w:rPr>
      </w:pPr>
      <w:r w:rsidRPr="005B00DD">
        <w:rPr>
          <w:rFonts w:cs="Arial"/>
        </w:rPr>
        <w:t>Micromedex (Searched under individual SSRI na</w:t>
      </w:r>
      <w:r>
        <w:rPr>
          <w:rFonts w:cs="Arial"/>
        </w:rPr>
        <w:t>mes in DrugDex and Martindale, a</w:t>
      </w:r>
      <w:r w:rsidRPr="005B00DD">
        <w:rPr>
          <w:rFonts w:cs="Arial"/>
        </w:rPr>
        <w:t>lso checked Drug Consults)</w:t>
      </w:r>
    </w:p>
    <w:p w14:paraId="68FDC204" w14:textId="77777777" w:rsidR="006F02E9" w:rsidRPr="005B00DD" w:rsidRDefault="006F02E9" w:rsidP="006F02E9">
      <w:pPr>
        <w:numPr>
          <w:ilvl w:val="0"/>
          <w:numId w:val="10"/>
        </w:numPr>
        <w:spacing w:after="0" w:line="240" w:lineRule="auto"/>
        <w:rPr>
          <w:rFonts w:cs="Arial"/>
        </w:rPr>
      </w:pPr>
      <w:r w:rsidRPr="005B00DD">
        <w:rPr>
          <w:rFonts w:cs="Arial"/>
        </w:rPr>
        <w:t xml:space="preserve">EMC (Searched under individual SSRI names) </w:t>
      </w:r>
    </w:p>
    <w:p w14:paraId="6A08EFFD" w14:textId="77777777" w:rsidR="006F02E9" w:rsidRPr="00C84503" w:rsidRDefault="006F02E9" w:rsidP="006F02E9">
      <w:pPr>
        <w:numPr>
          <w:ilvl w:val="0"/>
          <w:numId w:val="10"/>
        </w:numPr>
        <w:spacing w:after="0" w:line="240" w:lineRule="auto"/>
        <w:rPr>
          <w:rFonts w:cs="Arial"/>
        </w:rPr>
      </w:pPr>
      <w:r w:rsidRPr="005B00DD">
        <w:rPr>
          <w:rFonts w:cs="Arial"/>
          <w:color w:val="000000"/>
        </w:rPr>
        <w:t>In-house database/ resources (SSRI and bleed*)</w:t>
      </w:r>
    </w:p>
    <w:p w14:paraId="73EBA342" w14:textId="77777777" w:rsidR="006F02E9" w:rsidRPr="00C84503" w:rsidRDefault="006F02E9" w:rsidP="006F02E9">
      <w:pPr>
        <w:numPr>
          <w:ilvl w:val="0"/>
          <w:numId w:val="10"/>
        </w:numPr>
        <w:spacing w:after="0" w:line="240" w:lineRule="auto"/>
      </w:pPr>
      <w:r w:rsidRPr="005B00DD">
        <w:rPr>
          <w:rFonts w:cs="Arial"/>
        </w:rPr>
        <w:t xml:space="preserve">Stockley’s (online) </w:t>
      </w:r>
      <w:r>
        <w:rPr>
          <w:rFonts w:cs="Arial"/>
        </w:rPr>
        <w:t xml:space="preserve">ssris nsaids, </w:t>
      </w:r>
      <w:r w:rsidRPr="005B00DD">
        <w:rPr>
          <w:rFonts w:cs="Arial"/>
        </w:rPr>
        <w:t>s</w:t>
      </w:r>
      <w:r>
        <w:rPr>
          <w:rFonts w:cs="Arial"/>
        </w:rPr>
        <w:t>sris warfarin</w:t>
      </w:r>
    </w:p>
    <w:p w14:paraId="31E31FD3" w14:textId="4B01BFCF" w:rsidR="006F02E9" w:rsidRDefault="006F02E9" w:rsidP="006F02E9">
      <w:pPr>
        <w:numPr>
          <w:ilvl w:val="0"/>
          <w:numId w:val="10"/>
        </w:numPr>
        <w:spacing w:after="0" w:line="240" w:lineRule="auto"/>
        <w:rPr>
          <w:rFonts w:cs="Arial"/>
        </w:rPr>
      </w:pPr>
      <w:r w:rsidRPr="005B00DD">
        <w:rPr>
          <w:rFonts w:cs="Arial"/>
          <w:color w:val="000000"/>
        </w:rPr>
        <w:t>NeLM</w:t>
      </w:r>
      <w:r>
        <w:rPr>
          <w:rFonts w:cs="Arial"/>
          <w:color w:val="000000"/>
        </w:rPr>
        <w:t xml:space="preserve"> (for previous version)/NHS Evidence </w:t>
      </w:r>
      <w:r>
        <w:rPr>
          <w:rFonts w:cs="Arial"/>
        </w:rPr>
        <w:t>(ssri* AND bleed</w:t>
      </w:r>
      <w:r w:rsidRPr="005B00DD">
        <w:rPr>
          <w:rFonts w:cs="Arial"/>
        </w:rPr>
        <w:t>)</w:t>
      </w:r>
      <w:r>
        <w:rPr>
          <w:rFonts w:cs="Arial"/>
        </w:rPr>
        <w:t xml:space="preserve"> </w:t>
      </w:r>
    </w:p>
    <w:p w14:paraId="7148BD70" w14:textId="77777777" w:rsidR="006F02E9" w:rsidRPr="005B00DD" w:rsidRDefault="006F02E9" w:rsidP="006F02E9">
      <w:pPr>
        <w:numPr>
          <w:ilvl w:val="0"/>
          <w:numId w:val="10"/>
        </w:numPr>
        <w:spacing w:after="0" w:line="240" w:lineRule="auto"/>
        <w:rPr>
          <w:rFonts w:cs="Arial"/>
        </w:rPr>
      </w:pPr>
      <w:r>
        <w:rPr>
          <w:rFonts w:cs="Arial"/>
        </w:rPr>
        <w:t>Pharmline (for previous version) “serotonin reuptake inhibitors” AND “haemorrhage-gastrointestinal”</w:t>
      </w:r>
    </w:p>
    <w:p w14:paraId="0E985F16" w14:textId="77777777" w:rsidR="006F02E9" w:rsidRPr="005B00DD" w:rsidRDefault="006F02E9" w:rsidP="006F02E9">
      <w:pPr>
        <w:numPr>
          <w:ilvl w:val="0"/>
          <w:numId w:val="10"/>
        </w:numPr>
        <w:spacing w:after="0" w:line="240" w:lineRule="auto"/>
        <w:rPr>
          <w:rFonts w:cs="Arial"/>
        </w:rPr>
      </w:pPr>
      <w:r w:rsidRPr="005B00DD">
        <w:rPr>
          <w:rFonts w:cs="Arial"/>
        </w:rPr>
        <w:t xml:space="preserve">Meyler’s Side Effects of Drugs </w:t>
      </w:r>
      <w:r>
        <w:rPr>
          <w:rFonts w:cs="Arial"/>
        </w:rPr>
        <w:t>(16</w:t>
      </w:r>
      <w:r w:rsidRPr="00692775">
        <w:rPr>
          <w:rFonts w:cs="Arial"/>
          <w:vertAlign w:val="superscript"/>
        </w:rPr>
        <w:t>th</w:t>
      </w:r>
      <w:r>
        <w:rPr>
          <w:rFonts w:cs="Arial"/>
        </w:rPr>
        <w:t xml:space="preserve"> ed) </w:t>
      </w:r>
      <w:r w:rsidRPr="005B00DD">
        <w:rPr>
          <w:rFonts w:cs="Arial"/>
        </w:rPr>
        <w:t>selective serotonin re-uptake inhibitors</w:t>
      </w:r>
    </w:p>
    <w:p w14:paraId="068489F7" w14:textId="77777777" w:rsidR="006D5A40" w:rsidRDefault="006D5A40" w:rsidP="00902936">
      <w:pPr>
        <w:autoSpaceDE w:val="0"/>
        <w:autoSpaceDN w:val="0"/>
        <w:adjustRightInd w:val="0"/>
        <w:spacing w:after="0" w:line="240" w:lineRule="auto"/>
        <w:ind w:left="720"/>
      </w:pPr>
    </w:p>
    <w:p w14:paraId="0B3AF22A" w14:textId="5100BAF1" w:rsidR="006D5A40" w:rsidRPr="00427F92" w:rsidRDefault="006D5A40" w:rsidP="002D7DC0"/>
    <w:sectPr w:rsidR="006D5A40" w:rsidRPr="00427F92" w:rsidSect="004F475C">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3A62E" w14:textId="77777777" w:rsidR="00F90963" w:rsidRDefault="00F90963" w:rsidP="00B2372E">
      <w:pPr>
        <w:spacing w:after="0" w:line="240" w:lineRule="auto"/>
      </w:pPr>
      <w:r>
        <w:separator/>
      </w:r>
    </w:p>
  </w:endnote>
  <w:endnote w:type="continuationSeparator" w:id="0">
    <w:p w14:paraId="0934B9B0" w14:textId="77777777" w:rsidR="00F90963" w:rsidRDefault="00F90963"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403A40">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dvHV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8CB37" w14:textId="77777777" w:rsidR="00F90963" w:rsidRPr="006945F6" w:rsidRDefault="00F90963"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5278E940" w14:textId="77777777" w:rsidR="00F90963" w:rsidRPr="006945F6" w:rsidRDefault="00902936" w:rsidP="00B2372E">
    <w:pPr>
      <w:pStyle w:val="Footer"/>
      <w:ind w:right="360"/>
      <w:rPr>
        <w:color w:val="A6A6A6"/>
      </w:rPr>
    </w:pPr>
    <w:hyperlink r:id="rId1" w:history="1">
      <w:r w:rsidR="00F90963" w:rsidRPr="00AB2D91">
        <w:rPr>
          <w:rStyle w:val="Hyperlink"/>
        </w:rPr>
        <w:t>www.sps.nhs.uk</w:t>
      </w:r>
    </w:hyperlink>
    <w:r w:rsidR="00F90963">
      <w:rPr>
        <w:color w:val="A6A6A6"/>
      </w:rPr>
      <w:t xml:space="preserve"> </w:t>
    </w:r>
  </w:p>
  <w:p w14:paraId="0399283A" w14:textId="77777777" w:rsidR="00F90963" w:rsidRDefault="00F90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EEABB" w14:textId="77777777" w:rsidR="00F90963" w:rsidRDefault="00F90963" w:rsidP="00B2372E">
      <w:pPr>
        <w:spacing w:after="0" w:line="240" w:lineRule="auto"/>
      </w:pPr>
      <w:r>
        <w:separator/>
      </w:r>
    </w:p>
  </w:footnote>
  <w:footnote w:type="continuationSeparator" w:id="0">
    <w:p w14:paraId="299C96BD" w14:textId="77777777" w:rsidR="00F90963" w:rsidRDefault="00F90963"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039B" w14:textId="77777777" w:rsidR="00F90963" w:rsidRPr="00B1695F" w:rsidRDefault="00F90963"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6885731E" wp14:editId="629E2FC5">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273B04">
      <w:rPr>
        <w:b/>
        <w:noProof/>
        <w:color w:val="0070C0"/>
        <w:sz w:val="24"/>
        <w:lang w:eastAsia="en-GB"/>
      </w:rPr>
      <mc:AlternateContent>
        <mc:Choice Requires="wps">
          <w:drawing>
            <wp:anchor distT="0" distB="0" distL="114300" distR="114300" simplePos="0" relativeHeight="251663360" behindDoc="0" locked="0" layoutInCell="1" allowOverlap="1" wp14:anchorId="699B8BA7" wp14:editId="0F4985E0">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010F4" w14:textId="77777777" w:rsidR="00F90963" w:rsidRPr="00B1695F" w:rsidRDefault="00F90963" w:rsidP="003A21B9">
                          <w:pPr>
                            <w:pStyle w:val="Header"/>
                            <w:tabs>
                              <w:tab w:val="clear" w:pos="4513"/>
                              <w:tab w:val="clear" w:pos="9026"/>
                              <w:tab w:val="left" w:pos="7650"/>
                            </w:tabs>
                            <w:rPr>
                              <w:b/>
                              <w:color w:val="0070C0"/>
                            </w:rPr>
                          </w:pPr>
                          <w:r w:rsidRPr="00B1695F">
                            <w:rPr>
                              <w:b/>
                              <w:color w:val="0070C0"/>
                              <w:sz w:val="24"/>
                            </w:rPr>
                            <w:t>Medicines Q&amp;As</w:t>
                          </w:r>
                        </w:p>
                        <w:p w14:paraId="439752C2" w14:textId="77777777" w:rsidR="00F90963" w:rsidRDefault="00F909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9B8BA7"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14:paraId="5E0010F4" w14:textId="77777777" w:rsidR="00F90963" w:rsidRPr="00B1695F" w:rsidRDefault="00F90963" w:rsidP="003A21B9">
                    <w:pPr>
                      <w:pStyle w:val="Header"/>
                      <w:tabs>
                        <w:tab w:val="clear" w:pos="4513"/>
                        <w:tab w:val="clear" w:pos="9026"/>
                        <w:tab w:val="left" w:pos="7650"/>
                      </w:tabs>
                      <w:rPr>
                        <w:b/>
                        <w:color w:val="0070C0"/>
                      </w:rPr>
                    </w:pPr>
                    <w:r w:rsidRPr="00B1695F">
                      <w:rPr>
                        <w:b/>
                        <w:color w:val="0070C0"/>
                        <w:sz w:val="24"/>
                      </w:rPr>
                      <w:t>Medicines Q&amp;As</w:t>
                    </w:r>
                  </w:p>
                  <w:p w14:paraId="439752C2" w14:textId="77777777" w:rsidR="00F90963" w:rsidRDefault="00F90963"/>
                </w:txbxContent>
              </v:textbox>
            </v:shape>
          </w:pict>
        </mc:Fallback>
      </mc:AlternateContent>
    </w:r>
  </w:p>
  <w:p w14:paraId="40C04154" w14:textId="77777777" w:rsidR="00F90963" w:rsidRDefault="00273B04">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12A18DB0" wp14:editId="5AC54BF6">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B9528"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44BF2"/>
    <w:multiLevelType w:val="hybridMultilevel"/>
    <w:tmpl w:val="5A38A174"/>
    <w:lvl w:ilvl="0" w:tplc="0809000F">
      <w:start w:val="1"/>
      <w:numFmt w:val="decimal"/>
      <w:lvlText w:val="%1."/>
      <w:lvlJc w:val="left"/>
      <w:pPr>
        <w:ind w:left="720" w:hanging="360"/>
      </w:p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353F4"/>
    <w:multiLevelType w:val="hybridMultilevel"/>
    <w:tmpl w:val="1F6EF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E16C7"/>
    <w:multiLevelType w:val="hybridMultilevel"/>
    <w:tmpl w:val="12A2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155E9"/>
    <w:multiLevelType w:val="hybridMultilevel"/>
    <w:tmpl w:val="283CF6D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9EF2EBE"/>
    <w:multiLevelType w:val="hybridMultilevel"/>
    <w:tmpl w:val="469418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E85255"/>
    <w:multiLevelType w:val="hybridMultilevel"/>
    <w:tmpl w:val="A6A81A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66961"/>
    <w:multiLevelType w:val="hybridMultilevel"/>
    <w:tmpl w:val="D2349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A3E14"/>
    <w:multiLevelType w:val="hybridMultilevel"/>
    <w:tmpl w:val="6F42B7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30841"/>
    <w:multiLevelType w:val="hybridMultilevel"/>
    <w:tmpl w:val="C80ACF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C72F3C"/>
    <w:multiLevelType w:val="hybridMultilevel"/>
    <w:tmpl w:val="469418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F85735"/>
    <w:multiLevelType w:val="hybridMultilevel"/>
    <w:tmpl w:val="8DC64C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EF94720"/>
    <w:multiLevelType w:val="hybridMultilevel"/>
    <w:tmpl w:val="F2DC8DB6"/>
    <w:lvl w:ilvl="0" w:tplc="0809000F">
      <w:start w:val="1"/>
      <w:numFmt w:val="decimal"/>
      <w:lvlText w:val="%1."/>
      <w:lvlJc w:val="left"/>
      <w:pPr>
        <w:ind w:left="720" w:hanging="360"/>
      </w:pPr>
    </w:lvl>
    <w:lvl w:ilvl="1" w:tplc="91026F8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52C95"/>
    <w:multiLevelType w:val="hybridMultilevel"/>
    <w:tmpl w:val="FA0081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FC429C"/>
    <w:multiLevelType w:val="hybridMultilevel"/>
    <w:tmpl w:val="190EA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05BE1"/>
    <w:multiLevelType w:val="hybridMultilevel"/>
    <w:tmpl w:val="BA1C38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1742FD9"/>
    <w:multiLevelType w:val="hybridMultilevel"/>
    <w:tmpl w:val="9E9436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1D615F"/>
    <w:multiLevelType w:val="hybridMultilevel"/>
    <w:tmpl w:val="90129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06E68"/>
    <w:multiLevelType w:val="hybridMultilevel"/>
    <w:tmpl w:val="B76C1F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AB7880"/>
    <w:multiLevelType w:val="hybridMultilevel"/>
    <w:tmpl w:val="3EB87800"/>
    <w:lvl w:ilvl="0" w:tplc="1312D7F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E4EAA"/>
    <w:multiLevelType w:val="hybridMultilevel"/>
    <w:tmpl w:val="0756F1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6B6878"/>
    <w:multiLevelType w:val="hybridMultilevel"/>
    <w:tmpl w:val="2904C7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76773F"/>
    <w:multiLevelType w:val="hybridMultilevel"/>
    <w:tmpl w:val="D7CE9E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9C5A4B"/>
    <w:multiLevelType w:val="hybridMultilevel"/>
    <w:tmpl w:val="F70074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E30C71"/>
    <w:multiLevelType w:val="hybridMultilevel"/>
    <w:tmpl w:val="283CF6D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419423E"/>
    <w:multiLevelType w:val="hybridMultilevel"/>
    <w:tmpl w:val="21D2D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B35FA3"/>
    <w:multiLevelType w:val="hybridMultilevel"/>
    <w:tmpl w:val="53B6E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1871A0"/>
    <w:multiLevelType w:val="hybridMultilevel"/>
    <w:tmpl w:val="8D2AF8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805B8B"/>
    <w:multiLevelType w:val="hybridMultilevel"/>
    <w:tmpl w:val="36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5678A"/>
    <w:multiLevelType w:val="hybridMultilevel"/>
    <w:tmpl w:val="DC0C4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9304D6"/>
    <w:multiLevelType w:val="hybridMultilevel"/>
    <w:tmpl w:val="69F8B1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6"/>
  </w:num>
  <w:num w:numId="3">
    <w:abstractNumId w:val="31"/>
  </w:num>
  <w:num w:numId="4">
    <w:abstractNumId w:val="5"/>
  </w:num>
  <w:num w:numId="5">
    <w:abstractNumId w:val="2"/>
  </w:num>
  <w:num w:numId="6">
    <w:abstractNumId w:val="24"/>
  </w:num>
  <w:num w:numId="7">
    <w:abstractNumId w:val="22"/>
  </w:num>
  <w:num w:numId="8">
    <w:abstractNumId w:val="1"/>
  </w:num>
  <w:num w:numId="9">
    <w:abstractNumId w:val="26"/>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8"/>
  </w:num>
  <w:num w:numId="12">
    <w:abstractNumId w:val="33"/>
  </w:num>
  <w:num w:numId="13">
    <w:abstractNumId w:val="12"/>
  </w:num>
  <w:num w:numId="14">
    <w:abstractNumId w:val="23"/>
  </w:num>
  <w:num w:numId="15">
    <w:abstractNumId w:val="39"/>
  </w:num>
  <w:num w:numId="16">
    <w:abstractNumId w:val="17"/>
  </w:num>
  <w:num w:numId="17">
    <w:abstractNumId w:val="35"/>
  </w:num>
  <w:num w:numId="18">
    <w:abstractNumId w:val="10"/>
  </w:num>
  <w:num w:numId="19">
    <w:abstractNumId w:val="29"/>
  </w:num>
  <w:num w:numId="20">
    <w:abstractNumId w:val="34"/>
  </w:num>
  <w:num w:numId="21">
    <w:abstractNumId w:val="3"/>
  </w:num>
  <w:num w:numId="22">
    <w:abstractNumId w:val="14"/>
  </w:num>
  <w:num w:numId="23">
    <w:abstractNumId w:val="19"/>
  </w:num>
  <w:num w:numId="24">
    <w:abstractNumId w:val="13"/>
  </w:num>
  <w:num w:numId="25">
    <w:abstractNumId w:val="15"/>
  </w:num>
  <w:num w:numId="26">
    <w:abstractNumId w:val="9"/>
  </w:num>
  <w:num w:numId="27">
    <w:abstractNumId w:val="18"/>
  </w:num>
  <w:num w:numId="28">
    <w:abstractNumId w:val="4"/>
  </w:num>
  <w:num w:numId="29">
    <w:abstractNumId w:val="21"/>
  </w:num>
  <w:num w:numId="30">
    <w:abstractNumId w:val="20"/>
  </w:num>
  <w:num w:numId="31">
    <w:abstractNumId w:val="28"/>
  </w:num>
  <w:num w:numId="32">
    <w:abstractNumId w:val="36"/>
  </w:num>
  <w:num w:numId="33">
    <w:abstractNumId w:val="11"/>
  </w:num>
  <w:num w:numId="34">
    <w:abstractNumId w:val="38"/>
  </w:num>
  <w:num w:numId="35">
    <w:abstractNumId w:val="7"/>
  </w:num>
  <w:num w:numId="36">
    <w:abstractNumId w:val="25"/>
  </w:num>
  <w:num w:numId="37">
    <w:abstractNumId w:val="30"/>
  </w:num>
  <w:num w:numId="38">
    <w:abstractNumId w:val="16"/>
  </w:num>
  <w:num w:numId="39">
    <w:abstractNumId w:val="3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21D98"/>
    <w:rsid w:val="000311BD"/>
    <w:rsid w:val="00031996"/>
    <w:rsid w:val="00043B71"/>
    <w:rsid w:val="00044717"/>
    <w:rsid w:val="00060ABF"/>
    <w:rsid w:val="000633BA"/>
    <w:rsid w:val="00063C64"/>
    <w:rsid w:val="00073B33"/>
    <w:rsid w:val="00075987"/>
    <w:rsid w:val="000905D8"/>
    <w:rsid w:val="00091FD7"/>
    <w:rsid w:val="000A327D"/>
    <w:rsid w:val="000B0483"/>
    <w:rsid w:val="000B2B41"/>
    <w:rsid w:val="000C04BD"/>
    <w:rsid w:val="000D561B"/>
    <w:rsid w:val="00101153"/>
    <w:rsid w:val="0010122A"/>
    <w:rsid w:val="00107FD0"/>
    <w:rsid w:val="001118E8"/>
    <w:rsid w:val="00117262"/>
    <w:rsid w:val="00126ADF"/>
    <w:rsid w:val="0014585C"/>
    <w:rsid w:val="0015055B"/>
    <w:rsid w:val="00155046"/>
    <w:rsid w:val="001678BE"/>
    <w:rsid w:val="001831EB"/>
    <w:rsid w:val="00184FB5"/>
    <w:rsid w:val="0018556B"/>
    <w:rsid w:val="00187CC1"/>
    <w:rsid w:val="00191AC2"/>
    <w:rsid w:val="001C2F1B"/>
    <w:rsid w:val="001C744E"/>
    <w:rsid w:val="001D6798"/>
    <w:rsid w:val="001E24C4"/>
    <w:rsid w:val="001E7529"/>
    <w:rsid w:val="002161E3"/>
    <w:rsid w:val="002313EB"/>
    <w:rsid w:val="00273B04"/>
    <w:rsid w:val="00284E32"/>
    <w:rsid w:val="00295160"/>
    <w:rsid w:val="002B04EE"/>
    <w:rsid w:val="002C1B30"/>
    <w:rsid w:val="002D7DC0"/>
    <w:rsid w:val="002F324C"/>
    <w:rsid w:val="002F3E8A"/>
    <w:rsid w:val="002F7D8B"/>
    <w:rsid w:val="003137D9"/>
    <w:rsid w:val="0035516D"/>
    <w:rsid w:val="00366969"/>
    <w:rsid w:val="0037676E"/>
    <w:rsid w:val="0039027C"/>
    <w:rsid w:val="00394B38"/>
    <w:rsid w:val="00395C94"/>
    <w:rsid w:val="0039687E"/>
    <w:rsid w:val="003A21B9"/>
    <w:rsid w:val="003B3D38"/>
    <w:rsid w:val="003B4E0E"/>
    <w:rsid w:val="003C1AA0"/>
    <w:rsid w:val="003D0F9A"/>
    <w:rsid w:val="003E1654"/>
    <w:rsid w:val="003E6CDD"/>
    <w:rsid w:val="00404D8B"/>
    <w:rsid w:val="004210B3"/>
    <w:rsid w:val="00422A94"/>
    <w:rsid w:val="00423812"/>
    <w:rsid w:val="004258DB"/>
    <w:rsid w:val="00427B31"/>
    <w:rsid w:val="00427F92"/>
    <w:rsid w:val="00440875"/>
    <w:rsid w:val="004425F4"/>
    <w:rsid w:val="004434E4"/>
    <w:rsid w:val="00462C93"/>
    <w:rsid w:val="00466285"/>
    <w:rsid w:val="00470EBF"/>
    <w:rsid w:val="00480CFA"/>
    <w:rsid w:val="00491C6A"/>
    <w:rsid w:val="00496108"/>
    <w:rsid w:val="004A0233"/>
    <w:rsid w:val="004A632E"/>
    <w:rsid w:val="004A6D12"/>
    <w:rsid w:val="004D7116"/>
    <w:rsid w:val="004E01F4"/>
    <w:rsid w:val="004F16DB"/>
    <w:rsid w:val="004F3EF6"/>
    <w:rsid w:val="004F475C"/>
    <w:rsid w:val="004F630B"/>
    <w:rsid w:val="005112D5"/>
    <w:rsid w:val="00523715"/>
    <w:rsid w:val="00531E01"/>
    <w:rsid w:val="005450C3"/>
    <w:rsid w:val="0055487D"/>
    <w:rsid w:val="00564156"/>
    <w:rsid w:val="00573BE9"/>
    <w:rsid w:val="005A2BD1"/>
    <w:rsid w:val="005C0D6E"/>
    <w:rsid w:val="005C2BA5"/>
    <w:rsid w:val="005C7C67"/>
    <w:rsid w:val="00606B76"/>
    <w:rsid w:val="00615477"/>
    <w:rsid w:val="00621539"/>
    <w:rsid w:val="006367A8"/>
    <w:rsid w:val="00645615"/>
    <w:rsid w:val="00647443"/>
    <w:rsid w:val="0066608D"/>
    <w:rsid w:val="00675C0C"/>
    <w:rsid w:val="00684979"/>
    <w:rsid w:val="006A7A21"/>
    <w:rsid w:val="006C24B7"/>
    <w:rsid w:val="006C58E0"/>
    <w:rsid w:val="006C5C6F"/>
    <w:rsid w:val="006D5A40"/>
    <w:rsid w:val="006F02E9"/>
    <w:rsid w:val="006F78EC"/>
    <w:rsid w:val="00701B2C"/>
    <w:rsid w:val="007116D8"/>
    <w:rsid w:val="00717655"/>
    <w:rsid w:val="00731C5A"/>
    <w:rsid w:val="00733EAB"/>
    <w:rsid w:val="007420D2"/>
    <w:rsid w:val="00785500"/>
    <w:rsid w:val="00785EF4"/>
    <w:rsid w:val="007A3CED"/>
    <w:rsid w:val="007A4DF3"/>
    <w:rsid w:val="007A73BF"/>
    <w:rsid w:val="007B2AFB"/>
    <w:rsid w:val="007C0253"/>
    <w:rsid w:val="007C351D"/>
    <w:rsid w:val="007E389F"/>
    <w:rsid w:val="007F2B91"/>
    <w:rsid w:val="007F7A4D"/>
    <w:rsid w:val="008177E7"/>
    <w:rsid w:val="008237BF"/>
    <w:rsid w:val="00830A66"/>
    <w:rsid w:val="008319C2"/>
    <w:rsid w:val="00837DD4"/>
    <w:rsid w:val="0084147C"/>
    <w:rsid w:val="00854387"/>
    <w:rsid w:val="00861F99"/>
    <w:rsid w:val="00866017"/>
    <w:rsid w:val="00867BAF"/>
    <w:rsid w:val="00871A3B"/>
    <w:rsid w:val="008921A7"/>
    <w:rsid w:val="008A5E6B"/>
    <w:rsid w:val="008C0C43"/>
    <w:rsid w:val="008C2C11"/>
    <w:rsid w:val="008C7E61"/>
    <w:rsid w:val="008D4D34"/>
    <w:rsid w:val="008E1D85"/>
    <w:rsid w:val="008E3731"/>
    <w:rsid w:val="008F00FB"/>
    <w:rsid w:val="008F7229"/>
    <w:rsid w:val="00902936"/>
    <w:rsid w:val="00912EB2"/>
    <w:rsid w:val="009132A0"/>
    <w:rsid w:val="00915B5C"/>
    <w:rsid w:val="00930159"/>
    <w:rsid w:val="00943FFF"/>
    <w:rsid w:val="00946303"/>
    <w:rsid w:val="00957BF9"/>
    <w:rsid w:val="0097113B"/>
    <w:rsid w:val="00972555"/>
    <w:rsid w:val="00973D67"/>
    <w:rsid w:val="009743D8"/>
    <w:rsid w:val="009777F4"/>
    <w:rsid w:val="009870DB"/>
    <w:rsid w:val="00987258"/>
    <w:rsid w:val="009A0A9F"/>
    <w:rsid w:val="009A5FB4"/>
    <w:rsid w:val="009A6A6A"/>
    <w:rsid w:val="009B3D4C"/>
    <w:rsid w:val="009C1BE5"/>
    <w:rsid w:val="009C7C83"/>
    <w:rsid w:val="009D3DBC"/>
    <w:rsid w:val="009E04C6"/>
    <w:rsid w:val="009F74F0"/>
    <w:rsid w:val="00A06617"/>
    <w:rsid w:val="00A23765"/>
    <w:rsid w:val="00A24310"/>
    <w:rsid w:val="00A331D5"/>
    <w:rsid w:val="00A3677A"/>
    <w:rsid w:val="00A36DF8"/>
    <w:rsid w:val="00A435DB"/>
    <w:rsid w:val="00A5099A"/>
    <w:rsid w:val="00A5332C"/>
    <w:rsid w:val="00A65363"/>
    <w:rsid w:val="00A85B0A"/>
    <w:rsid w:val="00A86BD7"/>
    <w:rsid w:val="00AA7D08"/>
    <w:rsid w:val="00AC343A"/>
    <w:rsid w:val="00AC4E1E"/>
    <w:rsid w:val="00AC5CC3"/>
    <w:rsid w:val="00AD0E25"/>
    <w:rsid w:val="00AD0F05"/>
    <w:rsid w:val="00AE46CC"/>
    <w:rsid w:val="00AE68AE"/>
    <w:rsid w:val="00B05FFE"/>
    <w:rsid w:val="00B07797"/>
    <w:rsid w:val="00B15A49"/>
    <w:rsid w:val="00B1772A"/>
    <w:rsid w:val="00B2372E"/>
    <w:rsid w:val="00B37012"/>
    <w:rsid w:val="00B40009"/>
    <w:rsid w:val="00B411B6"/>
    <w:rsid w:val="00B60DD7"/>
    <w:rsid w:val="00B90D23"/>
    <w:rsid w:val="00BB1C23"/>
    <w:rsid w:val="00BB7A89"/>
    <w:rsid w:val="00BC3264"/>
    <w:rsid w:val="00BD6668"/>
    <w:rsid w:val="00BD7339"/>
    <w:rsid w:val="00BE06F0"/>
    <w:rsid w:val="00BE2B2C"/>
    <w:rsid w:val="00BE53B5"/>
    <w:rsid w:val="00BE61EE"/>
    <w:rsid w:val="00C00857"/>
    <w:rsid w:val="00C0176E"/>
    <w:rsid w:val="00C12880"/>
    <w:rsid w:val="00C22615"/>
    <w:rsid w:val="00C26761"/>
    <w:rsid w:val="00C26A6C"/>
    <w:rsid w:val="00C31B63"/>
    <w:rsid w:val="00C3480F"/>
    <w:rsid w:val="00C378F2"/>
    <w:rsid w:val="00C4051E"/>
    <w:rsid w:val="00C47F79"/>
    <w:rsid w:val="00C54F1D"/>
    <w:rsid w:val="00C9045E"/>
    <w:rsid w:val="00C962D3"/>
    <w:rsid w:val="00CB60ED"/>
    <w:rsid w:val="00CD3BCF"/>
    <w:rsid w:val="00CD5008"/>
    <w:rsid w:val="00D1331B"/>
    <w:rsid w:val="00D3109E"/>
    <w:rsid w:val="00D43B27"/>
    <w:rsid w:val="00D63889"/>
    <w:rsid w:val="00D7558B"/>
    <w:rsid w:val="00D8635B"/>
    <w:rsid w:val="00D91CBE"/>
    <w:rsid w:val="00D96A78"/>
    <w:rsid w:val="00DB4245"/>
    <w:rsid w:val="00DD0B3E"/>
    <w:rsid w:val="00DF2A86"/>
    <w:rsid w:val="00E057CF"/>
    <w:rsid w:val="00E157A4"/>
    <w:rsid w:val="00E25101"/>
    <w:rsid w:val="00E32F53"/>
    <w:rsid w:val="00E41163"/>
    <w:rsid w:val="00E426BD"/>
    <w:rsid w:val="00E428D7"/>
    <w:rsid w:val="00E42B3F"/>
    <w:rsid w:val="00E43AD7"/>
    <w:rsid w:val="00E47D7C"/>
    <w:rsid w:val="00E550E1"/>
    <w:rsid w:val="00E5654F"/>
    <w:rsid w:val="00E61467"/>
    <w:rsid w:val="00E628BA"/>
    <w:rsid w:val="00E70571"/>
    <w:rsid w:val="00E7163A"/>
    <w:rsid w:val="00E734E2"/>
    <w:rsid w:val="00E836CC"/>
    <w:rsid w:val="00E84297"/>
    <w:rsid w:val="00E94BD3"/>
    <w:rsid w:val="00E96C04"/>
    <w:rsid w:val="00EA024A"/>
    <w:rsid w:val="00EA0E8E"/>
    <w:rsid w:val="00EA4102"/>
    <w:rsid w:val="00EF4E25"/>
    <w:rsid w:val="00F327ED"/>
    <w:rsid w:val="00F3412E"/>
    <w:rsid w:val="00F46C1A"/>
    <w:rsid w:val="00F47B9F"/>
    <w:rsid w:val="00F7293F"/>
    <w:rsid w:val="00F90963"/>
    <w:rsid w:val="00F92BA7"/>
    <w:rsid w:val="00F94F46"/>
    <w:rsid w:val="00FB72D8"/>
    <w:rsid w:val="00FD50D9"/>
    <w:rsid w:val="00FE5888"/>
    <w:rsid w:val="00FF4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FC31DAC"/>
  <w15:docId w15:val="{0E1B4012-3E67-4B51-A818-BAB1C473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CommentReference">
    <w:name w:val="annotation reference"/>
    <w:basedOn w:val="DefaultParagraphFont"/>
    <w:semiHidden/>
    <w:rsid w:val="006F02E9"/>
    <w:rPr>
      <w:sz w:val="16"/>
      <w:szCs w:val="16"/>
    </w:rPr>
  </w:style>
  <w:style w:type="paragraph" w:styleId="CommentText">
    <w:name w:val="annotation text"/>
    <w:basedOn w:val="Normal"/>
    <w:link w:val="CommentTextChar"/>
    <w:semiHidden/>
    <w:rsid w:val="006F02E9"/>
    <w:pPr>
      <w:spacing w:after="0" w:line="240" w:lineRule="auto"/>
    </w:pPr>
    <w:rPr>
      <w:rFonts w:eastAsia="Times New Roman"/>
      <w:szCs w:val="20"/>
    </w:rPr>
  </w:style>
  <w:style w:type="character" w:customStyle="1" w:styleId="CommentTextChar">
    <w:name w:val="Comment Text Char"/>
    <w:basedOn w:val="DefaultParagraphFont"/>
    <w:link w:val="CommentText"/>
    <w:semiHidden/>
    <w:rsid w:val="006F02E9"/>
    <w:rPr>
      <w:rFonts w:ascii="Arial" w:eastAsia="Times New Roman" w:hAnsi="Arial" w:cs="Times New Roman"/>
      <w:sz w:val="20"/>
      <w:szCs w:val="20"/>
    </w:rPr>
  </w:style>
  <w:style w:type="paragraph" w:customStyle="1" w:styleId="Default">
    <w:name w:val="Default"/>
    <w:rsid w:val="006F02E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C31B63"/>
    <w:pPr>
      <w:spacing w:after="200"/>
    </w:pPr>
    <w:rPr>
      <w:rFonts w:eastAsia="Calibri"/>
      <w:b/>
      <w:bCs/>
    </w:rPr>
  </w:style>
  <w:style w:type="character" w:customStyle="1" w:styleId="CommentSubjectChar">
    <w:name w:val="Comment Subject Char"/>
    <w:basedOn w:val="CommentTextChar"/>
    <w:link w:val="CommentSubject"/>
    <w:uiPriority w:val="99"/>
    <w:semiHidden/>
    <w:rsid w:val="00C31B63"/>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E47D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mi.nhs.uk/ukmi/about/default.asp?pageRef=1" TargetMode="External"/><Relationship Id="rId13" Type="http://schemas.openxmlformats.org/officeDocument/2006/relationships/hyperlink" Target="https://www.medicines.org.uk/emc/medicine/1070" TargetMode="External"/><Relationship Id="rId18" Type="http://schemas.openxmlformats.org/officeDocument/2006/relationships/hyperlink" Target="https://www.medicines.org.uk/emc/product/71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371/journal.pone.0021447" TargetMode="External"/><Relationship Id="rId7" Type="http://schemas.openxmlformats.org/officeDocument/2006/relationships/endnotes" Target="endnotes.xml"/><Relationship Id="rId12" Type="http://schemas.openxmlformats.org/officeDocument/2006/relationships/hyperlink" Target="https://www.medicines.org.uk/emc/medicine/504" TargetMode="External"/><Relationship Id="rId17" Type="http://schemas.openxmlformats.org/officeDocument/2006/relationships/hyperlink" Target="https://www.medicines.org.uk/emc/medicine/1569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icines.org.uk/emc/medicine/31218" TargetMode="External"/><Relationship Id="rId20" Type="http://schemas.openxmlformats.org/officeDocument/2006/relationships/hyperlink" Target="http://www.medicinescomple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medicine/2711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icines.org.uk/emc/medicine/22124" TargetMode="External"/><Relationship Id="rId23" Type="http://schemas.openxmlformats.org/officeDocument/2006/relationships/header" Target="header1.xml"/><Relationship Id="rId10" Type="http://schemas.openxmlformats.org/officeDocument/2006/relationships/hyperlink" Target="https://www.medicines.org.uk/emc/medicine/2057" TargetMode="External"/><Relationship Id="rId19" Type="http://schemas.openxmlformats.org/officeDocument/2006/relationships/hyperlink" Target="https://www.medicines.org.uk/emc/product/1269/" TargetMode="External"/><Relationship Id="rId4" Type="http://schemas.openxmlformats.org/officeDocument/2006/relationships/settings" Target="settings.xml"/><Relationship Id="rId9" Type="http://schemas.openxmlformats.org/officeDocument/2006/relationships/hyperlink" Target="https://www.sps.nhs.uk/articles/about-ukmi-medicines-qas/" TargetMode="External"/><Relationship Id="rId14" Type="http://schemas.openxmlformats.org/officeDocument/2006/relationships/hyperlink" Target="https://www.medicines.org.uk/emc/medicine/27012" TargetMode="External"/><Relationship Id="rId22" Type="http://schemas.openxmlformats.org/officeDocument/2006/relationships/hyperlink" Target="http://www.nice.org.uk/%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5EDD-46E5-4F92-8846-7B4641B1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Joshua</dc:creator>
  <cp:keywords/>
  <dc:description/>
  <cp:lastModifiedBy>Gail Woodland (Cardiff and Vale UHB - Pharmacy )</cp:lastModifiedBy>
  <cp:revision>2</cp:revision>
  <cp:lastPrinted>2019-08-27T10:53:00Z</cp:lastPrinted>
  <dcterms:created xsi:type="dcterms:W3CDTF">2019-10-17T11:00:00Z</dcterms:created>
  <dcterms:modified xsi:type="dcterms:W3CDTF">2019-10-17T11:00:00Z</dcterms:modified>
</cp:coreProperties>
</file>