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AB324" w14:textId="77777777" w:rsidR="00427F92" w:rsidRPr="004F24C2" w:rsidRDefault="001051E1" w:rsidP="00427F92">
      <w:pPr>
        <w:pStyle w:val="Heading1"/>
      </w:pPr>
      <w:r w:rsidRPr="001051E1">
        <w:t>What is the equivalent dose of oral prednisolone to intravenous (IV) hydrocortisone?</w:t>
      </w:r>
      <w:r w:rsidRPr="004F24C2">
        <w:t xml:space="preserve"> </w:t>
      </w:r>
    </w:p>
    <w:p w14:paraId="0B27257A" w14:textId="77777777" w:rsidR="00427F92" w:rsidRPr="00B107C7" w:rsidRDefault="00427F92" w:rsidP="00427F92">
      <w:pPr>
        <w:pStyle w:val="NoSpacing"/>
        <w:jc w:val="center"/>
        <w:rPr>
          <w:szCs w:val="20"/>
          <w:lang w:val="en-US"/>
        </w:rPr>
      </w:pPr>
      <w:r w:rsidRPr="00B00B12">
        <w:rPr>
          <w:lang w:val="en-US"/>
        </w:rPr>
        <w:br/>
      </w:r>
      <w:r w:rsidRPr="00B107C7">
        <w:rPr>
          <w:szCs w:val="20"/>
          <w:lang w:val="en-US"/>
        </w:rPr>
        <w:t>Prepared by UK Medicines Information (</w:t>
      </w:r>
      <w:hyperlink r:id="rId7" w:history="1">
        <w:r w:rsidRPr="00B107C7">
          <w:rPr>
            <w:color w:val="0000FF"/>
            <w:szCs w:val="20"/>
            <w:u w:val="single"/>
            <w:lang w:val="en-US"/>
          </w:rPr>
          <w:t>UKMi</w:t>
        </w:r>
      </w:hyperlink>
      <w:r w:rsidRPr="00B107C7">
        <w:rPr>
          <w:szCs w:val="20"/>
          <w:lang w:val="en-US"/>
        </w:rPr>
        <w:t>) pharmacists for NHS healthcare professionals</w:t>
      </w:r>
    </w:p>
    <w:p w14:paraId="77D5720A" w14:textId="77777777" w:rsidR="00427F92" w:rsidRPr="00B107C7" w:rsidRDefault="00427F92" w:rsidP="00427F92">
      <w:pPr>
        <w:pStyle w:val="NoSpacing"/>
        <w:jc w:val="center"/>
        <w:rPr>
          <w:rFonts w:eastAsia="Times New Roman"/>
          <w:szCs w:val="20"/>
          <w:lang w:val="en-US"/>
        </w:rPr>
      </w:pPr>
      <w:r w:rsidRPr="00B107C7">
        <w:rPr>
          <w:szCs w:val="20"/>
        </w:rPr>
        <w:t xml:space="preserve">Before using this Q&amp;A, read the disclaimer at </w:t>
      </w:r>
      <w:hyperlink r:id="rId8" w:history="1">
        <w:r w:rsidRPr="00B107C7">
          <w:rPr>
            <w:rStyle w:val="Hyperlink"/>
            <w:rFonts w:cs="Arial"/>
            <w:i/>
            <w:iCs/>
            <w:sz w:val="18"/>
            <w:szCs w:val="18"/>
          </w:rPr>
          <w:t>https://www.sps.nhs.uk/articles/about-ukmi-medicines-qas/</w:t>
        </w:r>
      </w:hyperlink>
    </w:p>
    <w:p w14:paraId="5284D6BA" w14:textId="6323C273" w:rsidR="008828B5" w:rsidRPr="00B107C7" w:rsidRDefault="00427F92" w:rsidP="008828B5">
      <w:pPr>
        <w:pStyle w:val="NoSpacing"/>
        <w:jc w:val="center"/>
        <w:rPr>
          <w:szCs w:val="20"/>
          <w:lang w:val="en-US"/>
        </w:rPr>
      </w:pPr>
      <w:r w:rsidRPr="00B107C7">
        <w:rPr>
          <w:szCs w:val="20"/>
          <w:lang w:val="en-US"/>
        </w:rPr>
        <w:t>Date prepared:</w:t>
      </w:r>
      <w:r w:rsidR="001051E1">
        <w:rPr>
          <w:szCs w:val="20"/>
          <w:lang w:val="en-US"/>
        </w:rPr>
        <w:t xml:space="preserve"> </w:t>
      </w:r>
      <w:r w:rsidR="00522328">
        <w:rPr>
          <w:szCs w:val="20"/>
          <w:lang w:val="en-US"/>
        </w:rPr>
        <w:t>1</w:t>
      </w:r>
      <w:r w:rsidR="00522328" w:rsidRPr="00522328">
        <w:rPr>
          <w:szCs w:val="20"/>
          <w:vertAlign w:val="superscript"/>
          <w:lang w:val="en-US"/>
        </w:rPr>
        <w:t>st</w:t>
      </w:r>
      <w:r w:rsidR="00522328">
        <w:rPr>
          <w:szCs w:val="20"/>
          <w:lang w:val="en-US"/>
        </w:rPr>
        <w:t xml:space="preserve"> May 2020</w:t>
      </w:r>
    </w:p>
    <w:p w14:paraId="4D2E8964" w14:textId="77777777" w:rsidR="00427F92" w:rsidRPr="00B00B12" w:rsidRDefault="00427F92" w:rsidP="00427F92">
      <w:pPr>
        <w:spacing w:after="0" w:line="240" w:lineRule="auto"/>
        <w:rPr>
          <w:rFonts w:eastAsia="Times New Roman" w:cs="Arial"/>
          <w:szCs w:val="20"/>
          <w:lang w:val="en-US"/>
        </w:rPr>
      </w:pPr>
      <w:r w:rsidRPr="00B00B12">
        <w:rPr>
          <w:rFonts w:eastAsia="Times New Roman" w:cs="Arial"/>
          <w:szCs w:val="20"/>
          <w:lang w:val="en-US"/>
        </w:rPr>
        <w:t xml:space="preserve"> </w:t>
      </w:r>
    </w:p>
    <w:p w14:paraId="0D59A9C8" w14:textId="77777777" w:rsidR="00427F92" w:rsidRDefault="00427F92" w:rsidP="00427F92">
      <w:pPr>
        <w:pStyle w:val="Heading2"/>
      </w:pPr>
      <w:r w:rsidRPr="00B00B12">
        <w:t>Background</w:t>
      </w:r>
      <w:r>
        <w:t xml:space="preserve"> </w:t>
      </w:r>
    </w:p>
    <w:p w14:paraId="43D31913" w14:textId="77777777" w:rsidR="001051E1" w:rsidRDefault="001051E1" w:rsidP="001051E1">
      <w:pPr>
        <w:jc w:val="both"/>
        <w:rPr>
          <w:rFonts w:cs="Arial"/>
        </w:rPr>
      </w:pPr>
      <w:r w:rsidRPr="008B1D35">
        <w:rPr>
          <w:rFonts w:cs="Arial"/>
        </w:rPr>
        <w:t>Pharmacological doses of glucocorticoids are used mainly for their potent anti-inflammatory and immunosuppressive effects</w:t>
      </w:r>
      <w:r>
        <w:rPr>
          <w:rFonts w:cs="Arial"/>
        </w:rPr>
        <w:t xml:space="preserve"> (1)</w:t>
      </w:r>
      <w:r w:rsidRPr="008B1D35">
        <w:rPr>
          <w:rFonts w:cs="Arial"/>
        </w:rPr>
        <w:t>. For both hydrocortisone and prednisolone, glucocorticoid activity is more pronounced than mineralocorticoid activity, but the mineralocorticoid activity of hydrocortisone is high relative to that of prednisolone and may result in fluid retention</w:t>
      </w:r>
      <w:r>
        <w:rPr>
          <w:rFonts w:cs="Arial"/>
        </w:rPr>
        <w:t xml:space="preserve"> (</w:t>
      </w:r>
      <w:r w:rsidRPr="008B1D35">
        <w:rPr>
          <w:rFonts w:cs="Arial"/>
        </w:rPr>
        <w:t>2</w:t>
      </w:r>
      <w:r>
        <w:rPr>
          <w:rFonts w:cs="Arial"/>
        </w:rPr>
        <w:t>).</w:t>
      </w:r>
      <w:r w:rsidRPr="008B1D35">
        <w:rPr>
          <w:rFonts w:cs="Arial"/>
        </w:rPr>
        <w:t xml:space="preserve"> Hydrocortisone is therefore unsuitable for long-term disease suppression, but can be used to compensate for a diminished adrenocortical response in patients who have been receiving long-term corticosteroid treatment, in whom oral administration is not possible, for example, in patients undergoing surgical procedures</w:t>
      </w:r>
      <w:r>
        <w:rPr>
          <w:rFonts w:cs="Arial"/>
        </w:rPr>
        <w:t xml:space="preserve"> (1)</w:t>
      </w:r>
      <w:r w:rsidRPr="008B1D35">
        <w:rPr>
          <w:rFonts w:cs="Arial"/>
        </w:rPr>
        <w:t>.</w:t>
      </w:r>
    </w:p>
    <w:p w14:paraId="1475C951" w14:textId="77777777" w:rsidR="00427F92" w:rsidRPr="00B00B12" w:rsidRDefault="00427F92" w:rsidP="00427F92">
      <w:pPr>
        <w:spacing w:after="0" w:line="240" w:lineRule="auto"/>
        <w:rPr>
          <w:rFonts w:eastAsia="Times New Roman" w:cs="Arial"/>
          <w:szCs w:val="20"/>
          <w:lang w:val="en-US"/>
        </w:rPr>
      </w:pPr>
    </w:p>
    <w:p w14:paraId="05B8F2FC" w14:textId="77777777" w:rsidR="00427F92" w:rsidRDefault="00427F92" w:rsidP="00427F92">
      <w:pPr>
        <w:pStyle w:val="Heading2"/>
      </w:pPr>
      <w:r>
        <w:t>Answer</w:t>
      </w:r>
    </w:p>
    <w:p w14:paraId="234E56C2" w14:textId="77777777" w:rsidR="001051E1" w:rsidRPr="008B1D35" w:rsidRDefault="001051E1" w:rsidP="001051E1">
      <w:pPr>
        <w:jc w:val="both"/>
        <w:rPr>
          <w:rFonts w:cs="Arial"/>
        </w:rPr>
      </w:pPr>
      <w:r w:rsidRPr="008B1D35">
        <w:rPr>
          <w:rFonts w:cs="Arial"/>
        </w:rPr>
        <w:t>The British National Formulary (BNF) includes a table on equivalent anti-inflammatory doses of glucocorticoids</w:t>
      </w:r>
      <w:r>
        <w:rPr>
          <w:rFonts w:cs="Arial"/>
        </w:rPr>
        <w:t xml:space="preserve"> (2)</w:t>
      </w:r>
      <w:r w:rsidRPr="008B1D35">
        <w:rPr>
          <w:rFonts w:cs="Arial"/>
        </w:rPr>
        <w:t>. It does not take account of mineralocorticoid effects nor does it take account of variations in the duration of action</w:t>
      </w:r>
      <w:r>
        <w:rPr>
          <w:rFonts w:cs="Arial"/>
        </w:rPr>
        <w:t xml:space="preserve"> (2)</w:t>
      </w:r>
      <w:r w:rsidRPr="008B1D35">
        <w:rPr>
          <w:rFonts w:cs="Arial"/>
        </w:rPr>
        <w:t xml:space="preserve">.  </w:t>
      </w:r>
    </w:p>
    <w:p w14:paraId="0F632693" w14:textId="77777777" w:rsidR="001051E1" w:rsidRPr="008B1D35" w:rsidRDefault="001051E1" w:rsidP="001051E1">
      <w:pPr>
        <w:jc w:val="both"/>
        <w:rPr>
          <w:rFonts w:cs="Arial"/>
        </w:rPr>
      </w:pPr>
      <w:r w:rsidRPr="008B1D35">
        <w:rPr>
          <w:rFonts w:cs="Arial"/>
        </w:rPr>
        <w:t>From the literature, prednisolone 5mg is approximately equivalent to hydrocortisone 20mg in terms of equivalent anti-inflammatory dose</w:t>
      </w:r>
      <w:r>
        <w:rPr>
          <w:rFonts w:cs="Arial"/>
        </w:rPr>
        <w:t xml:space="preserve"> (1-7)</w:t>
      </w:r>
      <w:r w:rsidRPr="008B1D35">
        <w:rPr>
          <w:rFonts w:cs="Arial"/>
        </w:rPr>
        <w:t>.</w:t>
      </w:r>
    </w:p>
    <w:p w14:paraId="69CB7D90" w14:textId="77777777" w:rsidR="001051E1" w:rsidRPr="008B1D35" w:rsidRDefault="001051E1" w:rsidP="001051E1">
      <w:pPr>
        <w:jc w:val="both"/>
        <w:rPr>
          <w:rFonts w:cs="Arial"/>
        </w:rPr>
      </w:pPr>
      <w:r w:rsidRPr="008B1D35">
        <w:rPr>
          <w:rFonts w:cs="Arial"/>
        </w:rPr>
        <w:t>As hydrocortisone tablets have a high bioavailability</w:t>
      </w:r>
      <w:r>
        <w:rPr>
          <w:rFonts w:cs="Arial"/>
        </w:rPr>
        <w:t xml:space="preserve"> (</w:t>
      </w:r>
      <w:r w:rsidR="00962148">
        <w:rPr>
          <w:rFonts w:cs="Arial"/>
        </w:rPr>
        <w:t>6</w:t>
      </w:r>
      <w:r>
        <w:rPr>
          <w:rFonts w:cs="Arial"/>
        </w:rPr>
        <w:t>-</w:t>
      </w:r>
      <w:r w:rsidR="00962148">
        <w:rPr>
          <w:rFonts w:cs="Arial"/>
        </w:rPr>
        <w:t>9</w:t>
      </w:r>
      <w:r>
        <w:rPr>
          <w:rFonts w:cs="Arial"/>
        </w:rPr>
        <w:t>)</w:t>
      </w:r>
      <w:r w:rsidRPr="008B1D35">
        <w:rPr>
          <w:rFonts w:cs="Arial"/>
        </w:rPr>
        <w:t>, the oral and intravenous (IV) doses of hydrocortisone tend to be the same.  Therefore for every 5mg of oral prednisolone, 20mg of IV hydrocortisone, can be given.</w:t>
      </w:r>
    </w:p>
    <w:p w14:paraId="3E9CE4F0" w14:textId="77777777" w:rsidR="001051E1" w:rsidRPr="008B1D35" w:rsidRDefault="001051E1" w:rsidP="001051E1">
      <w:pPr>
        <w:jc w:val="both"/>
        <w:rPr>
          <w:rFonts w:cs="Arial"/>
        </w:rPr>
      </w:pPr>
      <w:r w:rsidRPr="008B1D35">
        <w:rPr>
          <w:rFonts w:cs="Arial"/>
        </w:rPr>
        <w:t>The biological half-life of prednisolone is 12 to 36 hours</w:t>
      </w:r>
      <w:r>
        <w:rPr>
          <w:rFonts w:cs="Arial"/>
        </w:rPr>
        <w:t xml:space="preserve"> (</w:t>
      </w:r>
      <w:r w:rsidR="001358A5">
        <w:rPr>
          <w:rFonts w:cs="Arial"/>
        </w:rPr>
        <w:t>4</w:t>
      </w:r>
      <w:r>
        <w:rPr>
          <w:rFonts w:cs="Arial"/>
        </w:rPr>
        <w:t>,</w:t>
      </w:r>
      <w:r w:rsidR="001358A5">
        <w:rPr>
          <w:rFonts w:cs="Arial"/>
        </w:rPr>
        <w:t>6</w:t>
      </w:r>
      <w:r>
        <w:rPr>
          <w:rFonts w:cs="Arial"/>
        </w:rPr>
        <w:t>)</w:t>
      </w:r>
      <w:r w:rsidRPr="008B1D35">
        <w:rPr>
          <w:rFonts w:cs="Arial"/>
        </w:rPr>
        <w:t>, which allows once-daily dosing.  Hydrocortisone has a shorter biological half-life ranging from 8 to 12 hours</w:t>
      </w:r>
      <w:r>
        <w:rPr>
          <w:rFonts w:cs="Arial"/>
        </w:rPr>
        <w:t xml:space="preserve"> (</w:t>
      </w:r>
      <w:r w:rsidR="001358A5">
        <w:rPr>
          <w:rFonts w:cs="Arial"/>
        </w:rPr>
        <w:t>4</w:t>
      </w:r>
      <w:r>
        <w:rPr>
          <w:rFonts w:cs="Arial"/>
        </w:rPr>
        <w:t>,</w:t>
      </w:r>
      <w:r w:rsidR="001358A5">
        <w:rPr>
          <w:rFonts w:cs="Arial"/>
        </w:rPr>
        <w:t>6</w:t>
      </w:r>
      <w:r>
        <w:rPr>
          <w:rFonts w:cs="Arial"/>
        </w:rPr>
        <w:t>)</w:t>
      </w:r>
      <w:r w:rsidRPr="008B1D35">
        <w:rPr>
          <w:rFonts w:cs="Arial"/>
        </w:rPr>
        <w:t>.  Consequently the dose of hydrocortisone is usually repeated three to four times in 24 hours</w:t>
      </w:r>
      <w:r>
        <w:rPr>
          <w:rFonts w:cs="Arial"/>
        </w:rPr>
        <w:t xml:space="preserve"> (</w:t>
      </w:r>
      <w:r w:rsidR="00DE2D5E">
        <w:rPr>
          <w:rFonts w:cs="Arial"/>
        </w:rPr>
        <w:t>7</w:t>
      </w:r>
      <w:r>
        <w:rPr>
          <w:rFonts w:cs="Arial"/>
        </w:rPr>
        <w:t>)</w:t>
      </w:r>
      <w:r w:rsidRPr="008B1D35">
        <w:rPr>
          <w:rFonts w:cs="Arial"/>
        </w:rPr>
        <w:t>.  If the equivalent anti-inflammatory dose reported for these steroids is based on the total daily dose, as interpreted by one reference found in the literature</w:t>
      </w:r>
      <w:r>
        <w:rPr>
          <w:rFonts w:cs="Arial"/>
        </w:rPr>
        <w:t xml:space="preserve"> (10)</w:t>
      </w:r>
      <w:r w:rsidRPr="008B1D35">
        <w:rPr>
          <w:rFonts w:cs="Arial"/>
        </w:rPr>
        <w:t>, then the daily dose of prednisolone should be converted to the daily dose of hydrocortisone and either be divided over three to four doses per day or be given as a continuous 24-hour infusion. Patients should be monitored accordingly and further dosage adjustments made as necessary.</w:t>
      </w:r>
    </w:p>
    <w:p w14:paraId="2407AD0C" w14:textId="77777777" w:rsidR="001051E1" w:rsidRPr="008B1D35" w:rsidRDefault="001051E1" w:rsidP="001051E1">
      <w:pPr>
        <w:jc w:val="both"/>
        <w:rPr>
          <w:rFonts w:cs="Arial"/>
        </w:rPr>
      </w:pPr>
      <w:r w:rsidRPr="008B1D35">
        <w:rPr>
          <w:rFonts w:cs="Arial"/>
        </w:rPr>
        <w:t xml:space="preserve"> It is currently recommended that patients with adrenal suppression receive corticosteroid supplementation during surgery</w:t>
      </w:r>
      <w:r>
        <w:rPr>
          <w:rFonts w:cs="Arial"/>
        </w:rPr>
        <w:t xml:space="preserve"> (2)</w:t>
      </w:r>
      <w:r w:rsidRPr="008B1D35">
        <w:rPr>
          <w:rFonts w:cs="Arial"/>
        </w:rPr>
        <w:t>.</w:t>
      </w:r>
      <w:r w:rsidRPr="008B1D35">
        <w:rPr>
          <w:rFonts w:cs="Arial"/>
          <w:vertAlign w:val="superscript"/>
        </w:rPr>
        <w:t xml:space="preserve"> </w:t>
      </w:r>
      <w:r w:rsidRPr="008B1D35">
        <w:rPr>
          <w:rFonts w:cs="Arial"/>
        </w:rPr>
        <w:t>Peri-operative glucocorticoid administration in these patients should aim to treat the underlying condition and to imitate the normal response to surgery</w:t>
      </w:r>
      <w:r>
        <w:rPr>
          <w:rFonts w:cs="Arial"/>
        </w:rPr>
        <w:t xml:space="preserve"> (10,11)</w:t>
      </w:r>
      <w:r w:rsidRPr="008B1D35">
        <w:rPr>
          <w:rFonts w:cs="Arial"/>
        </w:rPr>
        <w:t xml:space="preserve">. Therefore the peri-operative dose of hydrocortisone required may be higher than the equivalent prednisolone dose usually taken by the patient. </w:t>
      </w:r>
    </w:p>
    <w:p w14:paraId="55866160" w14:textId="77777777" w:rsidR="001051E1" w:rsidRDefault="001051E1" w:rsidP="001051E1">
      <w:pPr>
        <w:jc w:val="both"/>
        <w:rPr>
          <w:rFonts w:cs="Arial"/>
        </w:rPr>
      </w:pPr>
      <w:r w:rsidRPr="008B1D35">
        <w:rPr>
          <w:rFonts w:cs="Arial"/>
        </w:rPr>
        <w:t>The BNF contains advice on corticosteroid cover for operations</w:t>
      </w:r>
      <w:r>
        <w:rPr>
          <w:rFonts w:cs="Arial"/>
        </w:rPr>
        <w:t xml:space="preserve"> (2)</w:t>
      </w:r>
      <w:r w:rsidRPr="008B1D35">
        <w:rPr>
          <w:rFonts w:cs="Arial"/>
        </w:rPr>
        <w:t xml:space="preserve">. Patients who have taken more than 10mg oral prednisolone daily within 3 months of surgery </w:t>
      </w:r>
      <w:r>
        <w:rPr>
          <w:rFonts w:cs="Arial"/>
        </w:rPr>
        <w:t>may</w:t>
      </w:r>
      <w:r w:rsidRPr="008B1D35">
        <w:rPr>
          <w:rFonts w:cs="Arial"/>
        </w:rPr>
        <w:t xml:space="preserve"> require cover with parenteral hydrocortisone</w:t>
      </w:r>
      <w:r>
        <w:rPr>
          <w:rFonts w:cs="Arial"/>
        </w:rPr>
        <w:t xml:space="preserve"> (2)</w:t>
      </w:r>
      <w:r w:rsidRPr="008B1D35">
        <w:rPr>
          <w:rFonts w:cs="Arial"/>
        </w:rPr>
        <w:t>. Further details are provided in the BNF</w:t>
      </w:r>
      <w:r>
        <w:rPr>
          <w:rFonts w:cs="Arial"/>
        </w:rPr>
        <w:t xml:space="preserve"> (2)</w:t>
      </w:r>
      <w:r w:rsidRPr="008B1D35">
        <w:rPr>
          <w:rFonts w:cs="Arial"/>
        </w:rPr>
        <w:t>.</w:t>
      </w:r>
      <w:r>
        <w:rPr>
          <w:rFonts w:cs="Arial"/>
        </w:rPr>
        <w:t xml:space="preserve"> </w:t>
      </w:r>
    </w:p>
    <w:p w14:paraId="1F528CAC" w14:textId="77777777" w:rsidR="001051E1" w:rsidRDefault="001051E1" w:rsidP="001051E1">
      <w:pPr>
        <w:jc w:val="both"/>
        <w:rPr>
          <w:rFonts w:cs="Arial"/>
        </w:rPr>
      </w:pPr>
      <w:r>
        <w:rPr>
          <w:rFonts w:cs="Arial"/>
        </w:rPr>
        <w:t>Readers may also be interested in the UKMi Q&amp;A</w:t>
      </w:r>
      <w:r w:rsidR="006630EC">
        <w:rPr>
          <w:rFonts w:cs="Arial"/>
        </w:rPr>
        <w:t xml:space="preserve"> ‘What steroid supplementation is required for a patient with primary adrenal insufficiency undergoing a dental procedure?’ and The Addison’s Disease Self-Help Group’s recommendations for steroid dose adjustments during surgery (12).</w:t>
      </w:r>
    </w:p>
    <w:p w14:paraId="3CEB726F" w14:textId="77777777" w:rsidR="005171FD" w:rsidRDefault="005171FD" w:rsidP="00427F92">
      <w:pPr>
        <w:pStyle w:val="Heading2"/>
        <w:rPr>
          <w:rFonts w:cs="Arial"/>
        </w:rPr>
      </w:pPr>
    </w:p>
    <w:p w14:paraId="2F91DEE6" w14:textId="77777777" w:rsidR="00427F92" w:rsidRDefault="00427F92" w:rsidP="00427F92">
      <w:pPr>
        <w:pStyle w:val="Heading2"/>
        <w:rPr>
          <w:rFonts w:cs="Arial"/>
        </w:rPr>
      </w:pPr>
      <w:r w:rsidRPr="009752DF">
        <w:rPr>
          <w:rFonts w:cs="Arial"/>
        </w:rPr>
        <w:t>Summary</w:t>
      </w:r>
    </w:p>
    <w:p w14:paraId="0A20D77A" w14:textId="77777777" w:rsidR="00641094" w:rsidRDefault="001051E1" w:rsidP="00641094">
      <w:pPr>
        <w:pStyle w:val="ListParagraph"/>
        <w:numPr>
          <w:ilvl w:val="0"/>
          <w:numId w:val="14"/>
        </w:numPr>
        <w:spacing w:after="0" w:line="240" w:lineRule="auto"/>
        <w:ind w:right="-154"/>
        <w:jc w:val="both"/>
        <w:rPr>
          <w:rFonts w:cs="Arial"/>
        </w:rPr>
      </w:pPr>
      <w:r w:rsidRPr="00641094">
        <w:rPr>
          <w:rFonts w:cs="Arial"/>
        </w:rPr>
        <w:t>Prednisolone 5mg orally is equivalent to hydrocortisone 20mg intravenously (equivalent anti-inflammatory dose).</w:t>
      </w:r>
    </w:p>
    <w:p w14:paraId="28F72675" w14:textId="77777777" w:rsidR="001051E1" w:rsidRPr="00641094" w:rsidRDefault="001051E1" w:rsidP="00641094">
      <w:pPr>
        <w:pStyle w:val="ListParagraph"/>
        <w:numPr>
          <w:ilvl w:val="0"/>
          <w:numId w:val="14"/>
        </w:numPr>
        <w:spacing w:after="0" w:line="240" w:lineRule="auto"/>
        <w:ind w:right="-154"/>
        <w:jc w:val="both"/>
        <w:rPr>
          <w:rFonts w:cs="Arial"/>
        </w:rPr>
      </w:pPr>
      <w:r w:rsidRPr="00641094">
        <w:rPr>
          <w:rFonts w:cs="Arial"/>
        </w:rPr>
        <w:t>The peri-operative dose of hydrocortisone required may be higher than the equivalent prednisolone dose usually taken by the patient.</w:t>
      </w:r>
    </w:p>
    <w:p w14:paraId="2C8B26C1" w14:textId="77777777" w:rsidR="001051E1" w:rsidRDefault="001051E1" w:rsidP="00427F92">
      <w:pPr>
        <w:spacing w:after="0" w:line="240" w:lineRule="auto"/>
        <w:rPr>
          <w:rStyle w:val="Heading3Char"/>
          <w:rFonts w:eastAsia="Calibri"/>
        </w:rPr>
      </w:pPr>
    </w:p>
    <w:p w14:paraId="715A8231" w14:textId="77777777" w:rsidR="005171FD" w:rsidRDefault="005171FD" w:rsidP="00427F92">
      <w:pPr>
        <w:spacing w:after="0" w:line="240" w:lineRule="auto"/>
        <w:rPr>
          <w:rStyle w:val="Heading3Char"/>
          <w:rFonts w:eastAsia="Calibri"/>
        </w:rPr>
      </w:pPr>
    </w:p>
    <w:p w14:paraId="384187F7" w14:textId="77777777" w:rsidR="001051E1" w:rsidRDefault="00427F92" w:rsidP="00427F92">
      <w:pPr>
        <w:spacing w:after="0" w:line="240" w:lineRule="auto"/>
        <w:rPr>
          <w:rStyle w:val="Heading3Char"/>
          <w:rFonts w:eastAsia="Calibri"/>
        </w:rPr>
      </w:pPr>
      <w:r w:rsidRPr="00B1695F">
        <w:rPr>
          <w:rStyle w:val="Heading3Char"/>
          <w:rFonts w:eastAsia="Calibri"/>
        </w:rPr>
        <w:t>Limitations</w:t>
      </w:r>
    </w:p>
    <w:p w14:paraId="4509D371" w14:textId="77777777" w:rsidR="00427F92" w:rsidRPr="00B1695F" w:rsidRDefault="001051E1" w:rsidP="00427F92">
      <w:pPr>
        <w:spacing w:after="0" w:line="240" w:lineRule="auto"/>
      </w:pPr>
      <w:r w:rsidRPr="00A32B37">
        <w:rPr>
          <w:rFonts w:cs="Arial"/>
        </w:rPr>
        <w:t>The equivalent doses given in the Q&amp;A are approximations and may not apply to all disease states and to all patients. This information should not be used in emergency situations such as in the management of acute severe asthma.</w:t>
      </w:r>
    </w:p>
    <w:p w14:paraId="25015F2F" w14:textId="77777777" w:rsidR="005171FD" w:rsidRDefault="005171FD" w:rsidP="00427F92">
      <w:pPr>
        <w:pStyle w:val="Heading3"/>
        <w:rPr>
          <w:lang w:val="en-US"/>
        </w:rPr>
      </w:pPr>
    </w:p>
    <w:p w14:paraId="40AD4C57" w14:textId="77777777" w:rsidR="00427F92" w:rsidRPr="00B00B12" w:rsidRDefault="00427F92" w:rsidP="00427F92">
      <w:pPr>
        <w:pStyle w:val="Heading3"/>
        <w:rPr>
          <w:lang w:val="en-US"/>
        </w:rPr>
      </w:pPr>
      <w:r w:rsidRPr="00B00B12">
        <w:rPr>
          <w:lang w:val="en-US"/>
        </w:rPr>
        <w:t>References</w:t>
      </w:r>
    </w:p>
    <w:p w14:paraId="53567D45" w14:textId="68D9841E" w:rsidR="001051E1" w:rsidRDefault="001051E1" w:rsidP="001358A5">
      <w:pPr>
        <w:numPr>
          <w:ilvl w:val="0"/>
          <w:numId w:val="12"/>
        </w:numPr>
        <w:spacing w:after="0" w:line="240" w:lineRule="auto"/>
        <w:rPr>
          <w:rFonts w:cs="Arial"/>
        </w:rPr>
      </w:pPr>
      <w:r w:rsidRPr="00F42C17">
        <w:rPr>
          <w:rFonts w:cs="Arial"/>
          <w:bCs/>
        </w:rPr>
        <w:t xml:space="preserve">Corticosteroids. </w:t>
      </w:r>
      <w:r w:rsidR="00522328">
        <w:rPr>
          <w:rFonts w:cs="Arial"/>
          <w:bCs/>
        </w:rPr>
        <w:t xml:space="preserve">In: </w:t>
      </w:r>
      <w:r w:rsidR="00AC0B03">
        <w:rPr>
          <w:rFonts w:cs="Arial"/>
          <w:bCs/>
        </w:rPr>
        <w:t xml:space="preserve">Sweetman </w:t>
      </w:r>
      <w:r w:rsidR="00AC0B03">
        <w:rPr>
          <w:rFonts w:cs="Arial"/>
        </w:rPr>
        <w:t>S</w:t>
      </w:r>
      <w:r w:rsidRPr="00F42C17">
        <w:rPr>
          <w:rFonts w:cs="Arial"/>
        </w:rPr>
        <w:t xml:space="preserve"> (Ed), Martindale: The Complete Drug Reference. London:</w:t>
      </w:r>
      <w:r w:rsidRPr="00EE3091">
        <w:rPr>
          <w:color w:val="000000"/>
          <w:sz w:val="24"/>
          <w:szCs w:val="24"/>
        </w:rPr>
        <w:t xml:space="preserve"> </w:t>
      </w:r>
      <w:r w:rsidRPr="00EE3091">
        <w:rPr>
          <w:color w:val="000000"/>
        </w:rPr>
        <w:t xml:space="preserve">The Royal Pharmaceutical Society of Great Britain. Electronic version. Truven Health Analytics, Greenwood Village, Colorado, USA. Available at: </w:t>
      </w:r>
      <w:hyperlink r:id="rId9" w:history="1">
        <w:r w:rsidRPr="00EE3091">
          <w:rPr>
            <w:rStyle w:val="Hyperlink"/>
          </w:rPr>
          <w:t>http://www.micromedexsolutions.com/</w:t>
        </w:r>
      </w:hyperlink>
      <w:r w:rsidRPr="00D92DAA">
        <w:rPr>
          <w:color w:val="000000"/>
          <w:sz w:val="24"/>
          <w:szCs w:val="24"/>
        </w:rPr>
        <w:t xml:space="preserve"> </w:t>
      </w:r>
      <w:r>
        <w:rPr>
          <w:rFonts w:cs="Arial"/>
        </w:rPr>
        <w:t xml:space="preserve">(cited: </w:t>
      </w:r>
      <w:r w:rsidR="00522328">
        <w:rPr>
          <w:rFonts w:cs="Arial"/>
        </w:rPr>
        <w:t>3</w:t>
      </w:r>
      <w:r>
        <w:rPr>
          <w:rFonts w:cs="Arial"/>
        </w:rPr>
        <w:t>/</w:t>
      </w:r>
      <w:r w:rsidR="00442325">
        <w:rPr>
          <w:rFonts w:cs="Arial"/>
        </w:rPr>
        <w:t>3</w:t>
      </w:r>
      <w:r w:rsidR="00522328">
        <w:rPr>
          <w:rFonts w:cs="Arial"/>
        </w:rPr>
        <w:t>1</w:t>
      </w:r>
      <w:r w:rsidRPr="00F42C17">
        <w:rPr>
          <w:rFonts w:cs="Arial"/>
        </w:rPr>
        <w:t>/20</w:t>
      </w:r>
      <w:r w:rsidR="00522328">
        <w:rPr>
          <w:rFonts w:cs="Arial"/>
        </w:rPr>
        <w:t>20</w:t>
      </w:r>
      <w:r w:rsidRPr="00F42C17">
        <w:rPr>
          <w:rFonts w:cs="Arial"/>
        </w:rPr>
        <w:t>).</w:t>
      </w:r>
    </w:p>
    <w:p w14:paraId="3810ADD6" w14:textId="5546BEFE" w:rsidR="001051E1" w:rsidRPr="00EB15CB" w:rsidRDefault="001051E1">
      <w:pPr>
        <w:numPr>
          <w:ilvl w:val="0"/>
          <w:numId w:val="12"/>
        </w:numPr>
        <w:spacing w:after="0" w:line="240" w:lineRule="auto"/>
        <w:rPr>
          <w:rFonts w:cs="Arial"/>
        </w:rPr>
      </w:pPr>
      <w:r w:rsidRPr="00EB15CB">
        <w:rPr>
          <w:rFonts w:cs="Arial"/>
        </w:rPr>
        <w:t>J</w:t>
      </w:r>
      <w:r w:rsidRPr="00EB15CB">
        <w:t xml:space="preserve">oint Formulary Committee. </w:t>
      </w:r>
      <w:r w:rsidRPr="00EE3091">
        <w:rPr>
          <w:i/>
        </w:rPr>
        <w:t>British National Formulary</w:t>
      </w:r>
      <w:r w:rsidRPr="00EB15CB">
        <w:t xml:space="preserve"> [</w:t>
      </w:r>
      <w:r>
        <w:t>online</w:t>
      </w:r>
      <w:r w:rsidRPr="00EB15CB">
        <w:t>]. London: BMJ Group and Pharmaceutical Press</w:t>
      </w:r>
      <w:r>
        <w:t xml:space="preserve"> &lt;http://www.medicinescomplete.com&gt;</w:t>
      </w:r>
      <w:r w:rsidRPr="00EB15CB">
        <w:t xml:space="preserve"> [</w:t>
      </w:r>
      <w:r>
        <w:t>Accessed on 201</w:t>
      </w:r>
      <w:r w:rsidR="00522328">
        <w:t>20Mar</w:t>
      </w:r>
      <w:r w:rsidR="00174B65">
        <w:t xml:space="preserve"> </w:t>
      </w:r>
      <w:r w:rsidR="00522328">
        <w:t>31</w:t>
      </w:r>
      <w:r>
        <w:t>]</w:t>
      </w:r>
      <w:r w:rsidRPr="00EB15CB">
        <w:t xml:space="preserve"> </w:t>
      </w:r>
      <w:hyperlink r:id="rId10" w:history="1">
        <w:r w:rsidR="00116F46" w:rsidRPr="00116F46">
          <w:rPr>
            <w:rStyle w:val="Hyperlink"/>
          </w:rPr>
          <w:t>https://www.medicinescomplete.com/mc/bnf/current/PHP78288-glucocorticoid-therapy.htm</w:t>
        </w:r>
      </w:hyperlink>
    </w:p>
    <w:p w14:paraId="72E9C88D" w14:textId="77777777" w:rsidR="001051E1" w:rsidRPr="00F42C17" w:rsidRDefault="001051E1">
      <w:pPr>
        <w:numPr>
          <w:ilvl w:val="0"/>
          <w:numId w:val="12"/>
        </w:numPr>
        <w:spacing w:after="0" w:line="240" w:lineRule="auto"/>
        <w:rPr>
          <w:rFonts w:cs="Arial"/>
        </w:rPr>
      </w:pPr>
      <w:r w:rsidRPr="00F42C17">
        <w:rPr>
          <w:rFonts w:cs="Arial"/>
        </w:rPr>
        <w:t xml:space="preserve">Mager DE, Lin SX, Blum RA, et al.  Dose equivalency evaluation of major corticosteroids; Pharmacokinetics and cell trafficking and cortisol dynamics. Journal of Clinical Pharmacology 2003;43:1216-27. </w:t>
      </w:r>
    </w:p>
    <w:p w14:paraId="0DBFB2F3" w14:textId="48400C21" w:rsidR="001051E1" w:rsidRPr="00BA2A59" w:rsidRDefault="001051E1">
      <w:pPr>
        <w:numPr>
          <w:ilvl w:val="0"/>
          <w:numId w:val="12"/>
        </w:numPr>
        <w:spacing w:after="0" w:line="240" w:lineRule="auto"/>
      </w:pPr>
      <w:r w:rsidRPr="00F42C17">
        <w:rPr>
          <w:rFonts w:cs="Arial"/>
        </w:rPr>
        <w:t xml:space="preserve">Comparative Dosage Table – Corticosteroid Properties and Potencies </w:t>
      </w:r>
      <w:r w:rsidRPr="00F42C17">
        <w:rPr>
          <w:color w:val="000000"/>
        </w:rPr>
        <w:t xml:space="preserve">(Drug Consult) In: </w:t>
      </w:r>
      <w:r w:rsidR="00442325">
        <w:rPr>
          <w:color w:val="000000"/>
        </w:rPr>
        <w:t>IBM MICROMEDEX</w:t>
      </w:r>
      <w:r w:rsidR="00442325" w:rsidRPr="00F42C17">
        <w:rPr>
          <w:rFonts w:cs="Arial"/>
          <w:vertAlign w:val="superscript"/>
        </w:rPr>
        <w:t>®</w:t>
      </w:r>
      <w:r w:rsidR="00442325">
        <w:rPr>
          <w:color w:val="000000"/>
        </w:rPr>
        <w:t xml:space="preserve"> </w:t>
      </w:r>
      <w:r w:rsidRPr="00F42C17">
        <w:rPr>
          <w:color w:val="000000"/>
        </w:rPr>
        <w:t>DRUGDEX</w:t>
      </w:r>
      <w:r w:rsidRPr="00F42C17">
        <w:rPr>
          <w:color w:val="000000"/>
          <w:vertAlign w:val="superscript"/>
        </w:rPr>
        <w:t>®</w:t>
      </w:r>
      <w:r w:rsidRPr="00F42C17">
        <w:rPr>
          <w:color w:val="000000"/>
        </w:rPr>
        <w:t xml:space="preserve"> System (electronic version). </w:t>
      </w:r>
      <w:r w:rsidRPr="00EE3091">
        <w:rPr>
          <w:color w:val="000000"/>
        </w:rPr>
        <w:t xml:space="preserve">Truven Health Analytics, Greenwood Village, Colorado, USA. Available at: </w:t>
      </w:r>
      <w:hyperlink r:id="rId11" w:history="1">
        <w:r w:rsidRPr="00EE3091">
          <w:rPr>
            <w:rStyle w:val="Hyperlink"/>
          </w:rPr>
          <w:t>http://www.micromedexsolutions.com/</w:t>
        </w:r>
      </w:hyperlink>
      <w:r w:rsidRPr="00F42C17" w:rsidDel="00EE3091">
        <w:rPr>
          <w:color w:val="000000"/>
        </w:rPr>
        <w:t xml:space="preserve"> </w:t>
      </w:r>
      <w:r w:rsidRPr="00F42C17">
        <w:rPr>
          <w:rFonts w:cs="Arial"/>
        </w:rPr>
        <w:t xml:space="preserve">(cited: </w:t>
      </w:r>
      <w:r w:rsidR="00522328">
        <w:rPr>
          <w:rFonts w:cs="Arial"/>
        </w:rPr>
        <w:t>3</w:t>
      </w:r>
      <w:r w:rsidRPr="00F42C17">
        <w:rPr>
          <w:rFonts w:cs="Arial"/>
        </w:rPr>
        <w:t>/</w:t>
      </w:r>
      <w:r w:rsidR="00522328">
        <w:rPr>
          <w:rFonts w:cs="Arial"/>
        </w:rPr>
        <w:t>31</w:t>
      </w:r>
      <w:r w:rsidRPr="00F42C17">
        <w:rPr>
          <w:rFonts w:cs="Arial"/>
        </w:rPr>
        <w:t>/20</w:t>
      </w:r>
      <w:r w:rsidR="00522328">
        <w:rPr>
          <w:rFonts w:cs="Arial"/>
        </w:rPr>
        <w:t>20</w:t>
      </w:r>
      <w:r w:rsidRPr="00F42C17">
        <w:rPr>
          <w:rFonts w:cs="Arial"/>
        </w:rPr>
        <w:t>).</w:t>
      </w:r>
      <w:r w:rsidRPr="00F42C17">
        <w:t xml:space="preserve"> </w:t>
      </w:r>
    </w:p>
    <w:p w14:paraId="0E40D325" w14:textId="17A16F52" w:rsidR="001051E1" w:rsidRDefault="001051E1">
      <w:pPr>
        <w:numPr>
          <w:ilvl w:val="0"/>
          <w:numId w:val="12"/>
        </w:numPr>
        <w:spacing w:after="0" w:line="240" w:lineRule="auto"/>
        <w:rPr>
          <w:rFonts w:cs="Arial"/>
        </w:rPr>
      </w:pPr>
      <w:r w:rsidRPr="00BA2A59">
        <w:rPr>
          <w:rFonts w:cs="Arial"/>
        </w:rPr>
        <w:t>AHFS Drug Information</w:t>
      </w:r>
      <w:r w:rsidR="00522328">
        <w:rPr>
          <w:rFonts w:cs="Arial"/>
        </w:rPr>
        <w:t xml:space="preserve"> [online]</w:t>
      </w:r>
      <w:r w:rsidRPr="00BA2A59">
        <w:rPr>
          <w:rFonts w:cs="Arial"/>
        </w:rPr>
        <w:t xml:space="preserve">. Bethesda: American Society of Health-System Pharmacists. </w:t>
      </w:r>
      <w:r w:rsidR="00522328">
        <w:t>&lt;</w:t>
      </w:r>
      <w:hyperlink w:history="1">
        <w:r w:rsidR="00522328" w:rsidRPr="00522328">
          <w:rPr>
            <w:rStyle w:val="Hyperlink"/>
          </w:rPr>
          <w:t>http://www.medicinescomplete.com&gt; [Accessed on 2020 Apr 1]</w:t>
        </w:r>
      </w:hyperlink>
      <w:r w:rsidRPr="00516632">
        <w:rPr>
          <w:sz w:val="24"/>
          <w:szCs w:val="24"/>
        </w:rPr>
        <w:t xml:space="preserve"> </w:t>
      </w:r>
    </w:p>
    <w:p w14:paraId="67F0F520" w14:textId="77777777" w:rsidR="001051E1" w:rsidRPr="00F42C17" w:rsidRDefault="001051E1">
      <w:pPr>
        <w:numPr>
          <w:ilvl w:val="0"/>
          <w:numId w:val="12"/>
        </w:numPr>
        <w:spacing w:after="0" w:line="240" w:lineRule="auto"/>
        <w:rPr>
          <w:rFonts w:cs="Arial"/>
        </w:rPr>
      </w:pPr>
      <w:r w:rsidRPr="00F42C17">
        <w:rPr>
          <w:rFonts w:cs="Arial"/>
        </w:rPr>
        <w:t>Dollery C (Ed).  Therapeutic Drugs. Second edition.  Edinburgh: Churchill Livingstone; 1999.</w:t>
      </w:r>
    </w:p>
    <w:p w14:paraId="21F8BFCB" w14:textId="4D9DD1DB" w:rsidR="001051E1" w:rsidRPr="00F42C17" w:rsidRDefault="001051E1">
      <w:pPr>
        <w:numPr>
          <w:ilvl w:val="0"/>
          <w:numId w:val="12"/>
        </w:numPr>
        <w:spacing w:after="0" w:line="240" w:lineRule="auto"/>
        <w:rPr>
          <w:rFonts w:cs="Arial"/>
        </w:rPr>
      </w:pPr>
      <w:r w:rsidRPr="00F42C17">
        <w:rPr>
          <w:rFonts w:cs="Arial"/>
          <w:bCs/>
        </w:rPr>
        <w:t>Hydrocortisone.</w:t>
      </w:r>
      <w:r w:rsidR="00522328">
        <w:rPr>
          <w:rFonts w:cs="Arial"/>
          <w:bCs/>
        </w:rPr>
        <w:t xml:space="preserve"> In:</w:t>
      </w:r>
      <w:r w:rsidRPr="00F42C17">
        <w:rPr>
          <w:rFonts w:cs="Arial"/>
          <w:bCs/>
        </w:rPr>
        <w:t xml:space="preserve"> </w:t>
      </w:r>
      <w:r w:rsidR="00E325DB">
        <w:rPr>
          <w:rFonts w:cs="Arial"/>
        </w:rPr>
        <w:t>Sweetman</w:t>
      </w:r>
      <w:r>
        <w:rPr>
          <w:rFonts w:cs="Arial"/>
        </w:rPr>
        <w:t xml:space="preserve"> </w:t>
      </w:r>
      <w:r w:rsidR="00E325DB">
        <w:rPr>
          <w:rFonts w:cs="Arial"/>
        </w:rPr>
        <w:t>S</w:t>
      </w:r>
      <w:r w:rsidRPr="00F42C17">
        <w:rPr>
          <w:rFonts w:cs="Arial"/>
        </w:rPr>
        <w:t xml:space="preserve"> (Ed), Martindale: The Complete Drug Reference. London: </w:t>
      </w:r>
      <w:r w:rsidRPr="00EE3091">
        <w:rPr>
          <w:color w:val="000000"/>
        </w:rPr>
        <w:t xml:space="preserve">The Royal Pharmaceutical Society of Great Britain. Electronic version. Truven Health Analytics, Greenwood Village, Colorado, USA. Available at: </w:t>
      </w:r>
      <w:hyperlink r:id="rId12" w:history="1">
        <w:r w:rsidRPr="00EE3091">
          <w:rPr>
            <w:rStyle w:val="Hyperlink"/>
          </w:rPr>
          <w:t>http://www.micromedexsolutions.com/</w:t>
        </w:r>
      </w:hyperlink>
      <w:r w:rsidRPr="00D92DAA">
        <w:rPr>
          <w:color w:val="000000"/>
          <w:sz w:val="24"/>
          <w:szCs w:val="24"/>
        </w:rPr>
        <w:t xml:space="preserve"> </w:t>
      </w:r>
      <w:r w:rsidRPr="00F42C17">
        <w:rPr>
          <w:rFonts w:cs="Arial"/>
        </w:rPr>
        <w:t xml:space="preserve">(cited: </w:t>
      </w:r>
      <w:r w:rsidR="00522328">
        <w:rPr>
          <w:rFonts w:cs="Arial"/>
        </w:rPr>
        <w:t>3</w:t>
      </w:r>
      <w:r w:rsidRPr="00F42C17">
        <w:rPr>
          <w:rFonts w:cs="Arial"/>
        </w:rPr>
        <w:t>/</w:t>
      </w:r>
      <w:r w:rsidR="00522328">
        <w:rPr>
          <w:rFonts w:cs="Arial"/>
        </w:rPr>
        <w:t>31</w:t>
      </w:r>
      <w:r w:rsidRPr="00F42C17">
        <w:rPr>
          <w:rFonts w:cs="Arial"/>
        </w:rPr>
        <w:t>20</w:t>
      </w:r>
      <w:r w:rsidR="00522328">
        <w:rPr>
          <w:rFonts w:cs="Arial"/>
        </w:rPr>
        <w:t>20</w:t>
      </w:r>
      <w:r w:rsidRPr="00F42C17">
        <w:rPr>
          <w:rFonts w:cs="Arial"/>
        </w:rPr>
        <w:t>).</w:t>
      </w:r>
    </w:p>
    <w:p w14:paraId="5EE28930" w14:textId="77777777" w:rsidR="001358A5" w:rsidRDefault="001051E1" w:rsidP="006C1FE1">
      <w:pPr>
        <w:numPr>
          <w:ilvl w:val="0"/>
          <w:numId w:val="12"/>
        </w:numPr>
        <w:spacing w:after="0" w:line="240" w:lineRule="auto"/>
        <w:rPr>
          <w:rFonts w:cs="Arial"/>
        </w:rPr>
      </w:pPr>
      <w:r w:rsidRPr="00F42C17">
        <w:rPr>
          <w:rFonts w:cs="Arial"/>
          <w:lang w:val="de-DE"/>
        </w:rPr>
        <w:t xml:space="preserve">Derendorf H, Möllmann H, Barth J, et al. </w:t>
      </w:r>
      <w:r w:rsidRPr="00F42C17">
        <w:rPr>
          <w:rFonts w:cs="Arial"/>
        </w:rPr>
        <w:t>Pharmacokinetics and oral bioavailability of hydrocortisone. Journal of Clinical Pharmacology 1991;31:473-476.</w:t>
      </w:r>
      <w:r w:rsidR="001358A5">
        <w:rPr>
          <w:rFonts w:cs="Arial"/>
        </w:rPr>
        <w:t xml:space="preserve"> </w:t>
      </w:r>
    </w:p>
    <w:p w14:paraId="33B5EA5A" w14:textId="337D7EC1" w:rsidR="001358A5" w:rsidRPr="00F42C17" w:rsidRDefault="001358A5" w:rsidP="006C1FE1">
      <w:pPr>
        <w:numPr>
          <w:ilvl w:val="0"/>
          <w:numId w:val="12"/>
        </w:numPr>
        <w:spacing w:after="0" w:line="240" w:lineRule="auto"/>
        <w:rPr>
          <w:rFonts w:cs="Arial"/>
        </w:rPr>
      </w:pPr>
      <w:r w:rsidRPr="00F42C17">
        <w:rPr>
          <w:rFonts w:cs="Arial"/>
          <w:bCs/>
        </w:rPr>
        <w:t xml:space="preserve">Hydrocortisone. In: </w:t>
      </w:r>
      <w:r>
        <w:rPr>
          <w:rFonts w:cs="Arial"/>
          <w:bCs/>
        </w:rPr>
        <w:t>IBM MICROMEDEX</w:t>
      </w:r>
      <w:r w:rsidRPr="00F42C17">
        <w:rPr>
          <w:rFonts w:cs="Arial"/>
          <w:vertAlign w:val="superscript"/>
        </w:rPr>
        <w:t>®</w:t>
      </w:r>
      <w:r>
        <w:rPr>
          <w:rFonts w:cs="Arial"/>
          <w:bCs/>
        </w:rPr>
        <w:t xml:space="preserve"> </w:t>
      </w:r>
      <w:r w:rsidRPr="00F42C17">
        <w:rPr>
          <w:rFonts w:cs="Arial"/>
        </w:rPr>
        <w:t>DRUGDEX</w:t>
      </w:r>
      <w:r w:rsidRPr="00F42C17">
        <w:rPr>
          <w:rFonts w:cs="Arial"/>
          <w:vertAlign w:val="superscript"/>
        </w:rPr>
        <w:t>®</w:t>
      </w:r>
      <w:r w:rsidRPr="00F42C17">
        <w:rPr>
          <w:rFonts w:cs="Arial"/>
        </w:rPr>
        <w:t xml:space="preserve"> (electronic version). </w:t>
      </w:r>
      <w:r w:rsidRPr="00EE3091">
        <w:rPr>
          <w:color w:val="000000"/>
        </w:rPr>
        <w:t xml:space="preserve">Truven Health Analytics, Greenwood Village, Colorado, USA. Available at: </w:t>
      </w:r>
      <w:hyperlink r:id="rId13" w:history="1">
        <w:r w:rsidRPr="00EE3091">
          <w:rPr>
            <w:rStyle w:val="Hyperlink"/>
          </w:rPr>
          <w:t>http://www.micromedexsolutions.com/</w:t>
        </w:r>
      </w:hyperlink>
      <w:r w:rsidRPr="00F42C17">
        <w:rPr>
          <w:rFonts w:cs="Arial"/>
          <w:color w:val="000000"/>
        </w:rPr>
        <w:t xml:space="preserve"> </w:t>
      </w:r>
      <w:r w:rsidRPr="00F42C17">
        <w:rPr>
          <w:rFonts w:cs="Arial"/>
        </w:rPr>
        <w:t xml:space="preserve">(cited: </w:t>
      </w:r>
      <w:r w:rsidR="00522328">
        <w:rPr>
          <w:rFonts w:cs="Arial"/>
        </w:rPr>
        <w:t>3</w:t>
      </w:r>
      <w:r w:rsidRPr="00F42C17">
        <w:rPr>
          <w:rFonts w:cs="Arial"/>
        </w:rPr>
        <w:t>/</w:t>
      </w:r>
      <w:r>
        <w:rPr>
          <w:rFonts w:cs="Arial"/>
        </w:rPr>
        <w:t>3</w:t>
      </w:r>
      <w:r w:rsidR="00522328">
        <w:rPr>
          <w:rFonts w:cs="Arial"/>
        </w:rPr>
        <w:t>1</w:t>
      </w:r>
      <w:r w:rsidRPr="00F42C17">
        <w:rPr>
          <w:rFonts w:cs="Arial"/>
        </w:rPr>
        <w:t>/20</w:t>
      </w:r>
      <w:r w:rsidR="00522328">
        <w:rPr>
          <w:rFonts w:cs="Arial"/>
        </w:rPr>
        <w:t>20</w:t>
      </w:r>
      <w:r w:rsidRPr="00F42C17">
        <w:rPr>
          <w:rFonts w:cs="Arial"/>
        </w:rPr>
        <w:t>).</w:t>
      </w:r>
    </w:p>
    <w:p w14:paraId="64EC5875" w14:textId="77777777" w:rsidR="001051E1" w:rsidRPr="001358A5" w:rsidRDefault="001051E1" w:rsidP="001358A5">
      <w:pPr>
        <w:numPr>
          <w:ilvl w:val="0"/>
          <w:numId w:val="12"/>
        </w:numPr>
        <w:spacing w:after="0" w:line="240" w:lineRule="auto"/>
        <w:rPr>
          <w:rFonts w:cs="Arial"/>
        </w:rPr>
      </w:pPr>
      <w:r w:rsidRPr="001358A5">
        <w:rPr>
          <w:rFonts w:cs="Arial"/>
        </w:rPr>
        <w:t>Nicholson G, Burrin JM, Hall GM. Peri-operative steroid supplementation. Anaesthesia 1998;53:1091-1104.</w:t>
      </w:r>
    </w:p>
    <w:p w14:paraId="5A0A7192" w14:textId="77777777" w:rsidR="001051E1" w:rsidRDefault="001051E1" w:rsidP="004D7FBE">
      <w:pPr>
        <w:numPr>
          <w:ilvl w:val="0"/>
          <w:numId w:val="12"/>
        </w:numPr>
        <w:spacing w:after="0" w:line="240" w:lineRule="auto"/>
        <w:rPr>
          <w:rFonts w:cs="Arial"/>
        </w:rPr>
      </w:pPr>
      <w:r w:rsidRPr="00F42C17">
        <w:rPr>
          <w:rFonts w:cs="Arial"/>
        </w:rPr>
        <w:t xml:space="preserve">Law RC and Massey SR. </w:t>
      </w:r>
      <w:r w:rsidRPr="00F42C17">
        <w:rPr>
          <w:rFonts w:cs="Arial"/>
          <w:lang w:val="it-IT"/>
        </w:rPr>
        <w:t>Peri-operative steroid supplementation (letter). Anaesthesia 1999;54:</w:t>
      </w:r>
      <w:r w:rsidRPr="006C1FE1">
        <w:rPr>
          <w:rFonts w:cs="Arial"/>
        </w:rPr>
        <w:t xml:space="preserve">393-4. </w:t>
      </w:r>
    </w:p>
    <w:p w14:paraId="5DB3CB8C" w14:textId="5EC6C331" w:rsidR="006630EC" w:rsidRPr="006C1FE1" w:rsidRDefault="00217843" w:rsidP="00522328">
      <w:pPr>
        <w:numPr>
          <w:ilvl w:val="0"/>
          <w:numId w:val="12"/>
        </w:numPr>
        <w:spacing w:after="0" w:line="240" w:lineRule="auto"/>
        <w:rPr>
          <w:rFonts w:cs="Arial"/>
        </w:rPr>
      </w:pPr>
      <w:r>
        <w:rPr>
          <w:rFonts w:cs="Arial"/>
        </w:rPr>
        <w:t>Addison’s Disease Self-Help Group (</w:t>
      </w:r>
      <w:r w:rsidR="006630EC">
        <w:rPr>
          <w:rFonts w:cs="Arial"/>
        </w:rPr>
        <w:t>ADSHG</w:t>
      </w:r>
      <w:r>
        <w:rPr>
          <w:rFonts w:cs="Arial"/>
        </w:rPr>
        <w:t>)</w:t>
      </w:r>
      <w:r w:rsidR="006630EC">
        <w:rPr>
          <w:rFonts w:cs="Arial"/>
        </w:rPr>
        <w:t xml:space="preserve"> Surgical Guidelines. Available at: </w:t>
      </w:r>
      <w:r w:rsidR="00522328" w:rsidRPr="00522328">
        <w:rPr>
          <w:rStyle w:val="Hyperlink"/>
          <w:rFonts w:cs="Arial"/>
        </w:rPr>
        <w:t>https://www.addisonsdisease.org.uk/surgery</w:t>
      </w:r>
      <w:r>
        <w:rPr>
          <w:rFonts w:cs="Arial"/>
        </w:rPr>
        <w:t xml:space="preserve"> (cited: </w:t>
      </w:r>
      <w:r w:rsidR="00522328">
        <w:rPr>
          <w:rFonts w:cs="Arial"/>
        </w:rPr>
        <w:t>31</w:t>
      </w:r>
      <w:r>
        <w:rPr>
          <w:rFonts w:cs="Arial"/>
        </w:rPr>
        <w:t>/</w:t>
      </w:r>
      <w:r w:rsidR="00522328">
        <w:rPr>
          <w:rFonts w:cs="Arial"/>
        </w:rPr>
        <w:t>3</w:t>
      </w:r>
      <w:r>
        <w:rPr>
          <w:rFonts w:cs="Arial"/>
        </w:rPr>
        <w:t>/20</w:t>
      </w:r>
      <w:r w:rsidR="00522328">
        <w:rPr>
          <w:rFonts w:cs="Arial"/>
        </w:rPr>
        <w:t>20</w:t>
      </w:r>
      <w:r>
        <w:rPr>
          <w:rFonts w:cs="Arial"/>
        </w:rPr>
        <w:t>).</w:t>
      </w:r>
    </w:p>
    <w:p w14:paraId="5594AE12" w14:textId="77777777" w:rsidR="00D27CEA" w:rsidRDefault="00D27CEA" w:rsidP="00D27CEA">
      <w:pPr>
        <w:rPr>
          <w:lang w:val="en-US"/>
        </w:rPr>
      </w:pPr>
    </w:p>
    <w:p w14:paraId="43E6DE2D" w14:textId="77777777" w:rsidR="00217843" w:rsidRDefault="00217843">
      <w:pPr>
        <w:rPr>
          <w:lang w:val="en-US"/>
        </w:rPr>
      </w:pPr>
      <w:r>
        <w:rPr>
          <w:lang w:val="en-US"/>
        </w:rPr>
        <w:br w:type="page"/>
      </w:r>
    </w:p>
    <w:p w14:paraId="0AE644EF" w14:textId="77777777" w:rsidR="00D27CEA" w:rsidRPr="00D27CEA" w:rsidRDefault="00D27CEA" w:rsidP="00D27CEA">
      <w:pPr>
        <w:rPr>
          <w:lang w:val="en-US"/>
        </w:rPr>
      </w:pPr>
    </w:p>
    <w:p w14:paraId="3EEF3D78" w14:textId="77777777" w:rsidR="00427F92" w:rsidRDefault="00427F92" w:rsidP="00427F92">
      <w:pPr>
        <w:pStyle w:val="Heading2"/>
      </w:pPr>
      <w:r w:rsidRPr="00B00B12">
        <w:t xml:space="preserve">Quality Assurance </w:t>
      </w:r>
    </w:p>
    <w:p w14:paraId="7B160AB8" w14:textId="77777777" w:rsidR="00427F92" w:rsidRPr="00B00B12" w:rsidRDefault="00427F92" w:rsidP="00427F92">
      <w:pPr>
        <w:pStyle w:val="Heading3"/>
        <w:rPr>
          <w:lang w:val="en-US"/>
        </w:rPr>
      </w:pPr>
      <w:r w:rsidRPr="00B00B12">
        <w:rPr>
          <w:lang w:val="en-US"/>
        </w:rPr>
        <w:t>Prepared by</w:t>
      </w:r>
    </w:p>
    <w:p w14:paraId="17A624CA" w14:textId="0A3B0A4B" w:rsidR="00427F92" w:rsidRPr="000663CD" w:rsidRDefault="00522328" w:rsidP="00427F92">
      <w:pPr>
        <w:rPr>
          <w:rFonts w:cs="Arial"/>
        </w:rPr>
      </w:pPr>
      <w:r>
        <w:rPr>
          <w:rFonts w:cs="Arial"/>
        </w:rPr>
        <w:t>Sarah Swabey</w:t>
      </w:r>
      <w:r w:rsidR="000663CD" w:rsidRPr="00C53DCA">
        <w:rPr>
          <w:rFonts w:cs="Arial"/>
        </w:rPr>
        <w:t xml:space="preserve">, Welsh Medicines Information Centre, University Hospital of Wales (based on earlier work by </w:t>
      </w:r>
      <w:r>
        <w:rPr>
          <w:rFonts w:cs="Arial"/>
        </w:rPr>
        <w:t xml:space="preserve">Alex Bailey, </w:t>
      </w:r>
      <w:r w:rsidR="00174B65">
        <w:rPr>
          <w:rFonts w:cs="Arial"/>
        </w:rPr>
        <w:t xml:space="preserve">Gail Woodland, </w:t>
      </w:r>
      <w:r w:rsidR="000663CD">
        <w:rPr>
          <w:rFonts w:cs="Arial"/>
        </w:rPr>
        <w:t xml:space="preserve">Zainab Alani, </w:t>
      </w:r>
      <w:r w:rsidR="00174B65">
        <w:rPr>
          <w:rFonts w:cs="Arial"/>
        </w:rPr>
        <w:t xml:space="preserve">and </w:t>
      </w:r>
      <w:r w:rsidR="000663CD" w:rsidRPr="00C53DCA">
        <w:rPr>
          <w:rFonts w:cs="Arial"/>
        </w:rPr>
        <w:t>Anna Burges</w:t>
      </w:r>
      <w:r w:rsidR="00174B65">
        <w:rPr>
          <w:rFonts w:cs="Arial"/>
        </w:rPr>
        <w:t>s</w:t>
      </w:r>
      <w:r w:rsidR="000663CD" w:rsidRPr="00C53DCA">
        <w:rPr>
          <w:rFonts w:cs="Arial"/>
        </w:rPr>
        <w:t>)</w:t>
      </w:r>
    </w:p>
    <w:p w14:paraId="5BDE1B3E" w14:textId="77777777" w:rsidR="00427F92" w:rsidRPr="00B00B12" w:rsidRDefault="00427F92" w:rsidP="00427F92">
      <w:pPr>
        <w:pStyle w:val="Heading3"/>
        <w:rPr>
          <w:lang w:val="en-US"/>
        </w:rPr>
      </w:pPr>
      <w:r w:rsidRPr="00B00B12">
        <w:rPr>
          <w:lang w:val="en-US"/>
        </w:rPr>
        <w:t>Date Prepared</w:t>
      </w:r>
    </w:p>
    <w:p w14:paraId="72C80CC3" w14:textId="1352DAB6" w:rsidR="00427F92" w:rsidRPr="00B00B12" w:rsidRDefault="00522328" w:rsidP="00427F92">
      <w:pPr>
        <w:rPr>
          <w:lang w:val="en-US"/>
        </w:rPr>
      </w:pPr>
      <w:r>
        <w:rPr>
          <w:lang w:val="en-US"/>
        </w:rPr>
        <w:t>1</w:t>
      </w:r>
      <w:r w:rsidRPr="00522328">
        <w:rPr>
          <w:vertAlign w:val="superscript"/>
          <w:lang w:val="en-US"/>
        </w:rPr>
        <w:t>st</w:t>
      </w:r>
      <w:r>
        <w:rPr>
          <w:lang w:val="en-US"/>
        </w:rPr>
        <w:t xml:space="preserve"> May 2020</w:t>
      </w:r>
    </w:p>
    <w:p w14:paraId="7F9E7C9D" w14:textId="77777777" w:rsidR="00427F92" w:rsidRDefault="00427F92" w:rsidP="00427F92">
      <w:pPr>
        <w:spacing w:after="0" w:line="240" w:lineRule="auto"/>
        <w:rPr>
          <w:rFonts w:eastAsia="Times New Roman" w:cs="Arial"/>
          <w:szCs w:val="20"/>
          <w:lang w:val="en-US"/>
        </w:rPr>
      </w:pPr>
      <w:r w:rsidRPr="00B1695F">
        <w:rPr>
          <w:rStyle w:val="Heading3Char"/>
          <w:rFonts w:eastAsia="Calibri"/>
        </w:rPr>
        <w:t>Checked by</w:t>
      </w:r>
      <w:r w:rsidRPr="00B00B12">
        <w:rPr>
          <w:rFonts w:eastAsia="Times New Roman" w:cs="Arial"/>
          <w:b/>
          <w:color w:val="0000FF"/>
          <w:szCs w:val="20"/>
          <w:lang w:val="en-US"/>
        </w:rPr>
        <w:br/>
      </w:r>
      <w:r w:rsidR="006C1FE1">
        <w:rPr>
          <w:rFonts w:cs="Arial"/>
        </w:rPr>
        <w:t xml:space="preserve">Gail Woodland, </w:t>
      </w:r>
      <w:r w:rsidR="006C1FE1" w:rsidRPr="00C53DCA">
        <w:rPr>
          <w:rFonts w:cs="Arial"/>
        </w:rPr>
        <w:t xml:space="preserve">Welsh Medicines Information Centre, University Hospital of Wales </w:t>
      </w:r>
    </w:p>
    <w:p w14:paraId="7E1F82E6" w14:textId="77777777" w:rsidR="00427F92" w:rsidRPr="00B1695F" w:rsidRDefault="00427F92" w:rsidP="00427F92">
      <w:pPr>
        <w:pStyle w:val="Heading3"/>
        <w:rPr>
          <w:rFonts w:cs="Arial"/>
          <w:lang w:val="en-US"/>
        </w:rPr>
      </w:pPr>
      <w:r w:rsidRPr="00B00B12">
        <w:rPr>
          <w:lang w:val="en-US"/>
        </w:rPr>
        <w:br/>
        <w:t>Date of chec</w:t>
      </w:r>
      <w:r>
        <w:rPr>
          <w:lang w:val="en-US"/>
        </w:rPr>
        <w:t>k</w:t>
      </w:r>
      <w:bookmarkStart w:id="0" w:name="_GoBack"/>
      <w:bookmarkEnd w:id="0"/>
    </w:p>
    <w:p w14:paraId="19EDB91A" w14:textId="0F01615F" w:rsidR="006C1FE1" w:rsidRPr="00B00B12" w:rsidRDefault="00522328" w:rsidP="006C1FE1">
      <w:pPr>
        <w:rPr>
          <w:lang w:val="en-US"/>
        </w:rPr>
      </w:pPr>
      <w:r>
        <w:rPr>
          <w:lang w:val="en-US"/>
        </w:rPr>
        <w:t>3</w:t>
      </w:r>
      <w:r w:rsidRPr="00522328">
        <w:rPr>
          <w:vertAlign w:val="superscript"/>
          <w:lang w:val="en-US"/>
        </w:rPr>
        <w:t>rd</w:t>
      </w:r>
      <w:r>
        <w:rPr>
          <w:lang w:val="en-US"/>
        </w:rPr>
        <w:t xml:space="preserve"> May 2020</w:t>
      </w:r>
    </w:p>
    <w:p w14:paraId="4FE2E48C" w14:textId="77777777" w:rsidR="00427F92" w:rsidRDefault="00427F92" w:rsidP="00427F92">
      <w:pPr>
        <w:rPr>
          <w:lang w:val="en-US"/>
        </w:rPr>
      </w:pPr>
    </w:p>
    <w:p w14:paraId="4E66C159" w14:textId="77777777" w:rsidR="00427F92" w:rsidRPr="00B00B12" w:rsidRDefault="00427F92" w:rsidP="00427F92">
      <w:pPr>
        <w:pStyle w:val="Heading3"/>
        <w:rPr>
          <w:lang w:val="en-US"/>
        </w:rPr>
      </w:pPr>
      <w:r w:rsidRPr="00B00B12">
        <w:rPr>
          <w:lang w:val="en-US"/>
        </w:rPr>
        <w:t>Search strategy</w:t>
      </w:r>
    </w:p>
    <w:p w14:paraId="57146226" w14:textId="77777777" w:rsidR="001051E1" w:rsidRPr="009F4685" w:rsidRDefault="001051E1" w:rsidP="001051E1">
      <w:pPr>
        <w:rPr>
          <w:rFonts w:cs="Arial"/>
        </w:rPr>
      </w:pPr>
      <w:r w:rsidRPr="009F4685">
        <w:rPr>
          <w:rFonts w:cs="Arial"/>
        </w:rPr>
        <w:t>Embase (*prednisolone AND *hydrocortisone</w:t>
      </w:r>
      <w:r w:rsidR="004D7FBE">
        <w:rPr>
          <w:rFonts w:cs="Arial"/>
        </w:rPr>
        <w:t>. Limit to ‘human’</w:t>
      </w:r>
      <w:r w:rsidRPr="009F4685">
        <w:rPr>
          <w:rFonts w:cs="Arial"/>
        </w:rPr>
        <w:t>)</w:t>
      </w:r>
    </w:p>
    <w:p w14:paraId="44063E72" w14:textId="77777777" w:rsidR="001051E1" w:rsidRPr="009F4685" w:rsidRDefault="001051E1" w:rsidP="001051E1">
      <w:pPr>
        <w:rPr>
          <w:rFonts w:cs="Arial"/>
        </w:rPr>
      </w:pPr>
      <w:r w:rsidRPr="009F4685">
        <w:rPr>
          <w:rFonts w:cs="Arial"/>
        </w:rPr>
        <w:t>Medline (prednisolone.exp AND hydrocortisone.exp</w:t>
      </w:r>
      <w:r w:rsidR="004D7FBE">
        <w:rPr>
          <w:rFonts w:cs="Arial"/>
        </w:rPr>
        <w:t>. Limit to ‘human’</w:t>
      </w:r>
      <w:r w:rsidRPr="009F4685">
        <w:rPr>
          <w:rFonts w:cs="Arial"/>
        </w:rPr>
        <w:t>)</w:t>
      </w:r>
    </w:p>
    <w:p w14:paraId="3E9671CF" w14:textId="77777777" w:rsidR="001051E1" w:rsidRPr="00E81941" w:rsidRDefault="001051E1" w:rsidP="001051E1">
      <w:pPr>
        <w:rPr>
          <w:rFonts w:cs="Arial"/>
        </w:rPr>
      </w:pPr>
      <w:r w:rsidRPr="00E81941">
        <w:rPr>
          <w:rFonts w:cs="Arial"/>
        </w:rPr>
        <w:t>In-house database (MiDatabank)</w:t>
      </w:r>
    </w:p>
    <w:p w14:paraId="2C98D63C" w14:textId="77777777" w:rsidR="001051E1" w:rsidRPr="00E81941" w:rsidRDefault="001051E1" w:rsidP="001051E1">
      <w:pPr>
        <w:rPr>
          <w:rFonts w:cs="Arial"/>
          <w:lang w:val="it-IT"/>
        </w:rPr>
      </w:pPr>
      <w:r w:rsidRPr="00E81941">
        <w:rPr>
          <w:rFonts w:cs="Arial"/>
          <w:lang w:val="it-IT"/>
        </w:rPr>
        <w:t>Micromedex (DrugDex, Martindale)</w:t>
      </w:r>
    </w:p>
    <w:p w14:paraId="7E5F92EF" w14:textId="77777777" w:rsidR="001051E1" w:rsidRPr="00E81941" w:rsidRDefault="001051E1" w:rsidP="001051E1">
      <w:pPr>
        <w:rPr>
          <w:rFonts w:cs="Arial"/>
          <w:lang w:val="it-IT"/>
        </w:rPr>
      </w:pPr>
      <w:r w:rsidRPr="00E81941">
        <w:rPr>
          <w:rFonts w:cs="Arial"/>
          <w:lang w:val="it-IT"/>
        </w:rPr>
        <w:t>N</w:t>
      </w:r>
      <w:r w:rsidR="00BA3227">
        <w:rPr>
          <w:rFonts w:cs="Arial"/>
          <w:lang w:val="it-IT"/>
        </w:rPr>
        <w:t>HS</w:t>
      </w:r>
      <w:r>
        <w:rPr>
          <w:rFonts w:cs="Arial"/>
          <w:lang w:val="it-IT"/>
        </w:rPr>
        <w:t xml:space="preserve"> Evidence (prednisolone AND hydrocortison</w:t>
      </w:r>
      <w:r w:rsidR="004D7FBE">
        <w:rPr>
          <w:rFonts w:cs="Arial"/>
          <w:lang w:val="it-IT"/>
        </w:rPr>
        <w:t>e</w:t>
      </w:r>
      <w:r>
        <w:rPr>
          <w:rFonts w:cs="Arial"/>
          <w:lang w:val="it-IT"/>
        </w:rPr>
        <w:t>)</w:t>
      </w:r>
    </w:p>
    <w:p w14:paraId="3394E48B" w14:textId="77777777" w:rsidR="001051E1" w:rsidRPr="00E81941" w:rsidRDefault="001051E1" w:rsidP="001051E1">
      <w:pPr>
        <w:rPr>
          <w:rFonts w:cs="Arial"/>
        </w:rPr>
      </w:pPr>
      <w:r w:rsidRPr="00E81941">
        <w:rPr>
          <w:rFonts w:cs="Arial"/>
        </w:rPr>
        <w:t>Cochrane (prednisolo</w:t>
      </w:r>
      <w:r>
        <w:rPr>
          <w:rFonts w:cs="Arial"/>
        </w:rPr>
        <w:t>ne AND hydrocortisone</w:t>
      </w:r>
      <w:r w:rsidRPr="009F4685">
        <w:rPr>
          <w:rFonts w:cs="Arial"/>
        </w:rPr>
        <w:t>)</w:t>
      </w:r>
    </w:p>
    <w:p w14:paraId="72107CF0" w14:textId="77777777" w:rsidR="004F475C" w:rsidRPr="00427F92" w:rsidRDefault="004F475C" w:rsidP="00427F92"/>
    <w:sectPr w:rsidR="004F475C" w:rsidRPr="00427F92" w:rsidSect="004F475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4687E" w14:textId="77777777" w:rsidR="001D6798" w:rsidRDefault="001D6798" w:rsidP="00B2372E">
      <w:pPr>
        <w:spacing w:after="0" w:line="240" w:lineRule="auto"/>
      </w:pPr>
      <w:r>
        <w:separator/>
      </w:r>
    </w:p>
  </w:endnote>
  <w:endnote w:type="continuationSeparator" w:id="0">
    <w:p w14:paraId="38A90898" w14:textId="77777777" w:rsidR="001D6798" w:rsidRDefault="001D6798" w:rsidP="00B2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79DE8" w14:textId="77777777" w:rsidR="00B2372E" w:rsidRPr="006945F6" w:rsidRDefault="00B2372E" w:rsidP="00B2372E">
    <w:pPr>
      <w:pStyle w:val="Footer"/>
      <w:ind w:right="360"/>
      <w:rPr>
        <w:color w:val="A6A6A6"/>
      </w:rPr>
    </w:pPr>
    <w:r w:rsidRPr="006945F6">
      <w:rPr>
        <w:color w:val="A6A6A6"/>
      </w:rPr>
      <w:t xml:space="preserve">Available through </w:t>
    </w:r>
    <w:r>
      <w:rPr>
        <w:color w:val="A6A6A6"/>
      </w:rPr>
      <w:t>Specialist Pharmacy Service</w:t>
    </w:r>
    <w:r w:rsidRPr="006945F6">
      <w:rPr>
        <w:color w:val="A6A6A6"/>
      </w:rPr>
      <w:t xml:space="preserve"> at </w:t>
    </w:r>
  </w:p>
  <w:p w14:paraId="5851A253" w14:textId="77777777" w:rsidR="00B2372E" w:rsidRPr="006945F6" w:rsidRDefault="0000209D" w:rsidP="00B2372E">
    <w:pPr>
      <w:pStyle w:val="Footer"/>
      <w:ind w:right="360"/>
      <w:rPr>
        <w:color w:val="A6A6A6"/>
      </w:rPr>
    </w:pPr>
    <w:hyperlink r:id="rId1" w:history="1">
      <w:r w:rsidR="00B2372E" w:rsidRPr="00AB2D91">
        <w:rPr>
          <w:rStyle w:val="Hyperlink"/>
        </w:rPr>
        <w:t>www.sps.nhs.uk</w:t>
      </w:r>
    </w:hyperlink>
    <w:r w:rsidR="00B2372E">
      <w:rPr>
        <w:color w:val="A6A6A6"/>
      </w:rPr>
      <w:t xml:space="preserve"> </w:t>
    </w:r>
  </w:p>
  <w:p w14:paraId="4ECD2A36" w14:textId="77777777" w:rsidR="00B2372E" w:rsidRDefault="00B23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8B8EA" w14:textId="77777777" w:rsidR="001D6798" w:rsidRDefault="001D6798" w:rsidP="00B2372E">
      <w:pPr>
        <w:spacing w:after="0" w:line="240" w:lineRule="auto"/>
      </w:pPr>
      <w:r>
        <w:separator/>
      </w:r>
    </w:p>
  </w:footnote>
  <w:footnote w:type="continuationSeparator" w:id="0">
    <w:p w14:paraId="532A80AB" w14:textId="77777777" w:rsidR="001D6798" w:rsidRDefault="001D6798" w:rsidP="00B23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E90B2" w14:textId="77777777" w:rsidR="00B2372E" w:rsidRPr="00B1695F" w:rsidRDefault="003A21B9" w:rsidP="003A21B9">
    <w:pPr>
      <w:pStyle w:val="Header"/>
      <w:tabs>
        <w:tab w:val="clear" w:pos="4513"/>
        <w:tab w:val="clear" w:pos="9026"/>
        <w:tab w:val="left" w:pos="7650"/>
      </w:tabs>
      <w:rPr>
        <w:b/>
        <w:color w:val="0070C0"/>
      </w:rPr>
    </w:pPr>
    <w:r>
      <w:rPr>
        <w:b/>
        <w:noProof/>
        <w:color w:val="0070C0"/>
        <w:sz w:val="24"/>
        <w:lang w:eastAsia="en-GB"/>
      </w:rPr>
      <w:drawing>
        <wp:anchor distT="0" distB="0" distL="114300" distR="114300" simplePos="0" relativeHeight="251661312" behindDoc="0" locked="0" layoutInCell="1" allowOverlap="1" wp14:anchorId="48656064" wp14:editId="742FB6B0">
          <wp:simplePos x="0" y="0"/>
          <wp:positionH relativeFrom="column">
            <wp:posOffset>2867025</wp:posOffset>
          </wp:positionH>
          <wp:positionV relativeFrom="paragraph">
            <wp:posOffset>-182880</wp:posOffset>
          </wp:positionV>
          <wp:extent cx="2876550" cy="514350"/>
          <wp:effectExtent l="1905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876550" cy="514350"/>
                  </a:xfrm>
                  <a:prstGeom prst="rect">
                    <a:avLst/>
                  </a:prstGeom>
                  <a:noFill/>
                  <a:ln w="9525">
                    <a:noFill/>
                    <a:miter lim="800000"/>
                    <a:headEnd/>
                    <a:tailEnd/>
                  </a:ln>
                </pic:spPr>
              </pic:pic>
            </a:graphicData>
          </a:graphic>
        </wp:anchor>
      </w:drawing>
    </w:r>
    <w:r w:rsidR="00BD7C76">
      <w:rPr>
        <w:b/>
        <w:noProof/>
        <w:color w:val="0070C0"/>
        <w:sz w:val="24"/>
        <w:lang w:eastAsia="en-GB"/>
      </w:rPr>
      <mc:AlternateContent>
        <mc:Choice Requires="wps">
          <w:drawing>
            <wp:anchor distT="0" distB="0" distL="114300" distR="114300" simplePos="0" relativeHeight="251663360" behindDoc="0" locked="0" layoutInCell="1" allowOverlap="1" wp14:anchorId="65808063" wp14:editId="0DCA38F3">
              <wp:simplePos x="0" y="0"/>
              <wp:positionH relativeFrom="column">
                <wp:posOffset>187960</wp:posOffset>
              </wp:positionH>
              <wp:positionV relativeFrom="paragraph">
                <wp:posOffset>-87630</wp:posOffset>
              </wp:positionV>
              <wp:extent cx="1393190" cy="2825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1535D" w14:textId="77777777" w:rsidR="003A21B9" w:rsidRPr="00B1695F" w:rsidRDefault="003A21B9" w:rsidP="003A21B9">
                          <w:pPr>
                            <w:pStyle w:val="Header"/>
                            <w:tabs>
                              <w:tab w:val="clear" w:pos="4513"/>
                              <w:tab w:val="clear" w:pos="9026"/>
                              <w:tab w:val="left" w:pos="7650"/>
                            </w:tabs>
                            <w:rPr>
                              <w:b/>
                              <w:color w:val="0070C0"/>
                            </w:rPr>
                          </w:pPr>
                          <w:r w:rsidRPr="00B1695F">
                            <w:rPr>
                              <w:b/>
                              <w:color w:val="0070C0"/>
                              <w:sz w:val="24"/>
                            </w:rPr>
                            <w:t>Medicines Q&amp;As</w:t>
                          </w:r>
                        </w:p>
                        <w:p w14:paraId="1507DAE6" w14:textId="77777777" w:rsidR="003A21B9" w:rsidRDefault="003A21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4.8pt;margin-top:-6.9pt;width:109.7pt;height: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Mntg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exrc446AycHgZwM3s4hi67TPVwL6tvGgm5bKnYsFul5NgyWgO70N70L65O&#10;ONqCrMePsoYwdGukA9o3qrelg2IgQIcuPZ06Y6lUNuR1eh2mYKrAFiVRPHfkfJodbw9Km/dM9sgu&#10;cqyg8w6d7u61sWxodnSxwYQsede57nfi2QE4TicQG65am2XhmvkzDdJVskqIR6LZyiNBUXi35ZJ4&#10;szKcx8V1sVwW4S8bNyRZy+uaCRvmKKyQ/FnjDhKfJHGSlpYdry2cpaTVZr3sFNpREHbpPldzsJzd&#10;/Oc0XBEglxcphREJ7qLUK2fJ3CMlib10HiReEKZ36SwgKSnK5yndc8H+PSU05jiNo3gS05n0i9wC&#10;973OjWY9NzA6Ot7nODk50cxKcCVq11pDeTetL0ph6Z9LAe0+NtoJ1mp0UqvZr/eAYlW8lvUTSFdJ&#10;UBaIEOYdLFqpfmA0wuzIsf6+pYph1H0QIP80JMQOG7ch8TyCjbq0rC8tVFQAlWOD0bRcmmlAbQfF&#10;Ny1Emh6ckLfwZBru1HxmdXhoMB9cUodZZgfQ5d55nSfu4jcAAAD//wMAUEsDBBQABgAIAAAAIQAz&#10;ZfVu3gAAAAkBAAAPAAAAZHJzL2Rvd25yZXYueG1sTI/BTsMwEETvSPyDtUjcWrtpaUnIpkIgriAK&#10;ReLmJtskIl5HsduEv2c5wXG1o5n38u3kOnWmIbSeERZzA4q49FXLNcL729PsFlSIlivbeSaEbwqw&#10;LS4vcptVfuRXOu9iraSEQ2YRmhj7TOtQNuRsmPueWH5HPzgb5RxqXQ12lHLX6cSYtXa2ZVlobE8P&#10;DZVfu5ND2D8fPz9W5qV+dDf96Cej2aUa8fpqur8DFWmKf2H4xRd0KITp4E9cBdUhJOlakgizxVIU&#10;JJCsUpE7ICzNBnSR6/8GxQ8AAAD//wMAUEsBAi0AFAAGAAgAAAAhALaDOJL+AAAA4QEAABMAAAAA&#10;AAAAAAAAAAAAAAAAAFtDb250ZW50X1R5cGVzXS54bWxQSwECLQAUAAYACAAAACEAOP0h/9YAAACU&#10;AQAACwAAAAAAAAAAAAAAAAAvAQAAX3JlbHMvLnJlbHNQSwECLQAUAAYACAAAACEAHOizJ7YCAAC5&#10;BQAADgAAAAAAAAAAAAAAAAAuAgAAZHJzL2Uyb0RvYy54bWxQSwECLQAUAAYACAAAACEAM2X1bt4A&#10;AAAJAQAADwAAAAAAAAAAAAAAAAAQBQAAZHJzL2Rvd25yZXYueG1sUEsFBgAAAAAEAAQA8wAAABsG&#10;AAAAAA==&#10;" filled="f" stroked="f">
              <v:textbox>
                <w:txbxContent>
                  <w:p w:rsidR="003A21B9" w:rsidRPr="00B1695F" w:rsidRDefault="003A21B9" w:rsidP="003A21B9">
                    <w:pPr>
                      <w:pStyle w:val="Header"/>
                      <w:tabs>
                        <w:tab w:val="clear" w:pos="4513"/>
                        <w:tab w:val="clear" w:pos="9026"/>
                        <w:tab w:val="left" w:pos="7650"/>
                      </w:tabs>
                      <w:rPr>
                        <w:b/>
                        <w:color w:val="0070C0"/>
                      </w:rPr>
                    </w:pPr>
                    <w:r w:rsidRPr="00B1695F">
                      <w:rPr>
                        <w:b/>
                        <w:color w:val="0070C0"/>
                        <w:sz w:val="24"/>
                      </w:rPr>
                      <w:t>Medicines Q&amp;As</w:t>
                    </w:r>
                  </w:p>
                  <w:p w:rsidR="003A21B9" w:rsidRDefault="003A21B9"/>
                </w:txbxContent>
              </v:textbox>
            </v:shape>
          </w:pict>
        </mc:Fallback>
      </mc:AlternateContent>
    </w:r>
  </w:p>
  <w:p w14:paraId="41019C0F" w14:textId="77777777" w:rsidR="00B2372E" w:rsidRDefault="00BD7C76">
    <w:pPr>
      <w:pStyle w:val="Header"/>
    </w:pPr>
    <w:r>
      <w:rPr>
        <w:b/>
        <w:noProof/>
        <w:color w:val="0070C0"/>
        <w:sz w:val="24"/>
        <w:lang w:eastAsia="en-GB"/>
      </w:rPr>
      <mc:AlternateContent>
        <mc:Choice Requires="wps">
          <w:drawing>
            <wp:anchor distT="0" distB="0" distL="114300" distR="114300" simplePos="0" relativeHeight="251660288" behindDoc="0" locked="0" layoutInCell="1" allowOverlap="1" wp14:anchorId="21F773BB" wp14:editId="2D1FA247">
              <wp:simplePos x="0" y="0"/>
              <wp:positionH relativeFrom="column">
                <wp:posOffset>6985</wp:posOffset>
              </wp:positionH>
              <wp:positionV relativeFrom="paragraph">
                <wp:posOffset>15875</wp:posOffset>
              </wp:positionV>
              <wp:extent cx="1762125" cy="0"/>
              <wp:effectExtent l="16510" t="15875" r="12065"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222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55DF6"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5pt" to="139.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F7FAIAACkEAAAOAAAAZHJzL2Uyb0RvYy54bWysU8uu2yAQ3VfqPyD2iR91HteKc1XZSTdp&#10;G+nefgABHKNiQEDiRFX/vQN5tGk3VVUvMI8zhzNzhsXzqZfoyK0TWlU4G6cYcUU1E2pf4S+v69Ec&#10;I+eJYkRqxSt85g4/L9++WQym5LnutGTcIiBRrhxMhTvvTZkkjna8J26sDVdw2GrbEw9Lu0+YJQOw&#10;9zLJ03SaDNoyYzXlzsFucznEy8jftpz6z23ruEeywqDNx9HGcRfGZLkg5d4S0wl6lUH+QUVPhIJL&#10;71QN8QQdrPiDqhfUaqdbP6a6T3TbCspjDpBNlv6WzUtHDI+5QHGcuZfJ/T9a+um4tUgw8A4jRXqw&#10;aCMUR1mozGBcCYBabW3IjZ7Ui9lo+tUhpeuOqD2PCl/PBsJiRPIQEhbOAP9u+KgZYMjB61imU2v7&#10;QAkFQKfoxvnuBj95RGEzm03zLJ9gRG9nCSlvgcY6/4HrHoVJhSVojsTkuHEepAP0Bgn3KL0WUkaz&#10;pUJDhXP4JjHCaSlYOA04Z/e7Wlp0JKFf0llaxxYBtgeY1QfFIlvHCVtd554IeZkDXqrAB7mAnuvs&#10;0hDfntKn1Xw1L0ZFPl2NirRpRu/XdTGarrPZpHnX1HWTfQ/SsqLsBGNcBXW35syKvzP/+kwubXVv&#10;z3sdkkf2WDAQe/tH0dHM4N+lE3aanbc21Db4Cv0Ywde3Exr+13VE/Xzhyx8AAAD//wMAUEsDBBQA&#10;BgAIAAAAIQCx+/XT2gAAAAUBAAAPAAAAZHJzL2Rvd25yZXYueG1sTI7BTsMwEETvSPyDtUhcEHWa&#10;0lKFOBUgUXFBgrTcHXubRMTrELtt+vcsXOjxaUYzL1+NrhMHHELrScF0koBAMt62VCvYbl5ulyBC&#10;1GR15wkVnDDAqri8yHVm/ZE+8FDGWvAIhUwraGLsMymDadDpMPE9Emc7PzgdGYda2kEfedx1Mk2S&#10;hXS6JX5odI/PDZqvcu8UrKv3m9enz83drKx227X5Nm/SB6Wur8bHBxARx/hfhl99VoeCnSq/JxtE&#10;xzzlooJ0DoLT9H65AFH9sSxyeW5f/AAAAP//AwBQSwECLQAUAAYACAAAACEAtoM4kv4AAADhAQAA&#10;EwAAAAAAAAAAAAAAAAAAAAAAW0NvbnRlbnRfVHlwZXNdLnhtbFBLAQItABQABgAIAAAAIQA4/SH/&#10;1gAAAJQBAAALAAAAAAAAAAAAAAAAAC8BAABfcmVscy8ucmVsc1BLAQItABQABgAIAAAAIQA2hkF7&#10;FAIAACkEAAAOAAAAAAAAAAAAAAAAAC4CAABkcnMvZTJvRG9jLnhtbFBLAQItABQABgAIAAAAIQCx&#10;+/XT2gAAAAUBAAAPAAAAAAAAAAAAAAAAAG4EAABkcnMvZG93bnJldi54bWxQSwUGAAAAAAQABADz&#10;AAAAdQUAAAAA&#10;" strokecolor="#0070c0"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F42B4"/>
    <w:multiLevelType w:val="hybridMultilevel"/>
    <w:tmpl w:val="78DC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003DC"/>
    <w:multiLevelType w:val="hybridMultilevel"/>
    <w:tmpl w:val="0D8C266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77185"/>
    <w:multiLevelType w:val="hybridMultilevel"/>
    <w:tmpl w:val="81FACF7E"/>
    <w:lvl w:ilvl="0" w:tplc="E3E43F9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03502"/>
    <w:multiLevelType w:val="hybridMultilevel"/>
    <w:tmpl w:val="AFBE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E0B24"/>
    <w:multiLevelType w:val="hybridMultilevel"/>
    <w:tmpl w:val="54B2B486"/>
    <w:lvl w:ilvl="0" w:tplc="BE3ED2CA">
      <w:numFmt w:val="bullet"/>
      <w:lvlText w:val=""/>
      <w:lvlJc w:val="left"/>
      <w:pPr>
        <w:tabs>
          <w:tab w:val="num" w:pos="170"/>
        </w:tabs>
        <w:ind w:left="170" w:hanging="170"/>
      </w:pPr>
      <w:rPr>
        <w:rFonts w:ascii="Symbol" w:hAnsi="Symbol" w:hint="default"/>
        <w:sz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C437541"/>
    <w:multiLevelType w:val="hybridMultilevel"/>
    <w:tmpl w:val="2BFC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B03B4"/>
    <w:multiLevelType w:val="hybridMultilevel"/>
    <w:tmpl w:val="9F446C2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54B610C0"/>
    <w:multiLevelType w:val="hybridMultilevel"/>
    <w:tmpl w:val="7E666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99E4766"/>
    <w:multiLevelType w:val="hybridMultilevel"/>
    <w:tmpl w:val="9CC81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955D0D"/>
    <w:multiLevelType w:val="hybridMultilevel"/>
    <w:tmpl w:val="2818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3E29E4"/>
    <w:multiLevelType w:val="hybridMultilevel"/>
    <w:tmpl w:val="9A2E7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3641FF"/>
    <w:multiLevelType w:val="hybridMultilevel"/>
    <w:tmpl w:val="07FCD04A"/>
    <w:lvl w:ilvl="0" w:tplc="270C4916">
      <w:start w:val="1"/>
      <w:numFmt w:val="decimal"/>
      <w:lvlText w:val="%1."/>
      <w:lvlJc w:val="right"/>
      <w:pPr>
        <w:tabs>
          <w:tab w:val="num" w:pos="576"/>
        </w:tabs>
        <w:ind w:left="576" w:hanging="216"/>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7BA60CD"/>
    <w:multiLevelType w:val="hybridMultilevel"/>
    <w:tmpl w:val="F1D2A0EC"/>
    <w:lvl w:ilvl="0" w:tplc="270C4916">
      <w:start w:val="1"/>
      <w:numFmt w:val="decimal"/>
      <w:lvlText w:val="%1."/>
      <w:lvlJc w:val="right"/>
      <w:pPr>
        <w:tabs>
          <w:tab w:val="num" w:pos="576"/>
        </w:tabs>
        <w:ind w:left="576" w:hanging="216"/>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11"/>
  </w:num>
  <w:num w:numId="4">
    <w:abstractNumId w:val="3"/>
  </w:num>
  <w:num w:numId="5">
    <w:abstractNumId w:val="2"/>
  </w:num>
  <w:num w:numId="6">
    <w:abstractNumId w:val="8"/>
  </w:num>
  <w:num w:numId="7">
    <w:abstractNumId w:val="6"/>
  </w:num>
  <w:num w:numId="8">
    <w:abstractNumId w:val="1"/>
  </w:num>
  <w:num w:numId="9">
    <w:abstractNumId w:val="9"/>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5"/>
  </w:num>
  <w:num w:numId="12">
    <w:abstractNumId w:val="13"/>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72E"/>
    <w:rsid w:val="0000209D"/>
    <w:rsid w:val="000663CD"/>
    <w:rsid w:val="000746EB"/>
    <w:rsid w:val="00095445"/>
    <w:rsid w:val="001051E1"/>
    <w:rsid w:val="00116F46"/>
    <w:rsid w:val="001358A5"/>
    <w:rsid w:val="00174B65"/>
    <w:rsid w:val="001D6798"/>
    <w:rsid w:val="00217843"/>
    <w:rsid w:val="0027542C"/>
    <w:rsid w:val="003A21B9"/>
    <w:rsid w:val="003A3F32"/>
    <w:rsid w:val="00427F92"/>
    <w:rsid w:val="00437FD7"/>
    <w:rsid w:val="00442325"/>
    <w:rsid w:val="004D7FBE"/>
    <w:rsid w:val="004F475C"/>
    <w:rsid w:val="005171FD"/>
    <w:rsid w:val="00522328"/>
    <w:rsid w:val="00537CDA"/>
    <w:rsid w:val="00570CF4"/>
    <w:rsid w:val="00641094"/>
    <w:rsid w:val="006630EC"/>
    <w:rsid w:val="006C1FE1"/>
    <w:rsid w:val="007636C0"/>
    <w:rsid w:val="00841662"/>
    <w:rsid w:val="008828B5"/>
    <w:rsid w:val="008D2A6F"/>
    <w:rsid w:val="00962148"/>
    <w:rsid w:val="00972555"/>
    <w:rsid w:val="00997BB0"/>
    <w:rsid w:val="00A5099A"/>
    <w:rsid w:val="00A94CDA"/>
    <w:rsid w:val="00AC0B03"/>
    <w:rsid w:val="00B2372E"/>
    <w:rsid w:val="00BA3227"/>
    <w:rsid w:val="00BA7255"/>
    <w:rsid w:val="00BD7C76"/>
    <w:rsid w:val="00C271BE"/>
    <w:rsid w:val="00D27CEA"/>
    <w:rsid w:val="00D46A6B"/>
    <w:rsid w:val="00DE2D5E"/>
    <w:rsid w:val="00DF700C"/>
    <w:rsid w:val="00E325DB"/>
    <w:rsid w:val="00ED3D20"/>
    <w:rsid w:val="00F61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92E01"/>
  <w15:docId w15:val="{439592A0-FF91-44F3-8035-DAF0732D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72E"/>
    <w:rPr>
      <w:rFonts w:ascii="Arial" w:eastAsia="Calibri" w:hAnsi="Arial" w:cs="Times New Roman"/>
      <w:sz w:val="20"/>
    </w:rPr>
  </w:style>
  <w:style w:type="paragraph" w:styleId="Heading1">
    <w:name w:val="heading 1"/>
    <w:basedOn w:val="Normal"/>
    <w:next w:val="Normal"/>
    <w:link w:val="Heading1Char"/>
    <w:uiPriority w:val="9"/>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basedOn w:val="DefaultParagraphFont"/>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basedOn w:val="DefaultParagraphFont"/>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basedOn w:val="DefaultParagraphFont"/>
    <w:link w:val="Footer"/>
    <w:rsid w:val="00B2372E"/>
    <w:rPr>
      <w:rFonts w:ascii="Arial" w:eastAsia="Calibri" w:hAnsi="Arial" w:cs="Times New Roman"/>
      <w:sz w:val="20"/>
    </w:rPr>
  </w:style>
  <w:style w:type="paragraph" w:styleId="NoSpacing">
    <w:name w:val="No Spacing"/>
    <w:uiPriority w:val="1"/>
    <w:qFormat/>
    <w:rsid w:val="00B2372E"/>
    <w:pPr>
      <w:spacing w:after="0" w:line="240" w:lineRule="auto"/>
    </w:pPr>
    <w:rPr>
      <w:rFonts w:ascii="Arial" w:eastAsia="Calibri" w:hAnsi="Arial" w:cs="Times New Roman"/>
      <w:sz w:val="20"/>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basedOn w:val="DefaultParagraphFont"/>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uiPriority w:val="99"/>
    <w:semiHidden/>
    <w:unhideWhenUsed/>
    <w:rsid w:val="003A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B9"/>
    <w:rPr>
      <w:rFonts w:ascii="Tahoma" w:eastAsia="Calibri" w:hAnsi="Tahoma" w:cs="Tahoma"/>
      <w:sz w:val="16"/>
      <w:szCs w:val="16"/>
    </w:rPr>
  </w:style>
  <w:style w:type="character" w:styleId="FollowedHyperlink">
    <w:name w:val="FollowedHyperlink"/>
    <w:basedOn w:val="DefaultParagraphFont"/>
    <w:uiPriority w:val="99"/>
    <w:semiHidden/>
    <w:unhideWhenUsed/>
    <w:rsid w:val="00D27CEA"/>
    <w:rPr>
      <w:color w:val="800080" w:themeColor="followedHyperlink"/>
      <w:u w:val="single"/>
    </w:rPr>
  </w:style>
  <w:style w:type="paragraph" w:styleId="Revision">
    <w:name w:val="Revision"/>
    <w:hidden/>
    <w:uiPriority w:val="99"/>
    <w:semiHidden/>
    <w:rsid w:val="008828B5"/>
    <w:pPr>
      <w:spacing w:after="0" w:line="240" w:lineRule="auto"/>
    </w:pPr>
    <w:rPr>
      <w:rFonts w:ascii="Arial" w:eastAsia="Calibri" w:hAnsi="Arial" w:cs="Times New Roman"/>
      <w:sz w:val="20"/>
    </w:rPr>
  </w:style>
  <w:style w:type="character" w:styleId="CommentReference">
    <w:name w:val="annotation reference"/>
    <w:basedOn w:val="DefaultParagraphFont"/>
    <w:uiPriority w:val="99"/>
    <w:semiHidden/>
    <w:unhideWhenUsed/>
    <w:rsid w:val="00ED3D20"/>
    <w:rPr>
      <w:sz w:val="16"/>
      <w:szCs w:val="16"/>
    </w:rPr>
  </w:style>
  <w:style w:type="paragraph" w:styleId="CommentText">
    <w:name w:val="annotation text"/>
    <w:basedOn w:val="Normal"/>
    <w:link w:val="CommentTextChar"/>
    <w:uiPriority w:val="99"/>
    <w:semiHidden/>
    <w:unhideWhenUsed/>
    <w:rsid w:val="00ED3D20"/>
    <w:pPr>
      <w:spacing w:line="240" w:lineRule="auto"/>
    </w:pPr>
    <w:rPr>
      <w:szCs w:val="20"/>
    </w:rPr>
  </w:style>
  <w:style w:type="character" w:customStyle="1" w:styleId="CommentTextChar">
    <w:name w:val="Comment Text Char"/>
    <w:basedOn w:val="DefaultParagraphFont"/>
    <w:link w:val="CommentText"/>
    <w:uiPriority w:val="99"/>
    <w:semiHidden/>
    <w:rsid w:val="00ED3D20"/>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ED3D20"/>
    <w:rPr>
      <w:b/>
      <w:bCs/>
    </w:rPr>
  </w:style>
  <w:style w:type="character" w:customStyle="1" w:styleId="CommentSubjectChar">
    <w:name w:val="Comment Subject Char"/>
    <w:basedOn w:val="CommentTextChar"/>
    <w:link w:val="CommentSubject"/>
    <w:uiPriority w:val="99"/>
    <w:semiHidden/>
    <w:rsid w:val="00ED3D20"/>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s.nhs.uk/articles/about-ukmi-medicines-qas/" TargetMode="External"/><Relationship Id="rId13" Type="http://schemas.openxmlformats.org/officeDocument/2006/relationships/hyperlink" Target="http://www.micromedexsolutions.com/%20" TargetMode="External"/><Relationship Id="rId3" Type="http://schemas.openxmlformats.org/officeDocument/2006/relationships/settings" Target="settings.xml"/><Relationship Id="rId7" Type="http://schemas.openxmlformats.org/officeDocument/2006/relationships/hyperlink" Target="http://www.ukmi.nhs.uk/ukmi/about/default.asp?pageRef=1" TargetMode="External"/><Relationship Id="rId12" Type="http://schemas.openxmlformats.org/officeDocument/2006/relationships/hyperlink" Target="http://www.micromedexsolutions.com/%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medexsolutions.com/%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edicinescomplete.com/mc/bnf/current/PHP78288-glucocorticoid-therapy.htm?q=glucocorticoid%20therapy&amp;t=search&amp;ss=text&amp;tot=5&amp;p=1" TargetMode="External"/><Relationship Id="rId4" Type="http://schemas.openxmlformats.org/officeDocument/2006/relationships/webSettings" Target="webSettings.xml"/><Relationship Id="rId9" Type="http://schemas.openxmlformats.org/officeDocument/2006/relationships/hyperlink" Target="http://www.micromedexsolutions.com/%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Mckie, Joshua</dc:creator>
  <cp:lastModifiedBy>Gail Woodland (Cardiff and Vale UHB - Pharmacy )</cp:lastModifiedBy>
  <cp:revision>2</cp:revision>
  <cp:lastPrinted>2018-04-20T10:06:00Z</cp:lastPrinted>
  <dcterms:created xsi:type="dcterms:W3CDTF">2020-05-03T10:13:00Z</dcterms:created>
  <dcterms:modified xsi:type="dcterms:W3CDTF">2020-05-03T10:13:00Z</dcterms:modified>
</cp:coreProperties>
</file>