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2BF0D" w14:textId="77777777" w:rsidR="003578B5" w:rsidRPr="003578B5" w:rsidRDefault="003578B5" w:rsidP="003578B5">
      <w:pPr>
        <w:jc w:val="center"/>
        <w:rPr>
          <w:rFonts w:eastAsia="Times New Roman"/>
          <w:b/>
          <w:bCs/>
          <w:color w:val="0070C0"/>
          <w:sz w:val="28"/>
          <w:szCs w:val="28"/>
        </w:rPr>
      </w:pPr>
      <w:r w:rsidRPr="003578B5">
        <w:rPr>
          <w:rFonts w:eastAsia="Times New Roman"/>
          <w:b/>
          <w:bCs/>
          <w:color w:val="0070C0"/>
          <w:sz w:val="28"/>
          <w:szCs w:val="28"/>
        </w:rPr>
        <w:t xml:space="preserve">Chondroitin ─ </w:t>
      </w:r>
      <w:r w:rsidR="0072173A">
        <w:rPr>
          <w:rFonts w:eastAsia="Times New Roman"/>
          <w:b/>
          <w:bCs/>
          <w:color w:val="0070C0"/>
          <w:sz w:val="28"/>
          <w:szCs w:val="28"/>
        </w:rPr>
        <w:t xml:space="preserve">what are its </w:t>
      </w:r>
      <w:r w:rsidRPr="003578B5">
        <w:rPr>
          <w:rFonts w:eastAsia="Times New Roman"/>
          <w:b/>
          <w:bCs/>
          <w:color w:val="0070C0"/>
          <w:sz w:val="28"/>
          <w:szCs w:val="28"/>
        </w:rPr>
        <w:t>drug interactions</w:t>
      </w:r>
      <w:r w:rsidR="0072173A">
        <w:rPr>
          <w:rFonts w:eastAsia="Times New Roman"/>
          <w:b/>
          <w:bCs/>
          <w:color w:val="0070C0"/>
          <w:sz w:val="28"/>
          <w:szCs w:val="28"/>
        </w:rPr>
        <w:t>?</w:t>
      </w:r>
    </w:p>
    <w:p w14:paraId="2E183A5A" w14:textId="77777777"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hyperlink r:id="rId7" w:history="1">
        <w:r w:rsidRPr="00B107C7">
          <w:rPr>
            <w:color w:val="0000FF"/>
            <w:szCs w:val="20"/>
            <w:u w:val="single"/>
            <w:lang w:val="en-US"/>
          </w:rPr>
          <w:t>UKMi</w:t>
        </w:r>
      </w:hyperlink>
      <w:r w:rsidRPr="00B107C7">
        <w:rPr>
          <w:szCs w:val="20"/>
          <w:lang w:val="en-US"/>
        </w:rPr>
        <w:t>) pharmacists for NHS healthcare professionals</w:t>
      </w:r>
    </w:p>
    <w:p w14:paraId="7283665C" w14:textId="77777777"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8" w:history="1">
        <w:r w:rsidRPr="00B107C7">
          <w:rPr>
            <w:rStyle w:val="Hyperlink"/>
            <w:rFonts w:cs="Arial"/>
            <w:i/>
            <w:iCs/>
            <w:sz w:val="18"/>
            <w:szCs w:val="18"/>
          </w:rPr>
          <w:t>https://www.sps.nhs.uk/articles/about-ukmi-medicines-qas/</w:t>
        </w:r>
      </w:hyperlink>
    </w:p>
    <w:p w14:paraId="35FAC531" w14:textId="0B4D1B1F" w:rsidR="00427F92" w:rsidRPr="00B107C7" w:rsidRDefault="00427F92" w:rsidP="00427F92">
      <w:pPr>
        <w:pStyle w:val="NoSpacing"/>
        <w:jc w:val="center"/>
        <w:rPr>
          <w:szCs w:val="20"/>
          <w:lang w:val="en-US"/>
        </w:rPr>
      </w:pPr>
      <w:r w:rsidRPr="00B107C7">
        <w:rPr>
          <w:szCs w:val="20"/>
          <w:lang w:val="en-US"/>
        </w:rPr>
        <w:t>Date prepared:</w:t>
      </w:r>
      <w:r w:rsidR="003578B5">
        <w:rPr>
          <w:szCs w:val="20"/>
          <w:lang w:val="en-US"/>
        </w:rPr>
        <w:t xml:space="preserve"> </w:t>
      </w:r>
      <w:r w:rsidR="007D1275">
        <w:rPr>
          <w:szCs w:val="20"/>
          <w:lang w:val="en-US"/>
        </w:rPr>
        <w:t>20</w:t>
      </w:r>
      <w:r w:rsidR="00415923" w:rsidRPr="00A1083E">
        <w:rPr>
          <w:szCs w:val="20"/>
          <w:vertAlign w:val="superscript"/>
          <w:lang w:val="en-US"/>
        </w:rPr>
        <w:t>th</w:t>
      </w:r>
      <w:r w:rsidR="003603AA">
        <w:rPr>
          <w:szCs w:val="20"/>
          <w:lang w:val="en-US"/>
        </w:rPr>
        <w:t xml:space="preserve"> </w:t>
      </w:r>
      <w:r w:rsidR="00415923">
        <w:rPr>
          <w:szCs w:val="20"/>
          <w:lang w:val="en-US"/>
        </w:rPr>
        <w:t>January 2020</w:t>
      </w:r>
    </w:p>
    <w:p w14:paraId="706BC6AF" w14:textId="77777777" w:rsidR="00427F9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14:paraId="4AC4E5B2" w14:textId="2A243660" w:rsidR="00B279D9" w:rsidRPr="00B00B12" w:rsidRDefault="00B279D9" w:rsidP="00427F92">
      <w:pPr>
        <w:spacing w:after="0" w:line="240" w:lineRule="auto"/>
        <w:rPr>
          <w:rFonts w:eastAsia="Times New Roman" w:cs="Arial"/>
          <w:szCs w:val="20"/>
          <w:lang w:val="en-US"/>
        </w:rPr>
      </w:pPr>
    </w:p>
    <w:p w14:paraId="5859C9BC" w14:textId="77777777" w:rsidR="00427F92" w:rsidRDefault="00427F92" w:rsidP="00427F92">
      <w:pPr>
        <w:pStyle w:val="Heading2"/>
      </w:pPr>
      <w:r w:rsidRPr="00B00B12">
        <w:t>Background</w:t>
      </w:r>
      <w:r>
        <w:t xml:space="preserve"> </w:t>
      </w:r>
    </w:p>
    <w:p w14:paraId="079D13D5" w14:textId="5EB5A071" w:rsidR="003578B5" w:rsidRPr="00B3605D" w:rsidRDefault="003578B5" w:rsidP="003578B5">
      <w:pPr>
        <w:rPr>
          <w:color w:val="000000"/>
        </w:rPr>
      </w:pPr>
      <w:r w:rsidRPr="00B3605D">
        <w:rPr>
          <w:color w:val="000000"/>
        </w:rPr>
        <w:t xml:space="preserve">Chondroitin is a naturally occurring </w:t>
      </w:r>
      <w:r w:rsidR="00441B7E">
        <w:rPr>
          <w:color w:val="000000"/>
        </w:rPr>
        <w:t xml:space="preserve">mixture of glycosaminoglycans (GAG) and </w:t>
      </w:r>
      <w:r w:rsidRPr="00B3605D">
        <w:rPr>
          <w:color w:val="000000"/>
        </w:rPr>
        <w:t>disaccharide</w:t>
      </w:r>
      <w:r w:rsidR="00441B7E">
        <w:rPr>
          <w:color w:val="000000"/>
        </w:rPr>
        <w:t xml:space="preserve"> polymers</w:t>
      </w:r>
      <w:r w:rsidRPr="00B3605D">
        <w:rPr>
          <w:color w:val="000000"/>
        </w:rPr>
        <w:t xml:space="preserve"> (1). The disaccharide units repeated in chondroitin are made of D-glucuronic acid, D-acetylgalactosamine and sulphates (1). Chondroitin is found in the body in joint cartilage </w:t>
      </w:r>
      <w:r>
        <w:rPr>
          <w:color w:val="000000"/>
        </w:rPr>
        <w:t xml:space="preserve">and connective tissue including vessel walls </w:t>
      </w:r>
      <w:r w:rsidRPr="00B3605D">
        <w:rPr>
          <w:color w:val="000000"/>
        </w:rPr>
        <w:t xml:space="preserve">(1). </w:t>
      </w:r>
      <w:r>
        <w:rPr>
          <w:color w:val="000000"/>
        </w:rPr>
        <w:t>A 2013 summary of the available evidence describing the mechanism of action of chondroitin reports a beneficial effect on the metabolism of different cell lines involved in osteoarthritis. Synthesis of type II collagen and proteoglycan in human articular chondrocytes is increased and production of some pro-inflammatory factors and proteases reduced, thereby reducing cellular death and improving the anabolic/catabolic balance of the extracellular cartilage matrix</w:t>
      </w:r>
      <w:r w:rsidRPr="00B3605D">
        <w:rPr>
          <w:color w:val="000000"/>
        </w:rPr>
        <w:t xml:space="preserve"> (2). </w:t>
      </w:r>
    </w:p>
    <w:p w14:paraId="300E8063" w14:textId="232FF908" w:rsidR="003578B5" w:rsidRPr="00B3605D" w:rsidRDefault="003578B5" w:rsidP="003578B5">
      <w:pPr>
        <w:rPr>
          <w:color w:val="000000"/>
        </w:rPr>
      </w:pPr>
      <w:r w:rsidRPr="00B3605D">
        <w:rPr>
          <w:color w:val="000000"/>
        </w:rPr>
        <w:t>Chondroitin is most commonly used orally to reduce pain and facilitate movement in patients with osteoarthritis. It is often combined with glucosamine when used for this indication (</w:t>
      </w:r>
      <w:r>
        <w:rPr>
          <w:color w:val="000000"/>
        </w:rPr>
        <w:t>3</w:t>
      </w:r>
      <w:r w:rsidRPr="00B3605D">
        <w:rPr>
          <w:color w:val="000000"/>
        </w:rPr>
        <w:t>).</w:t>
      </w:r>
      <w:r>
        <w:rPr>
          <w:color w:val="000000"/>
        </w:rPr>
        <w:t xml:space="preserve"> However the National Institute for Health and Care Excellence (NICE) recommends that neither chondroitin nor glucosamine should be used for the management of osteoarthritis due to limited and uncertain evidence of effectiveness (4). </w:t>
      </w:r>
      <w:r w:rsidRPr="00B3605D">
        <w:rPr>
          <w:color w:val="000000"/>
        </w:rPr>
        <w:t xml:space="preserve">There is no established dose of chondroitin for osteoarthritis, but manufacturers tend to recommend 400-1200mg daily (1). </w:t>
      </w:r>
      <w:r>
        <w:rPr>
          <w:color w:val="000000"/>
        </w:rPr>
        <w:t xml:space="preserve">Commercial chondroitin is often of bovine origin but may be from other sources </w:t>
      </w:r>
      <w:r w:rsidRPr="00B3605D">
        <w:rPr>
          <w:color w:val="000000"/>
        </w:rPr>
        <w:t>(</w:t>
      </w:r>
      <w:r>
        <w:rPr>
          <w:color w:val="000000"/>
        </w:rPr>
        <w:t>5</w:t>
      </w:r>
      <w:r w:rsidRPr="00B3605D">
        <w:rPr>
          <w:color w:val="000000"/>
        </w:rPr>
        <w:t>).</w:t>
      </w:r>
      <w:r>
        <w:rPr>
          <w:color w:val="000000"/>
        </w:rPr>
        <w:t xml:space="preserve">  The quality of chondroitin sulphate in several nutraceuticals has been found to be poor therefore it has been recommended that pharmaceutical-grade chondroitin is used (2).</w:t>
      </w:r>
    </w:p>
    <w:p w14:paraId="7D5F22CD" w14:textId="77777777" w:rsidR="00427F92" w:rsidRDefault="00427F92" w:rsidP="00427F92">
      <w:pPr>
        <w:pStyle w:val="Heading2"/>
      </w:pPr>
      <w:r>
        <w:t>Answer</w:t>
      </w:r>
    </w:p>
    <w:p w14:paraId="45C71213" w14:textId="77777777" w:rsidR="003578B5" w:rsidRPr="00B3605D" w:rsidRDefault="003578B5" w:rsidP="003578B5">
      <w:pPr>
        <w:rPr>
          <w:color w:val="000000"/>
        </w:rPr>
      </w:pPr>
      <w:r w:rsidRPr="00B3605D">
        <w:rPr>
          <w:color w:val="000000"/>
        </w:rPr>
        <w:t>There are two published case reports of increased International Normalised Ratio (INR) in patients receiving warfarin who self-medicated with glucosamine-chondroitin supplements (</w:t>
      </w:r>
      <w:r>
        <w:rPr>
          <w:color w:val="000000"/>
        </w:rPr>
        <w:t>6,7</w:t>
      </w:r>
      <w:r w:rsidRPr="00B3605D">
        <w:rPr>
          <w:color w:val="000000"/>
        </w:rPr>
        <w:t xml:space="preserve">). In one, a 69-year-old man with chronic atrial fibrillation was receiving oral warfarin 47.5mg/week when he started to take glucosamine hydrochloride 3000mg and chondroitin sulphate 2400mg daily. Other medications the patient was taking </w:t>
      </w:r>
      <w:r>
        <w:rPr>
          <w:color w:val="000000"/>
        </w:rPr>
        <w:t>included</w:t>
      </w:r>
      <w:r w:rsidRPr="00B3605D">
        <w:rPr>
          <w:color w:val="000000"/>
        </w:rPr>
        <w:t xml:space="preserve"> fexofenadine</w:t>
      </w:r>
      <w:r>
        <w:rPr>
          <w:color w:val="000000"/>
        </w:rPr>
        <w:t xml:space="preserve"> </w:t>
      </w:r>
      <w:r w:rsidRPr="00B3605D">
        <w:rPr>
          <w:color w:val="000000"/>
        </w:rPr>
        <w:t xml:space="preserve">(during </w:t>
      </w:r>
      <w:r>
        <w:rPr>
          <w:color w:val="000000"/>
        </w:rPr>
        <w:t xml:space="preserve">the </w:t>
      </w:r>
      <w:r w:rsidRPr="00B3605D">
        <w:rPr>
          <w:color w:val="000000"/>
        </w:rPr>
        <w:t>allergy season)</w:t>
      </w:r>
      <w:r>
        <w:rPr>
          <w:color w:val="000000"/>
        </w:rPr>
        <w:t>, paracetamol combination product as required for headaches and sumatriptan occasionally for migraines.</w:t>
      </w:r>
      <w:r w:rsidRPr="00B3605D">
        <w:rPr>
          <w:color w:val="000000"/>
        </w:rPr>
        <w:t xml:space="preserve"> Four weeks after he started taking the </w:t>
      </w:r>
      <w:r>
        <w:rPr>
          <w:color w:val="000000"/>
        </w:rPr>
        <w:t xml:space="preserve">glucosamine-chondroitin </w:t>
      </w:r>
      <w:r w:rsidRPr="00B3605D">
        <w:rPr>
          <w:color w:val="000000"/>
        </w:rPr>
        <w:t xml:space="preserve">supplement, the patient’s INR was found to have risen from 2.58 to 4.52. When the patient’s weekly warfarin dose was reduced to 40mg, his INR fell to 2.15. </w:t>
      </w:r>
      <w:r>
        <w:rPr>
          <w:color w:val="000000"/>
        </w:rPr>
        <w:t xml:space="preserve">Three months later, he </w:t>
      </w:r>
      <w:r w:rsidRPr="00B3605D">
        <w:rPr>
          <w:color w:val="000000"/>
        </w:rPr>
        <w:t>maintained his target INR</w:t>
      </w:r>
      <w:r>
        <w:rPr>
          <w:color w:val="000000"/>
        </w:rPr>
        <w:t xml:space="preserve"> despite continuing on the</w:t>
      </w:r>
      <w:r w:rsidRPr="00B3605D">
        <w:rPr>
          <w:color w:val="000000"/>
        </w:rPr>
        <w:t xml:space="preserve"> </w:t>
      </w:r>
      <w:r>
        <w:rPr>
          <w:color w:val="000000"/>
        </w:rPr>
        <w:br/>
      </w:r>
      <w:r w:rsidRPr="00B3605D">
        <w:rPr>
          <w:color w:val="000000"/>
        </w:rPr>
        <w:t xml:space="preserve">supplement </w:t>
      </w:r>
      <w:r>
        <w:rPr>
          <w:color w:val="000000"/>
        </w:rPr>
        <w:t>(6</w:t>
      </w:r>
      <w:r w:rsidRPr="00B3605D">
        <w:rPr>
          <w:color w:val="000000"/>
        </w:rPr>
        <w:t xml:space="preserve">). </w:t>
      </w:r>
    </w:p>
    <w:p w14:paraId="010D49A2" w14:textId="77777777" w:rsidR="003578B5" w:rsidRDefault="003578B5" w:rsidP="003578B5">
      <w:pPr>
        <w:rPr>
          <w:color w:val="000000"/>
        </w:rPr>
      </w:pPr>
      <w:r w:rsidRPr="00B3605D">
        <w:rPr>
          <w:color w:val="000000"/>
        </w:rPr>
        <w:t xml:space="preserve">The other case report describes a 71-year-old man who had received warfarin 7.5mg/day for atrial fibrillation for five years. The patient’s other medications were ezetimibe, simvastatin, amlodipine, lisinopril, hydrochlorothiazide, aspirin, vitamin C, vitamin E and fish oil. The doses of these medications had remained unchanged for two years. Throughout the time that he had taken warfarin, the patient had also taken glucosamine hydrochloride 1000mg and chondroitin sulphate 800mg daily. Three weeks after increasing his daily supplement dose to glucosamine </w:t>
      </w:r>
      <w:r>
        <w:rPr>
          <w:color w:val="000000"/>
        </w:rPr>
        <w:t>30</w:t>
      </w:r>
      <w:r w:rsidRPr="00B3605D">
        <w:rPr>
          <w:color w:val="000000"/>
        </w:rPr>
        <w:t>00mg and chondroitin 2400mg, the patient’s INR was found to have increased from 2.3 to 3.9. His INR fell to 2.6 only after the supplement had been stopped and his warfarin dose reduced by 3.75mg on alternate days (</w:t>
      </w:r>
      <w:r>
        <w:rPr>
          <w:color w:val="000000"/>
        </w:rPr>
        <w:t>7</w:t>
      </w:r>
      <w:r w:rsidRPr="00B3605D">
        <w:rPr>
          <w:color w:val="000000"/>
        </w:rPr>
        <w:t xml:space="preserve">). </w:t>
      </w:r>
    </w:p>
    <w:p w14:paraId="710FFC6A" w14:textId="0CF34A47" w:rsidR="00C27C6F" w:rsidRPr="003964E6" w:rsidRDefault="009F03E6" w:rsidP="003578B5">
      <w:pPr>
        <w:rPr>
          <w:color w:val="000000"/>
          <w:szCs w:val="20"/>
        </w:rPr>
      </w:pPr>
      <w:r>
        <w:rPr>
          <w:szCs w:val="20"/>
        </w:rPr>
        <w:t>The authors of this</w:t>
      </w:r>
      <w:r w:rsidR="004C45C2">
        <w:rPr>
          <w:szCs w:val="20"/>
        </w:rPr>
        <w:t xml:space="preserve"> 2008</w:t>
      </w:r>
      <w:r>
        <w:rPr>
          <w:szCs w:val="20"/>
        </w:rPr>
        <w:t xml:space="preserve"> case </w:t>
      </w:r>
      <w:r w:rsidR="00EF3DE2">
        <w:rPr>
          <w:szCs w:val="20"/>
        </w:rPr>
        <w:t>report found</w:t>
      </w:r>
      <w:r>
        <w:rPr>
          <w:szCs w:val="20"/>
        </w:rPr>
        <w:t xml:space="preserve"> further cases </w:t>
      </w:r>
      <w:r w:rsidR="007D1275">
        <w:rPr>
          <w:szCs w:val="20"/>
        </w:rPr>
        <w:t xml:space="preserve">in the Food and Drug Administration (FDA) MedWatch Adverse Events Reporting System (AERS) database (n=20), and in a World Health Organisation adverse drug reaction database (n=21), </w:t>
      </w:r>
      <w:r w:rsidR="00E74952">
        <w:rPr>
          <w:szCs w:val="20"/>
        </w:rPr>
        <w:t>in which warfarin interaction with glucosamine</w:t>
      </w:r>
      <w:r w:rsidR="004C45C2">
        <w:rPr>
          <w:szCs w:val="20"/>
        </w:rPr>
        <w:t xml:space="preserve">, chondroitin or </w:t>
      </w:r>
      <w:r w:rsidR="00E74952">
        <w:rPr>
          <w:szCs w:val="20"/>
        </w:rPr>
        <w:t>glucosamine plus chondroitin may have occurred</w:t>
      </w:r>
      <w:r>
        <w:rPr>
          <w:szCs w:val="20"/>
        </w:rPr>
        <w:t xml:space="preserve">. </w:t>
      </w:r>
      <w:r w:rsidR="00EF3DE2">
        <w:rPr>
          <w:szCs w:val="20"/>
        </w:rPr>
        <w:t>In three cases</w:t>
      </w:r>
      <w:r w:rsidR="00415923">
        <w:rPr>
          <w:szCs w:val="20"/>
        </w:rPr>
        <w:t xml:space="preserve"> (1 FDA, 2 WHO)</w:t>
      </w:r>
      <w:r w:rsidR="00EF3DE2">
        <w:rPr>
          <w:szCs w:val="20"/>
        </w:rPr>
        <w:t xml:space="preserve">, concomitant use of warfarin and chondroitin alone was reported, but </w:t>
      </w:r>
      <w:r w:rsidR="009D2162">
        <w:rPr>
          <w:szCs w:val="20"/>
        </w:rPr>
        <w:t>the absence of glucosamine from</w:t>
      </w:r>
      <w:r w:rsidR="00EF3DE2">
        <w:rPr>
          <w:szCs w:val="20"/>
        </w:rPr>
        <w:t xml:space="preserve"> the chondroitin product </w:t>
      </w:r>
      <w:r w:rsidR="009D2162">
        <w:rPr>
          <w:szCs w:val="20"/>
        </w:rPr>
        <w:t>used could not be verified</w:t>
      </w:r>
      <w:r w:rsidR="00EF3DE2">
        <w:rPr>
          <w:szCs w:val="20"/>
        </w:rPr>
        <w:t xml:space="preserve">. </w:t>
      </w:r>
      <w:r w:rsidR="00415923">
        <w:rPr>
          <w:szCs w:val="20"/>
        </w:rPr>
        <w:t>INR was increased with the addition of chondroitin to warfarin in each of these cases. The FDA case reported that INR was increased from 2.9 to 6.6 in a 67 year old male patient who had received warfarin for 2 years on the addition of chondroitin sulphate 1500 mg/day. Two days after the chondroitin was stopped</w:t>
      </w:r>
      <w:r w:rsidR="00E74952">
        <w:rPr>
          <w:szCs w:val="20"/>
        </w:rPr>
        <w:t>, the</w:t>
      </w:r>
      <w:r w:rsidR="00415923">
        <w:rPr>
          <w:szCs w:val="20"/>
        </w:rPr>
        <w:t xml:space="preserve"> INR fell to 2.1 </w:t>
      </w:r>
      <w:r w:rsidR="00A972A0">
        <w:rPr>
          <w:szCs w:val="20"/>
        </w:rPr>
        <w:t>(7)</w:t>
      </w:r>
      <w:r w:rsidR="00FC6BF6">
        <w:rPr>
          <w:szCs w:val="20"/>
        </w:rPr>
        <w:t>.</w:t>
      </w:r>
      <w:r w:rsidR="00853260" w:rsidRPr="00853260">
        <w:rPr>
          <w:szCs w:val="20"/>
        </w:rPr>
        <w:t xml:space="preserve"> </w:t>
      </w:r>
    </w:p>
    <w:p w14:paraId="75CE8073" w14:textId="49921B46" w:rsidR="003578B5" w:rsidRPr="00B3605D" w:rsidRDefault="002A3F2A" w:rsidP="003578B5">
      <w:pPr>
        <w:rPr>
          <w:color w:val="000000"/>
        </w:rPr>
      </w:pPr>
      <w:r>
        <w:rPr>
          <w:color w:val="000000"/>
        </w:rPr>
        <w:t>T</w:t>
      </w:r>
      <w:r w:rsidR="003578B5" w:rsidRPr="00B3605D">
        <w:rPr>
          <w:color w:val="000000"/>
        </w:rPr>
        <w:t>he possibility of chondroitin</w:t>
      </w:r>
      <w:r w:rsidR="00CD0C4C">
        <w:rPr>
          <w:color w:val="000000"/>
        </w:rPr>
        <w:t xml:space="preserve"> (alone)</w:t>
      </w:r>
      <w:r w:rsidR="003964E6">
        <w:rPr>
          <w:color w:val="000000"/>
        </w:rPr>
        <w:t xml:space="preserve"> </w:t>
      </w:r>
      <w:r w:rsidR="003578B5" w:rsidRPr="00B3605D">
        <w:rPr>
          <w:color w:val="000000"/>
        </w:rPr>
        <w:t>increasing the risk of bleeding in patients receiving anticoagulants or antiplatelet agents cannot be ruled out</w:t>
      </w:r>
      <w:r w:rsidR="003964E6">
        <w:rPr>
          <w:color w:val="000000"/>
        </w:rPr>
        <w:t xml:space="preserve"> (8)</w:t>
      </w:r>
      <w:r w:rsidR="003578B5" w:rsidRPr="00B3605D">
        <w:rPr>
          <w:color w:val="000000"/>
        </w:rPr>
        <w:t>. As it is a component of danaparoid, an anticoagulant that works by inhibiting activated factor X</w:t>
      </w:r>
      <w:r w:rsidR="003578B5">
        <w:rPr>
          <w:color w:val="000000"/>
        </w:rPr>
        <w:t xml:space="preserve"> (factor Xa)</w:t>
      </w:r>
      <w:r w:rsidR="003578B5" w:rsidRPr="00B3605D">
        <w:rPr>
          <w:color w:val="000000"/>
        </w:rPr>
        <w:t>, there is a theoretical risk of chondroitin having an anticoagulant effect in patients who take it for osteoarthritis</w:t>
      </w:r>
      <w:r w:rsidR="003578B5">
        <w:rPr>
          <w:color w:val="000000"/>
        </w:rPr>
        <w:t xml:space="preserve"> (</w:t>
      </w:r>
      <w:r w:rsidR="00AD1BAC">
        <w:rPr>
          <w:color w:val="000000"/>
        </w:rPr>
        <w:t>8</w:t>
      </w:r>
      <w:r w:rsidR="003578B5">
        <w:rPr>
          <w:color w:val="000000"/>
        </w:rPr>
        <w:t>)</w:t>
      </w:r>
      <w:r w:rsidR="003578B5" w:rsidRPr="00B3605D">
        <w:rPr>
          <w:color w:val="000000"/>
        </w:rPr>
        <w:t xml:space="preserve">. </w:t>
      </w:r>
      <w:r w:rsidR="003578B5" w:rsidRPr="00B3605D">
        <w:rPr>
          <w:i/>
          <w:color w:val="000000"/>
        </w:rPr>
        <w:t xml:space="preserve">In vitro </w:t>
      </w:r>
      <w:r w:rsidR="003578B5" w:rsidRPr="00B3605D">
        <w:rPr>
          <w:color w:val="000000"/>
        </w:rPr>
        <w:t>and animal studies have suggested that chondroitin prolongs bleeding time (</w:t>
      </w:r>
      <w:r w:rsidR="00AD1BAC">
        <w:rPr>
          <w:color w:val="000000"/>
        </w:rPr>
        <w:t>9</w:t>
      </w:r>
      <w:r w:rsidR="003578B5" w:rsidRPr="00B3605D">
        <w:rPr>
          <w:color w:val="000000"/>
        </w:rPr>
        <w:t xml:space="preserve">), but significant haematological changes were not seen in patients who received oral or parenteral chondroitin for six months in a </w:t>
      </w:r>
      <w:r w:rsidR="003578B5">
        <w:rPr>
          <w:color w:val="000000"/>
        </w:rPr>
        <w:t xml:space="preserve">non-randomised open-label </w:t>
      </w:r>
      <w:r w:rsidR="003578B5" w:rsidRPr="00B3605D">
        <w:rPr>
          <w:color w:val="000000"/>
        </w:rPr>
        <w:t>study (n=200)</w:t>
      </w:r>
      <w:r w:rsidR="003578B5">
        <w:rPr>
          <w:color w:val="000000"/>
        </w:rPr>
        <w:t>.</w:t>
      </w:r>
      <w:r w:rsidR="003578B5" w:rsidRPr="00B3605D">
        <w:rPr>
          <w:color w:val="000000"/>
        </w:rPr>
        <w:t xml:space="preserve"> </w:t>
      </w:r>
      <w:r w:rsidR="003578B5">
        <w:rPr>
          <w:color w:val="000000"/>
        </w:rPr>
        <w:t>However p</w:t>
      </w:r>
      <w:r w:rsidR="003578B5" w:rsidRPr="00B3605D">
        <w:rPr>
          <w:color w:val="000000"/>
        </w:rPr>
        <w:t>atients with cardiovascular or cerebral disease were excluded from this study and no details were given of patients’ drug histories (</w:t>
      </w:r>
      <w:r w:rsidR="003578B5">
        <w:rPr>
          <w:color w:val="000000"/>
        </w:rPr>
        <w:t>1</w:t>
      </w:r>
      <w:r w:rsidR="00AD1BAC">
        <w:rPr>
          <w:color w:val="000000"/>
        </w:rPr>
        <w:t>0</w:t>
      </w:r>
      <w:r w:rsidR="003578B5" w:rsidRPr="00B3605D">
        <w:rPr>
          <w:color w:val="000000"/>
        </w:rPr>
        <w:t>).</w:t>
      </w:r>
    </w:p>
    <w:p w14:paraId="0E22A941" w14:textId="7A7B1A45" w:rsidR="003578B5" w:rsidRDefault="003578B5" w:rsidP="003578B5">
      <w:pPr>
        <w:rPr>
          <w:color w:val="000000"/>
        </w:rPr>
      </w:pPr>
      <w:r w:rsidRPr="00B3605D">
        <w:rPr>
          <w:color w:val="000000"/>
        </w:rPr>
        <w:t xml:space="preserve">A search of the literature </w:t>
      </w:r>
      <w:r>
        <w:rPr>
          <w:color w:val="000000"/>
        </w:rPr>
        <w:t xml:space="preserve">for this Q&amp;A </w:t>
      </w:r>
      <w:r w:rsidRPr="00B3605D">
        <w:rPr>
          <w:color w:val="000000"/>
        </w:rPr>
        <w:t xml:space="preserve">found no </w:t>
      </w:r>
      <w:r w:rsidR="00F04EA6">
        <w:rPr>
          <w:color w:val="000000"/>
        </w:rPr>
        <w:t xml:space="preserve">evidence that was supportive of </w:t>
      </w:r>
      <w:r w:rsidRPr="00B3605D">
        <w:rPr>
          <w:color w:val="000000"/>
        </w:rPr>
        <w:t>drug interactions</w:t>
      </w:r>
      <w:r w:rsidR="00CC7D1D">
        <w:rPr>
          <w:color w:val="000000"/>
        </w:rPr>
        <w:t xml:space="preserve"> </w:t>
      </w:r>
      <w:r w:rsidRPr="00B3605D">
        <w:rPr>
          <w:color w:val="000000"/>
        </w:rPr>
        <w:t xml:space="preserve">between chondroitin and conventional medicines other than warfarin. </w:t>
      </w:r>
    </w:p>
    <w:p w14:paraId="577688A8" w14:textId="0723D8EC" w:rsidR="00EA280B" w:rsidRPr="00B3605D" w:rsidRDefault="00EA280B" w:rsidP="003578B5">
      <w:pPr>
        <w:rPr>
          <w:color w:val="000000"/>
        </w:rPr>
      </w:pPr>
      <w:r>
        <w:rPr>
          <w:rFonts w:cs="Arial"/>
        </w:rPr>
        <w:t>C</w:t>
      </w:r>
      <w:r w:rsidRPr="00B3605D">
        <w:rPr>
          <w:rFonts w:cs="Arial"/>
        </w:rPr>
        <w:t>aution should be exercised if chondroitin is used with warfari</w:t>
      </w:r>
      <w:r>
        <w:rPr>
          <w:rFonts w:cs="Arial"/>
        </w:rPr>
        <w:t>n or other anticoagulants</w:t>
      </w:r>
      <w:r w:rsidR="000F72E3">
        <w:rPr>
          <w:rFonts w:cs="Arial"/>
        </w:rPr>
        <w:t xml:space="preserve"> (such as acenocoumarol and phe</w:t>
      </w:r>
      <w:r w:rsidR="001C2E0E">
        <w:rPr>
          <w:rFonts w:cs="Arial"/>
        </w:rPr>
        <w:t xml:space="preserve">nindione), </w:t>
      </w:r>
      <w:r w:rsidR="000F72E3">
        <w:rPr>
          <w:rFonts w:cs="Arial"/>
        </w:rPr>
        <w:t>direct oral anticoagulants (DOACs)</w:t>
      </w:r>
      <w:r w:rsidR="001C2E0E">
        <w:rPr>
          <w:rFonts w:cs="Arial"/>
        </w:rPr>
        <w:t xml:space="preserve"> (such as </w:t>
      </w:r>
      <w:r w:rsidR="001C2E0E">
        <w:rPr>
          <w:rFonts w:cs="Arial"/>
        </w:rPr>
        <w:t>apixaban, dabigatran, edoxaban and rivaroxaban</w:t>
      </w:r>
      <w:r w:rsidR="001C2E0E">
        <w:rPr>
          <w:rFonts w:cs="Arial"/>
        </w:rPr>
        <w:t>),</w:t>
      </w:r>
      <w:r>
        <w:rPr>
          <w:rFonts w:cs="Arial"/>
        </w:rPr>
        <w:t xml:space="preserve"> </w:t>
      </w:r>
      <w:r w:rsidRPr="00B3605D">
        <w:rPr>
          <w:rFonts w:cs="Arial"/>
        </w:rPr>
        <w:t>or antiplatelet agents</w:t>
      </w:r>
      <w:r w:rsidR="001C2E0E">
        <w:rPr>
          <w:rFonts w:cs="Arial"/>
        </w:rPr>
        <w:t xml:space="preserve"> (such as aspirin, clopidogrel and dipyridamole)</w:t>
      </w:r>
      <w:r w:rsidR="000F72E3">
        <w:rPr>
          <w:rFonts w:cs="Arial"/>
        </w:rPr>
        <w:t xml:space="preserve"> or other medicine</w:t>
      </w:r>
      <w:r w:rsidR="006530D4">
        <w:rPr>
          <w:rFonts w:cs="Arial"/>
        </w:rPr>
        <w:t>s</w:t>
      </w:r>
      <w:r w:rsidR="000F72E3">
        <w:rPr>
          <w:rFonts w:cs="Arial"/>
        </w:rPr>
        <w:t xml:space="preserve"> that may increase the risk of bleeding</w:t>
      </w:r>
      <w:r w:rsidRPr="00B3605D">
        <w:rPr>
          <w:rFonts w:cs="Arial"/>
        </w:rPr>
        <w:t xml:space="preserve">. It is recommended that patients are monitored for bleeding episodes/changes in coagulation parameters if chondroitin is added to </w:t>
      </w:r>
      <w:r w:rsidR="000F72E3">
        <w:rPr>
          <w:rFonts w:cs="Arial"/>
        </w:rPr>
        <w:t>these types of medicines</w:t>
      </w:r>
      <w:r w:rsidRPr="00B3605D">
        <w:rPr>
          <w:rFonts w:cs="Arial"/>
        </w:rPr>
        <w:t>, or if the dose of chondroitin is changed</w:t>
      </w:r>
      <w:r>
        <w:rPr>
          <w:rFonts w:cs="Arial"/>
        </w:rPr>
        <w:t>.</w:t>
      </w:r>
    </w:p>
    <w:p w14:paraId="7FB3C9DC" w14:textId="06053E1E" w:rsidR="003578B5" w:rsidRDefault="003578B5" w:rsidP="00E92D22">
      <w:pPr>
        <w:rPr>
          <w:rFonts w:cs="Arial"/>
        </w:rPr>
      </w:pPr>
      <w:r>
        <w:rPr>
          <w:rFonts w:cs="Arial"/>
        </w:rPr>
        <w:t>Chondroitin is often given in combination with glucosamine</w:t>
      </w:r>
      <w:r w:rsidR="00841EF0">
        <w:rPr>
          <w:rFonts w:cs="Arial"/>
        </w:rPr>
        <w:t>.</w:t>
      </w:r>
      <w:r>
        <w:rPr>
          <w:rFonts w:cs="Arial"/>
        </w:rPr>
        <w:t xml:space="preserve"> </w:t>
      </w:r>
      <w:r w:rsidR="00A53FDE">
        <w:rPr>
          <w:rFonts w:cs="Arial"/>
        </w:rPr>
        <w:t>It should be noted that t</w:t>
      </w:r>
      <w:r w:rsidRPr="00B3605D">
        <w:rPr>
          <w:rFonts w:cs="Arial"/>
        </w:rPr>
        <w:t>he Medicines and Healthcare products Regulatory Agency (MHRA) recommend</w:t>
      </w:r>
      <w:r w:rsidR="00841EF0">
        <w:rPr>
          <w:rFonts w:cs="Arial"/>
        </w:rPr>
        <w:t>s</w:t>
      </w:r>
      <w:r w:rsidRPr="00B3605D">
        <w:rPr>
          <w:rFonts w:cs="Arial"/>
        </w:rPr>
        <w:t xml:space="preserve"> patients on warfarin do not take glucosamine</w:t>
      </w:r>
      <w:r w:rsidR="008D456C">
        <w:rPr>
          <w:rFonts w:cs="Arial"/>
        </w:rPr>
        <w:t>.</w:t>
      </w:r>
      <w:r w:rsidR="00A53FDE">
        <w:rPr>
          <w:rFonts w:cs="Arial"/>
        </w:rPr>
        <w:t xml:space="preserve"> Further information is provided in t</w:t>
      </w:r>
      <w:r w:rsidR="008D456C">
        <w:rPr>
          <w:rFonts w:cs="Arial"/>
        </w:rPr>
        <w:t>he</w:t>
      </w:r>
      <w:r w:rsidR="00DE1D34" w:rsidRPr="00F252CE">
        <w:rPr>
          <w:rStyle w:val="Hyperlink"/>
          <w:rFonts w:cs="Arial"/>
        </w:rPr>
        <w:t xml:space="preserve"> </w:t>
      </w:r>
      <w:hyperlink r:id="rId9" w:history="1">
        <w:r w:rsidR="00F252CE" w:rsidRPr="00F252CE">
          <w:rPr>
            <w:rStyle w:val="Hyperlink"/>
            <w:rFonts w:cs="Arial"/>
          </w:rPr>
          <w:t>'UKMi Q&amp;A ‘Glu</w:t>
        </w:r>
        <w:r w:rsidR="00F252CE" w:rsidRPr="00F252CE">
          <w:rPr>
            <w:rStyle w:val="Hyperlink"/>
            <w:rFonts w:cs="Arial"/>
          </w:rPr>
          <w:t>c</w:t>
        </w:r>
        <w:r w:rsidR="00F252CE" w:rsidRPr="00F252CE">
          <w:rPr>
            <w:rStyle w:val="Hyperlink"/>
            <w:rFonts w:cs="Arial"/>
          </w:rPr>
          <w:t>osamine – what are its drug interactions?'</w:t>
        </w:r>
      </w:hyperlink>
      <w:r w:rsidR="00841EF0">
        <w:rPr>
          <w:rFonts w:cs="Arial"/>
        </w:rPr>
        <w:t xml:space="preserve"> (1</w:t>
      </w:r>
      <w:r w:rsidR="00AD1BAC">
        <w:rPr>
          <w:rFonts w:cs="Arial"/>
        </w:rPr>
        <w:t>1</w:t>
      </w:r>
      <w:r w:rsidR="00841EF0">
        <w:rPr>
          <w:rFonts w:cs="Arial"/>
        </w:rPr>
        <w:t>).</w:t>
      </w:r>
      <w:r w:rsidRPr="00B3605D">
        <w:rPr>
          <w:rFonts w:cs="Arial"/>
        </w:rPr>
        <w:t xml:space="preserve"> </w:t>
      </w:r>
    </w:p>
    <w:p w14:paraId="2F5400CC" w14:textId="77777777" w:rsidR="00427F92" w:rsidRPr="009752DF" w:rsidRDefault="00427F92" w:rsidP="00427F92">
      <w:pPr>
        <w:pStyle w:val="Heading2"/>
        <w:rPr>
          <w:rFonts w:cs="Arial"/>
        </w:rPr>
      </w:pPr>
      <w:r w:rsidRPr="009752DF">
        <w:rPr>
          <w:rFonts w:cs="Arial"/>
        </w:rPr>
        <w:t>Summary</w:t>
      </w:r>
    </w:p>
    <w:p w14:paraId="7C276715" w14:textId="1033FA0C" w:rsidR="00FA5C4E" w:rsidRPr="006530D4" w:rsidRDefault="003578B5" w:rsidP="006530D4">
      <w:pPr>
        <w:pStyle w:val="ListParagraph"/>
        <w:numPr>
          <w:ilvl w:val="0"/>
          <w:numId w:val="16"/>
        </w:numPr>
        <w:spacing w:after="0" w:line="240" w:lineRule="auto"/>
        <w:rPr>
          <w:color w:val="000000"/>
        </w:rPr>
      </w:pPr>
      <w:r w:rsidRPr="006530D4">
        <w:rPr>
          <w:color w:val="000000"/>
        </w:rPr>
        <w:t>There are two published case reports of increased INR in patients receiving warfarin who self-medicated with glucosamine-chondroitin supplements.</w:t>
      </w:r>
      <w:r w:rsidR="00403A29">
        <w:rPr>
          <w:color w:val="000000"/>
        </w:rPr>
        <w:t xml:space="preserve"> INR was increased in a further three cases where chondroitin was reportedly used alone. </w:t>
      </w:r>
      <w:r w:rsidRPr="006530D4">
        <w:rPr>
          <w:color w:val="000000"/>
        </w:rPr>
        <w:t xml:space="preserve"> </w:t>
      </w:r>
    </w:p>
    <w:p w14:paraId="1F9111A8" w14:textId="77777777" w:rsidR="00FA5C4E" w:rsidRPr="006530D4" w:rsidRDefault="003578B5" w:rsidP="006530D4">
      <w:pPr>
        <w:pStyle w:val="ListParagraph"/>
        <w:numPr>
          <w:ilvl w:val="0"/>
          <w:numId w:val="16"/>
        </w:numPr>
        <w:spacing w:after="0" w:line="240" w:lineRule="auto"/>
        <w:rPr>
          <w:color w:val="000000"/>
        </w:rPr>
      </w:pPr>
      <w:r w:rsidRPr="006530D4">
        <w:rPr>
          <w:color w:val="000000"/>
        </w:rPr>
        <w:t xml:space="preserve">Since chondroitin is a component of danaparoid, an anticoagulant that works by inhibiting activated factor X, it might have an anticoagulant effect and could increase the risk of bleeding in patients who are already receiving anticoagulants. </w:t>
      </w:r>
    </w:p>
    <w:p w14:paraId="6A1329F4" w14:textId="77777777" w:rsidR="006530D4" w:rsidRPr="006530D4" w:rsidRDefault="006530D4" w:rsidP="006530D4">
      <w:pPr>
        <w:pStyle w:val="ListParagraph"/>
        <w:numPr>
          <w:ilvl w:val="0"/>
          <w:numId w:val="16"/>
        </w:numPr>
        <w:spacing w:after="0" w:line="240" w:lineRule="auto"/>
        <w:rPr>
          <w:color w:val="000000"/>
        </w:rPr>
      </w:pPr>
      <w:r>
        <w:rPr>
          <w:rFonts w:cs="Arial"/>
        </w:rPr>
        <w:t>C</w:t>
      </w:r>
      <w:r w:rsidRPr="00B3605D">
        <w:rPr>
          <w:rFonts w:cs="Arial"/>
        </w:rPr>
        <w:t>aution should be exercised if chondroitin is used with warfari</w:t>
      </w:r>
      <w:r>
        <w:rPr>
          <w:rFonts w:cs="Arial"/>
        </w:rPr>
        <w:t xml:space="preserve">n or other anticoagulants (such as acenocoumarol and phenindione), direct oral anticoagulants (DOACs) (such as apixaban, dabigatran, edoxaban and rivaroxaban), </w:t>
      </w:r>
      <w:r w:rsidRPr="00B3605D">
        <w:rPr>
          <w:rFonts w:cs="Arial"/>
        </w:rPr>
        <w:t>or antiplatelet agents</w:t>
      </w:r>
      <w:r>
        <w:rPr>
          <w:rFonts w:cs="Arial"/>
        </w:rPr>
        <w:t xml:space="preserve"> (such as aspirin, clopidogrel and dipyridamole) or other medicines that may increase the risk of bleeding</w:t>
      </w:r>
      <w:r w:rsidRPr="00B3605D">
        <w:rPr>
          <w:rFonts w:cs="Arial"/>
        </w:rPr>
        <w:t xml:space="preserve">. </w:t>
      </w:r>
    </w:p>
    <w:p w14:paraId="2C8F981E" w14:textId="7C3D589E" w:rsidR="00FA5C4E" w:rsidRPr="006530D4" w:rsidRDefault="003578B5" w:rsidP="006530D4">
      <w:pPr>
        <w:pStyle w:val="ListParagraph"/>
        <w:numPr>
          <w:ilvl w:val="0"/>
          <w:numId w:val="16"/>
        </w:numPr>
        <w:spacing w:after="0" w:line="240" w:lineRule="auto"/>
        <w:rPr>
          <w:color w:val="000000"/>
        </w:rPr>
      </w:pPr>
      <w:r w:rsidRPr="006530D4">
        <w:rPr>
          <w:color w:val="000000"/>
        </w:rPr>
        <w:t xml:space="preserve">Monitoring for bleeding episodes/changes in coagulation parameters when adding chondroitin to an anticoagulant or antiplatelet, or changing the dose of chondroitin is recommended. </w:t>
      </w:r>
    </w:p>
    <w:p w14:paraId="44AF5FF6" w14:textId="1BCB8F3E" w:rsidR="003578B5" w:rsidRPr="00853260" w:rsidRDefault="003578B5" w:rsidP="006530D4">
      <w:pPr>
        <w:pStyle w:val="ListParagraph"/>
        <w:numPr>
          <w:ilvl w:val="0"/>
          <w:numId w:val="16"/>
        </w:numPr>
        <w:spacing w:after="0" w:line="240" w:lineRule="auto"/>
        <w:rPr>
          <w:rFonts w:cs="Arial"/>
          <w:lang w:val="en-US"/>
        </w:rPr>
      </w:pPr>
      <w:r w:rsidRPr="00853260">
        <w:rPr>
          <w:rFonts w:cs="Arial"/>
        </w:rPr>
        <w:t>Chondroitin is often given in combination with glucosamine</w:t>
      </w:r>
      <w:r w:rsidR="007755D1" w:rsidRPr="00853260">
        <w:rPr>
          <w:rFonts w:cs="Arial"/>
        </w:rPr>
        <w:t>;</w:t>
      </w:r>
      <w:r w:rsidR="00D91644" w:rsidRPr="00853260">
        <w:rPr>
          <w:rFonts w:cs="Arial"/>
        </w:rPr>
        <w:t xml:space="preserve"> </w:t>
      </w:r>
      <w:r w:rsidRPr="00853260">
        <w:rPr>
          <w:rFonts w:cs="Arial"/>
        </w:rPr>
        <w:t xml:space="preserve">readers are therefore advised to refer also to the </w:t>
      </w:r>
      <w:hyperlink r:id="rId10" w:history="1">
        <w:r w:rsidR="00F252CE" w:rsidRPr="00FA5C4E">
          <w:rPr>
            <w:rStyle w:val="Hyperlink"/>
            <w:rFonts w:cs="Arial"/>
          </w:rPr>
          <w:t>UKMi Q&amp;A on glucosamine and drug interactions</w:t>
        </w:r>
      </w:hyperlink>
      <w:r w:rsidRPr="00853260">
        <w:rPr>
          <w:rFonts w:cs="Arial"/>
        </w:rPr>
        <w:t>.</w:t>
      </w:r>
    </w:p>
    <w:p w14:paraId="17012FA5" w14:textId="77777777" w:rsidR="003578B5" w:rsidRDefault="003578B5" w:rsidP="00427F92">
      <w:pPr>
        <w:spacing w:after="0" w:line="240" w:lineRule="auto"/>
        <w:rPr>
          <w:rStyle w:val="Heading3Char"/>
          <w:rFonts w:eastAsia="Calibri"/>
        </w:rPr>
      </w:pPr>
    </w:p>
    <w:p w14:paraId="5BACF53C" w14:textId="77777777" w:rsidR="00D91644" w:rsidRDefault="00D91644" w:rsidP="00427F92">
      <w:pPr>
        <w:spacing w:after="0" w:line="240" w:lineRule="auto"/>
        <w:rPr>
          <w:rStyle w:val="Heading3Char"/>
          <w:rFonts w:eastAsia="Calibri"/>
        </w:rPr>
      </w:pPr>
    </w:p>
    <w:p w14:paraId="238D872A" w14:textId="77777777" w:rsidR="00427F92" w:rsidRDefault="00427F92" w:rsidP="00427F92">
      <w:pPr>
        <w:spacing w:after="0" w:line="240" w:lineRule="auto"/>
      </w:pPr>
      <w:r w:rsidRPr="00B1695F">
        <w:rPr>
          <w:rStyle w:val="Heading3Char"/>
          <w:rFonts w:eastAsia="Calibri"/>
        </w:rPr>
        <w:t>Limitations</w:t>
      </w:r>
      <w:r w:rsidRPr="00B00B12">
        <w:rPr>
          <w:rFonts w:eastAsia="Times New Roman" w:cs="Arial"/>
          <w:b/>
          <w:color w:val="0000FF"/>
          <w:szCs w:val="20"/>
          <w:lang w:val="en-US"/>
        </w:rPr>
        <w:br/>
      </w:r>
      <w:r w:rsidR="003578B5">
        <w:rPr>
          <w:rFonts w:cs="Arial"/>
        </w:rPr>
        <w:t>There is limited published information on chondroitin.</w:t>
      </w:r>
      <w:r w:rsidR="003578B5" w:rsidRPr="002A177F">
        <w:rPr>
          <w:rFonts w:cs="Arial"/>
        </w:rPr>
        <w:t xml:space="preserve"> </w:t>
      </w:r>
      <w:r w:rsidR="003578B5">
        <w:t>The available information relates to chondroitin/glucosamine combinations which makes it difficult to attribute the effect of an interaction to one particular constituent.</w:t>
      </w:r>
      <w:r w:rsidR="003578B5" w:rsidRPr="007C4651">
        <w:t xml:space="preserve">  </w:t>
      </w:r>
    </w:p>
    <w:p w14:paraId="07870EE8" w14:textId="77777777" w:rsidR="00427F92" w:rsidRPr="00B00B12" w:rsidRDefault="00427F92" w:rsidP="00427F92">
      <w:pPr>
        <w:pStyle w:val="Heading3"/>
        <w:rPr>
          <w:lang w:val="en-US"/>
        </w:rPr>
      </w:pPr>
      <w:r w:rsidRPr="00B00B12">
        <w:rPr>
          <w:lang w:val="en-US"/>
        </w:rPr>
        <w:t>References</w:t>
      </w:r>
    </w:p>
    <w:p w14:paraId="63539A0B" w14:textId="474D0EB7" w:rsidR="003578B5" w:rsidRDefault="003578B5" w:rsidP="003578B5">
      <w:pPr>
        <w:pStyle w:val="BodyText"/>
        <w:numPr>
          <w:ilvl w:val="0"/>
          <w:numId w:val="11"/>
        </w:numPr>
      </w:pPr>
      <w:r>
        <w:t xml:space="preserve">Mason P. </w:t>
      </w:r>
      <w:r w:rsidRPr="00B3605D">
        <w:t>Chondroitin</w:t>
      </w:r>
      <w:r>
        <w:t xml:space="preserve"> monograph</w:t>
      </w:r>
      <w:r w:rsidRPr="00B3605D">
        <w:t xml:space="preserve">. Dietary supplements, </w:t>
      </w:r>
      <w:smartTag w:uri="urn:schemas-microsoft-com:office:smarttags" w:element="place">
        <w:smartTag w:uri="urn:schemas-microsoft-com:office:smarttags" w:element="City">
          <w:r w:rsidRPr="00B3605D">
            <w:t>London</w:t>
          </w:r>
        </w:smartTag>
      </w:smartTag>
      <w:r w:rsidRPr="00B3605D">
        <w:t>: Pharmaceutical Press. Electronic version, 2008.</w:t>
      </w:r>
      <w:r>
        <w:t xml:space="preserve"> </w:t>
      </w:r>
      <w:r w:rsidR="00874AA3">
        <w:t>Accessed via</w:t>
      </w:r>
      <w:r>
        <w:t xml:space="preserve">: </w:t>
      </w:r>
      <w:hyperlink r:id="rId11" w:history="1">
        <w:r>
          <w:rPr>
            <w:rStyle w:val="Hyperlink"/>
          </w:rPr>
          <w:t>http://www.medicinescomplete.com</w:t>
        </w:r>
      </w:hyperlink>
      <w:r>
        <w:t xml:space="preserve"> [cited 1</w:t>
      </w:r>
      <w:r w:rsidR="00F252CE">
        <w:t>4</w:t>
      </w:r>
      <w:r>
        <w:t>/</w:t>
      </w:r>
      <w:r w:rsidR="00874AA3">
        <w:t>1</w:t>
      </w:r>
      <w:r>
        <w:t>/</w:t>
      </w:r>
      <w:r w:rsidR="00F252CE">
        <w:t>20</w:t>
      </w:r>
      <w:r w:rsidR="00441B7E">
        <w:t>20</w:t>
      </w:r>
      <w:r>
        <w:t>].</w:t>
      </w:r>
    </w:p>
    <w:p w14:paraId="194987F1" w14:textId="77777777" w:rsidR="003578B5" w:rsidRPr="00B3605D" w:rsidRDefault="003578B5" w:rsidP="003578B5">
      <w:pPr>
        <w:pStyle w:val="BodyText"/>
        <w:numPr>
          <w:ilvl w:val="0"/>
          <w:numId w:val="11"/>
        </w:numPr>
      </w:pPr>
      <w:r>
        <w:rPr>
          <w:rFonts w:cs="Arial"/>
        </w:rPr>
        <w:t>Hochberg M, Chevalier X, Henroitin Y et al. Symptom and structure modification in osteoarthritis with pharmaceutical grade chondroitin sulphate: what’s the evidence? Cur Med Res Opinion 2013;29</w:t>
      </w:r>
      <w:r w:rsidRPr="0035051A">
        <w:rPr>
          <w:rFonts w:cs="Arial"/>
        </w:rPr>
        <w:t>(3):</w:t>
      </w:r>
      <w:r>
        <w:rPr>
          <w:rFonts w:cs="Arial"/>
        </w:rPr>
        <w:t>259-67.</w:t>
      </w:r>
    </w:p>
    <w:p w14:paraId="34F0EA44" w14:textId="5473DDFE" w:rsidR="003578B5" w:rsidRPr="00AD1149" w:rsidRDefault="003578B5" w:rsidP="003578B5">
      <w:pPr>
        <w:pStyle w:val="BodyText"/>
        <w:numPr>
          <w:ilvl w:val="0"/>
          <w:numId w:val="11"/>
        </w:numPr>
      </w:pPr>
      <w:r w:rsidRPr="00AD1149">
        <w:t xml:space="preserve">Chondroitin sulfate monograph. Natural Medicines Comprehensive Database. </w:t>
      </w:r>
      <w:r w:rsidR="0083468A">
        <w:t>Accessed via</w:t>
      </w:r>
      <w:r w:rsidRPr="00AD1149">
        <w:t xml:space="preserve">: </w:t>
      </w:r>
      <w:hyperlink r:id="rId12" w:history="1">
        <w:r w:rsidR="00672A88" w:rsidRPr="00672A88">
          <w:rPr>
            <w:rStyle w:val="Hyperlink"/>
          </w:rPr>
          <w:t>https://naturalmedicines.therapeuticresearch.com/databases/food,-herbs-supplements/professional.aspx?productid=744</w:t>
        </w:r>
      </w:hyperlink>
      <w:r w:rsidRPr="00AD1149">
        <w:t xml:space="preserve">[cited </w:t>
      </w:r>
      <w:r>
        <w:t>1</w:t>
      </w:r>
      <w:r w:rsidR="00D42AA5">
        <w:t>4</w:t>
      </w:r>
      <w:r w:rsidRPr="00AD1149">
        <w:t>/</w:t>
      </w:r>
      <w:r w:rsidR="00270B17">
        <w:t>1</w:t>
      </w:r>
      <w:r w:rsidRPr="00AD1149">
        <w:t>/</w:t>
      </w:r>
      <w:r w:rsidR="00D42AA5">
        <w:t>2020</w:t>
      </w:r>
      <w:r w:rsidRPr="003B2544">
        <w:t>]</w:t>
      </w:r>
      <w:r>
        <w:t>.</w:t>
      </w:r>
    </w:p>
    <w:p w14:paraId="1957F1A5" w14:textId="7C183548" w:rsidR="003578B5" w:rsidRDefault="003578B5" w:rsidP="003578B5">
      <w:pPr>
        <w:pStyle w:val="BodyText"/>
        <w:numPr>
          <w:ilvl w:val="0"/>
          <w:numId w:val="11"/>
        </w:numPr>
      </w:pPr>
      <w:r w:rsidRPr="00C36897">
        <w:t>National Institute for Health and C</w:t>
      </w:r>
      <w:r>
        <w:t>are</w:t>
      </w:r>
      <w:r w:rsidRPr="00C36897">
        <w:t xml:space="preserve"> Excellence. </w:t>
      </w:r>
      <w:r>
        <w:t>Osteoarthritis</w:t>
      </w:r>
      <w:r w:rsidRPr="00C36897">
        <w:t xml:space="preserve">: </w:t>
      </w:r>
      <w:r>
        <w:t xml:space="preserve">care </w:t>
      </w:r>
      <w:r w:rsidRPr="00C36897">
        <w:t>and management in adults. (</w:t>
      </w:r>
      <w:r>
        <w:t xml:space="preserve">February </w:t>
      </w:r>
      <w:r w:rsidRPr="00C36897">
        <w:t>20</w:t>
      </w:r>
      <w:r>
        <w:t>14</w:t>
      </w:r>
      <w:r w:rsidRPr="00C36897">
        <w:t xml:space="preserve">) (CG </w:t>
      </w:r>
      <w:r>
        <w:t>177</w:t>
      </w:r>
      <w:r w:rsidRPr="00C36897">
        <w:t xml:space="preserve">). </w:t>
      </w:r>
      <w:smartTag w:uri="urn:schemas-microsoft-com:office:smarttags" w:element="place">
        <w:smartTag w:uri="urn:schemas-microsoft-com:office:smarttags" w:element="City">
          <w:r w:rsidRPr="00C36897">
            <w:t>London</w:t>
          </w:r>
        </w:smartTag>
      </w:smartTag>
      <w:r w:rsidRPr="00C36897">
        <w:t>: National Institute for Health and Clinical Excellence. Available</w:t>
      </w:r>
      <w:r>
        <w:t xml:space="preserve"> from:</w:t>
      </w:r>
      <w:r w:rsidR="001B51F9">
        <w:t xml:space="preserve"> </w:t>
      </w:r>
      <w:hyperlink r:id="rId13" w:history="1">
        <w:r w:rsidR="00672A88" w:rsidRPr="00672A88">
          <w:rPr>
            <w:rStyle w:val="Hyperlink"/>
          </w:rPr>
          <w:t>https://www.nice.org.uk/guidance/cg177</w:t>
        </w:r>
      </w:hyperlink>
      <w:r w:rsidR="00672A88">
        <w:rPr>
          <w:rStyle w:val="Hyperlink"/>
        </w:rPr>
        <w:t xml:space="preserve"> </w:t>
      </w:r>
      <w:r w:rsidRPr="00C36897">
        <w:t xml:space="preserve">[cited </w:t>
      </w:r>
      <w:r>
        <w:t>1</w:t>
      </w:r>
      <w:r w:rsidR="002A3F2A">
        <w:t>4</w:t>
      </w:r>
      <w:r w:rsidRPr="00C36897">
        <w:t>/</w:t>
      </w:r>
      <w:r>
        <w:t>1</w:t>
      </w:r>
      <w:r w:rsidRPr="00C36897">
        <w:t>/</w:t>
      </w:r>
      <w:r w:rsidR="002A3F2A">
        <w:t>2020</w:t>
      </w:r>
      <w:r w:rsidRPr="00C36897">
        <w:t>].</w:t>
      </w:r>
    </w:p>
    <w:p w14:paraId="5DDE1098" w14:textId="77777777" w:rsidR="003578B5" w:rsidRDefault="003578B5" w:rsidP="003578B5">
      <w:pPr>
        <w:pStyle w:val="BodyText"/>
        <w:numPr>
          <w:ilvl w:val="0"/>
          <w:numId w:val="11"/>
        </w:numPr>
      </w:pPr>
      <w:r w:rsidRPr="00B3605D">
        <w:t>Mazieres B, Combe B, Phan Van A, Tondut J, Grynfeltt M. Chondroitin sulfate in osteoarthritis of the knee: a prospective, double blind, placebo controlled multicenter clinical study. J Rheumatol 2001;28:173-</w:t>
      </w:r>
      <w:r w:rsidRPr="00AD1149">
        <w:t>81.</w:t>
      </w:r>
    </w:p>
    <w:p w14:paraId="2B2F8644" w14:textId="77777777" w:rsidR="003578B5" w:rsidRPr="00B3605D" w:rsidRDefault="003578B5" w:rsidP="003578B5">
      <w:pPr>
        <w:pStyle w:val="BodyText"/>
        <w:numPr>
          <w:ilvl w:val="0"/>
          <w:numId w:val="11"/>
        </w:numPr>
      </w:pPr>
      <w:r w:rsidRPr="00B3605D">
        <w:t>Rozenfeld V, Crain JL, Callahan A K. Possible augmentation of warfarin effect by glucosamine-chondroitin. Am J Health-Syst Pharm 2004;61:306-7.</w:t>
      </w:r>
    </w:p>
    <w:p w14:paraId="593E9985" w14:textId="77777777" w:rsidR="003578B5" w:rsidRPr="00B3605D" w:rsidRDefault="003578B5" w:rsidP="003578B5">
      <w:pPr>
        <w:pStyle w:val="BodyText"/>
        <w:numPr>
          <w:ilvl w:val="0"/>
          <w:numId w:val="11"/>
        </w:numPr>
      </w:pPr>
      <w:r w:rsidRPr="00B3605D">
        <w:t>Knudsen JF and Sokol GH. Potential glucosamine-warfarin interaction resulting in increased international normalized ratio: case report and review of the literature and MedWatch database. Pharmacotherapy 2008;28:540-8.</w:t>
      </w:r>
    </w:p>
    <w:p w14:paraId="4727D247" w14:textId="1D511B76" w:rsidR="003578B5" w:rsidRDefault="00F95F80" w:rsidP="003578B5">
      <w:pPr>
        <w:pStyle w:val="BodyText"/>
        <w:numPr>
          <w:ilvl w:val="0"/>
          <w:numId w:val="11"/>
        </w:numPr>
      </w:pPr>
      <w:r w:rsidRPr="00BC284A">
        <w:rPr>
          <w:rFonts w:cs="Arial"/>
          <w:bCs/>
        </w:rPr>
        <w:t>IBM Micromedex® Alternative Medicine:</w:t>
      </w:r>
      <w:r>
        <w:rPr>
          <w:rFonts w:cs="Arial"/>
        </w:rPr>
        <w:t xml:space="preserve"> (Chondroitin). In: IBM Micromedex® Alternative Medicine (electronic version). IBM Watson Health, Greenwood Village, Colorado, USA.</w:t>
      </w:r>
      <w:r w:rsidR="003578B5">
        <w:rPr>
          <w:rFonts w:cs="Arial"/>
        </w:rPr>
        <w:t xml:space="preserve"> Available at</w:t>
      </w:r>
      <w:r w:rsidR="00841EF0">
        <w:rPr>
          <w:rFonts w:cs="Arial"/>
        </w:rPr>
        <w:t xml:space="preserve">: </w:t>
      </w:r>
      <w:hyperlink r:id="rId14" w:history="1">
        <w:r w:rsidR="00A53FDE" w:rsidRPr="00A53FDE">
          <w:rPr>
            <w:rStyle w:val="Hyperlink"/>
            <w:rFonts w:cs="Arial"/>
          </w:rPr>
          <w:t>http://www.micromedexsolutions.com/micromedex2/librarian/</w:t>
        </w:r>
      </w:hyperlink>
      <w:r w:rsidR="003578B5" w:rsidRPr="00FF4D98">
        <w:rPr>
          <w:rFonts w:cs="Arial"/>
        </w:rPr>
        <w:t xml:space="preserve"> </w:t>
      </w:r>
      <w:r w:rsidR="003578B5">
        <w:rPr>
          <w:rFonts w:cs="Arial"/>
        </w:rPr>
        <w:t>(</w:t>
      </w:r>
      <w:r w:rsidR="003578B5" w:rsidRPr="00FF4D98">
        <w:rPr>
          <w:rFonts w:cs="Arial"/>
        </w:rPr>
        <w:t>cited</w:t>
      </w:r>
      <w:r w:rsidR="003578B5">
        <w:rPr>
          <w:rFonts w:cs="Arial"/>
        </w:rPr>
        <w:t xml:space="preserve"> </w:t>
      </w:r>
      <w:r>
        <w:rPr>
          <w:rFonts w:cs="Arial"/>
        </w:rPr>
        <w:t>20</w:t>
      </w:r>
      <w:r w:rsidR="003578B5">
        <w:rPr>
          <w:rFonts w:cs="Arial"/>
        </w:rPr>
        <w:t>/</w:t>
      </w:r>
      <w:r w:rsidR="006C3259">
        <w:rPr>
          <w:rFonts w:cs="Arial"/>
        </w:rPr>
        <w:t>1</w:t>
      </w:r>
      <w:r w:rsidR="003578B5">
        <w:rPr>
          <w:rFonts w:cs="Arial"/>
        </w:rPr>
        <w:t>/</w:t>
      </w:r>
      <w:r>
        <w:rPr>
          <w:rFonts w:cs="Arial"/>
        </w:rPr>
        <w:t>2020</w:t>
      </w:r>
      <w:r w:rsidR="003578B5" w:rsidRPr="00FF4D98">
        <w:rPr>
          <w:rFonts w:cs="Arial"/>
        </w:rPr>
        <w:t>).</w:t>
      </w:r>
      <w:r w:rsidR="003578B5" w:rsidRPr="00B3605D">
        <w:t xml:space="preserve"> </w:t>
      </w:r>
    </w:p>
    <w:p w14:paraId="5DBABA5E" w14:textId="77777777" w:rsidR="003578B5" w:rsidRPr="00B3605D" w:rsidRDefault="003578B5" w:rsidP="003578B5">
      <w:pPr>
        <w:pStyle w:val="BodyText"/>
        <w:numPr>
          <w:ilvl w:val="0"/>
          <w:numId w:val="11"/>
        </w:numPr>
      </w:pPr>
      <w:r w:rsidRPr="00B3605D">
        <w:t>Nakazawa K, Murata K, Izuka K, Oshima Y. The short-term effects of chondroitin sulfates A and C on coronary atherosclerotic subjects: with reference to its antithrombogenic activities. Jpn Heart J 1969;10:289-96.</w:t>
      </w:r>
    </w:p>
    <w:p w14:paraId="5F8C9A6A" w14:textId="77777777" w:rsidR="003578B5" w:rsidRPr="00B3605D" w:rsidRDefault="003578B5" w:rsidP="003578B5">
      <w:pPr>
        <w:pStyle w:val="BodyText"/>
        <w:numPr>
          <w:ilvl w:val="0"/>
          <w:numId w:val="11"/>
        </w:numPr>
      </w:pPr>
      <w:r w:rsidRPr="00E13593">
        <w:rPr>
          <w:lang w:val="it-IT"/>
        </w:rPr>
        <w:t xml:space="preserve">Oliviero U, Sorrentino GP, DePaola P, et al. </w:t>
      </w:r>
      <w:r w:rsidRPr="00B3605D">
        <w:t>Effects of the treatment with Matrix on elderly people with chronic articular degeneration. Drugs Exp Clin Res 1991;17:45-51.</w:t>
      </w:r>
    </w:p>
    <w:p w14:paraId="300CAE6C" w14:textId="4B97426D" w:rsidR="003578B5" w:rsidRDefault="003578B5" w:rsidP="003578B5">
      <w:pPr>
        <w:pStyle w:val="BodyText"/>
        <w:numPr>
          <w:ilvl w:val="0"/>
          <w:numId w:val="11"/>
        </w:numPr>
        <w:rPr>
          <w:rFonts w:cs="Arial"/>
        </w:rPr>
      </w:pPr>
      <w:r w:rsidRPr="00B3605D">
        <w:t>UKMI Q&amp;A G</w:t>
      </w:r>
      <w:r>
        <w:t xml:space="preserve">lucosamine – </w:t>
      </w:r>
      <w:r w:rsidR="0072173A">
        <w:t xml:space="preserve">what are its </w:t>
      </w:r>
      <w:r>
        <w:t>drug interactions</w:t>
      </w:r>
      <w:r w:rsidR="00853DE5">
        <w:t>?</w:t>
      </w:r>
      <w:r>
        <w:t xml:space="preserve"> A</w:t>
      </w:r>
      <w:r w:rsidR="00853DE5">
        <w:t>ccessed via</w:t>
      </w:r>
      <w:r>
        <w:t xml:space="preserve">: </w:t>
      </w:r>
      <w:hyperlink r:id="rId15" w:history="1">
        <w:r w:rsidR="003964E6" w:rsidRPr="003964E6">
          <w:rPr>
            <w:rStyle w:val="Hyperlink"/>
          </w:rPr>
          <w:t xml:space="preserve">  https://www.sps.nhs.uk/articles/glucosamine-what-are-its-drug-interactions/</w:t>
        </w:r>
      </w:hyperlink>
      <w:r w:rsidR="003964E6">
        <w:rPr>
          <w:rStyle w:val="Hyperlink"/>
        </w:rPr>
        <w:t xml:space="preserve"> </w:t>
      </w:r>
      <w:r w:rsidR="00853DE5">
        <w:t>[</w:t>
      </w:r>
      <w:r>
        <w:t xml:space="preserve">cited </w:t>
      </w:r>
      <w:r w:rsidR="00AD1BAC">
        <w:t>14</w:t>
      </w:r>
      <w:r>
        <w:t>/</w:t>
      </w:r>
      <w:r w:rsidR="00672A88">
        <w:t>1</w:t>
      </w:r>
      <w:r>
        <w:t>/</w:t>
      </w:r>
      <w:r w:rsidR="00AD1BAC">
        <w:t>2020</w:t>
      </w:r>
      <w:r w:rsidR="00853DE5">
        <w:t>]</w:t>
      </w:r>
      <w:r>
        <w:t>.</w:t>
      </w:r>
    </w:p>
    <w:p w14:paraId="4B1B0B78" w14:textId="77777777" w:rsidR="003578B5" w:rsidRDefault="003578B5" w:rsidP="00427F92">
      <w:pPr>
        <w:pStyle w:val="Heading2"/>
      </w:pPr>
    </w:p>
    <w:p w14:paraId="6793D016" w14:textId="77777777" w:rsidR="00427F92" w:rsidRDefault="00427F92" w:rsidP="00427F92">
      <w:pPr>
        <w:pStyle w:val="Heading2"/>
      </w:pPr>
      <w:r w:rsidRPr="00B00B12">
        <w:t xml:space="preserve">Quality Assurance </w:t>
      </w:r>
    </w:p>
    <w:p w14:paraId="2CA2BF80" w14:textId="77777777" w:rsidR="00427F92" w:rsidRPr="00B00B12" w:rsidRDefault="00427F92" w:rsidP="00427F92">
      <w:pPr>
        <w:pStyle w:val="Heading3"/>
        <w:rPr>
          <w:lang w:val="en-US"/>
        </w:rPr>
      </w:pPr>
      <w:r w:rsidRPr="00B00B12">
        <w:rPr>
          <w:lang w:val="en-US"/>
        </w:rPr>
        <w:t>Prepared by</w:t>
      </w:r>
    </w:p>
    <w:p w14:paraId="7A994D5D" w14:textId="77777777" w:rsidR="003578B5" w:rsidRPr="00DA4F13" w:rsidRDefault="003578B5" w:rsidP="003578B5">
      <w:pPr>
        <w:rPr>
          <w:rFonts w:cs="Arial"/>
        </w:rPr>
      </w:pPr>
      <w:r>
        <w:rPr>
          <w:rFonts w:cs="Arial"/>
        </w:rPr>
        <w:t xml:space="preserve">Alex Bailey, </w:t>
      </w:r>
      <w:smartTag w:uri="urn:schemas-microsoft-com:office:smarttags" w:element="PersonName">
        <w:r>
          <w:rPr>
            <w:rFonts w:cs="Arial"/>
          </w:rPr>
          <w:t>Welsh Medicines Information</w:t>
        </w:r>
      </w:smartTag>
      <w:r>
        <w:rPr>
          <w:rFonts w:cs="Arial"/>
        </w:rPr>
        <w:t xml:space="preserve"> Centre, University Hospital of Wales (based on earlier work by Lindsay Davies and Anna Burgess)</w:t>
      </w:r>
    </w:p>
    <w:p w14:paraId="6639EE01" w14:textId="77777777" w:rsidR="00427F92" w:rsidRPr="00B00B12" w:rsidRDefault="00427F92" w:rsidP="00427F92">
      <w:pPr>
        <w:pStyle w:val="Heading3"/>
        <w:rPr>
          <w:lang w:val="en-US"/>
        </w:rPr>
      </w:pPr>
      <w:r w:rsidRPr="00B00B12">
        <w:rPr>
          <w:lang w:val="en-US"/>
        </w:rPr>
        <w:t>Date Prepared</w:t>
      </w:r>
    </w:p>
    <w:p w14:paraId="59ED1CB9" w14:textId="0E56920B" w:rsidR="00672A88" w:rsidRDefault="00F95F80" w:rsidP="00427F92">
      <w:pPr>
        <w:spacing w:after="0" w:line="240" w:lineRule="auto"/>
        <w:rPr>
          <w:lang w:val="en-US"/>
        </w:rPr>
      </w:pPr>
      <w:r>
        <w:rPr>
          <w:lang w:val="en-US"/>
        </w:rPr>
        <w:t>20</w:t>
      </w:r>
      <w:r w:rsidR="00415923" w:rsidRPr="00672A88">
        <w:rPr>
          <w:vertAlign w:val="superscript"/>
          <w:lang w:val="en-US"/>
        </w:rPr>
        <w:t>th</w:t>
      </w:r>
      <w:r w:rsidR="00415923">
        <w:rPr>
          <w:lang w:val="en-US"/>
        </w:rPr>
        <w:t xml:space="preserve"> January 2020</w:t>
      </w:r>
    </w:p>
    <w:p w14:paraId="0E99DCD3" w14:textId="77777777" w:rsidR="00672A88" w:rsidRDefault="00672A88" w:rsidP="00427F92">
      <w:pPr>
        <w:spacing w:after="0" w:line="240" w:lineRule="auto"/>
        <w:rPr>
          <w:lang w:val="en-US"/>
        </w:rPr>
      </w:pPr>
    </w:p>
    <w:p w14:paraId="340BCBFC" w14:textId="77777777" w:rsidR="00E92D22" w:rsidRDefault="00427F92" w:rsidP="006530D4">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CC7D1D">
        <w:rPr>
          <w:rFonts w:eastAsia="Times New Roman" w:cs="Arial"/>
          <w:szCs w:val="20"/>
          <w:lang w:val="en-US"/>
        </w:rPr>
        <w:t>Gail Woodland, Welsh Medicines Information Centre</w:t>
      </w:r>
      <w:r w:rsidRPr="00B00B12">
        <w:rPr>
          <w:rFonts w:eastAsia="Times New Roman" w:cs="Arial"/>
          <w:szCs w:val="20"/>
          <w:lang w:val="en-US"/>
        </w:rPr>
        <w:t xml:space="preserve"> </w:t>
      </w:r>
    </w:p>
    <w:p w14:paraId="316141E9" w14:textId="439D5651" w:rsidR="00427F92" w:rsidRPr="006530D4" w:rsidRDefault="00427F92" w:rsidP="006530D4">
      <w:pPr>
        <w:spacing w:after="0" w:line="240" w:lineRule="auto"/>
        <w:rPr>
          <w:b/>
          <w:color w:val="0070C0"/>
          <w:lang w:val="en-US"/>
        </w:rPr>
      </w:pPr>
      <w:r w:rsidRPr="00B00B12">
        <w:rPr>
          <w:lang w:val="en-US"/>
        </w:rPr>
        <w:br/>
      </w:r>
      <w:r w:rsidRPr="006530D4">
        <w:rPr>
          <w:b/>
          <w:color w:val="0070C0"/>
          <w:lang w:val="en-US"/>
        </w:rPr>
        <w:t>Date of check</w:t>
      </w:r>
    </w:p>
    <w:p w14:paraId="2A2D608D" w14:textId="0C17B6AD" w:rsidR="00BC284A" w:rsidRPr="00B1695F" w:rsidRDefault="00BC284A" w:rsidP="006530D4">
      <w:pPr>
        <w:spacing w:after="0" w:line="240" w:lineRule="auto"/>
        <w:rPr>
          <w:rFonts w:cs="Arial"/>
          <w:lang w:val="en-US"/>
        </w:rPr>
      </w:pPr>
      <w:r>
        <w:rPr>
          <w:lang w:val="en-US"/>
        </w:rPr>
        <w:t>23</w:t>
      </w:r>
      <w:r w:rsidRPr="006530D4">
        <w:rPr>
          <w:vertAlign w:val="superscript"/>
          <w:lang w:val="en-US"/>
        </w:rPr>
        <w:t>rd</w:t>
      </w:r>
      <w:r>
        <w:rPr>
          <w:lang w:val="en-US"/>
        </w:rPr>
        <w:t xml:space="preserve"> January 2020</w:t>
      </w:r>
    </w:p>
    <w:p w14:paraId="21108492" w14:textId="542E168C" w:rsidR="00427F92" w:rsidRPr="00B00B12" w:rsidRDefault="00672A88" w:rsidP="00427F92">
      <w:pPr>
        <w:pStyle w:val="Heading3"/>
        <w:rPr>
          <w:lang w:val="en-US"/>
        </w:rPr>
      </w:pPr>
      <w:r>
        <w:rPr>
          <w:lang w:val="en-US"/>
        </w:rPr>
        <w:t xml:space="preserve"> </w:t>
      </w:r>
      <w:r w:rsidR="00427F92" w:rsidRPr="00B00B12">
        <w:rPr>
          <w:lang w:val="en-US"/>
        </w:rPr>
        <w:t>Search strategy</w:t>
      </w:r>
    </w:p>
    <w:p w14:paraId="11BA9302" w14:textId="253C9D2C" w:rsidR="003578B5" w:rsidRPr="007A3A37" w:rsidRDefault="003578B5" w:rsidP="007A3A37">
      <w:pPr>
        <w:pStyle w:val="ListParagraph"/>
        <w:numPr>
          <w:ilvl w:val="0"/>
          <w:numId w:val="18"/>
        </w:numPr>
        <w:spacing w:after="0" w:line="240" w:lineRule="auto"/>
        <w:rPr>
          <w:rFonts w:cs="Arial"/>
        </w:rPr>
      </w:pPr>
      <w:r w:rsidRPr="007A3A37">
        <w:rPr>
          <w:rFonts w:cs="Arial"/>
          <w:color w:val="000000"/>
        </w:rPr>
        <w:t>Embase</w:t>
      </w:r>
      <w:r w:rsidRPr="007A3A37">
        <w:rPr>
          <w:rFonts w:cs="Arial"/>
        </w:rPr>
        <w:t xml:space="preserve"> (chondroitin sulfate AND exp drug interaction)</w:t>
      </w:r>
      <w:r w:rsidR="00ED5474" w:rsidRPr="007A3A37">
        <w:rPr>
          <w:rFonts w:cs="Arial"/>
        </w:rPr>
        <w:t xml:space="preserve"> OR (chondroitin sulfate/it [Drug Interaction]</w:t>
      </w:r>
    </w:p>
    <w:p w14:paraId="3DA66F85" w14:textId="14CE9838" w:rsidR="003578B5" w:rsidRPr="007A3A37" w:rsidRDefault="003578B5" w:rsidP="007A3A37">
      <w:pPr>
        <w:pStyle w:val="ListParagraph"/>
        <w:numPr>
          <w:ilvl w:val="0"/>
          <w:numId w:val="18"/>
        </w:numPr>
        <w:spacing w:after="0" w:line="240" w:lineRule="auto"/>
        <w:rPr>
          <w:rFonts w:cs="Arial"/>
        </w:rPr>
      </w:pPr>
      <w:r w:rsidRPr="007A3A37">
        <w:rPr>
          <w:rFonts w:cs="Arial"/>
          <w:color w:val="000000"/>
        </w:rPr>
        <w:t xml:space="preserve">Medline </w:t>
      </w:r>
      <w:r w:rsidRPr="007A3A37">
        <w:rPr>
          <w:rFonts w:cs="Arial"/>
        </w:rPr>
        <w:t>(exp chondroitin sulfates AND exp drug interactions)</w:t>
      </w:r>
    </w:p>
    <w:p w14:paraId="35111935" w14:textId="54B2633A" w:rsidR="003578B5" w:rsidRPr="007A3A37" w:rsidRDefault="003578B5" w:rsidP="007A3A37">
      <w:pPr>
        <w:pStyle w:val="ListParagraph"/>
        <w:numPr>
          <w:ilvl w:val="0"/>
          <w:numId w:val="18"/>
        </w:numPr>
        <w:spacing w:after="0" w:line="240" w:lineRule="auto"/>
        <w:rPr>
          <w:rFonts w:cs="Arial"/>
        </w:rPr>
      </w:pPr>
      <w:r w:rsidRPr="007A3A37">
        <w:rPr>
          <w:rFonts w:cs="Arial"/>
        </w:rPr>
        <w:t>IDIS (</w:t>
      </w:r>
      <w:r w:rsidRPr="007A3A37">
        <w:rPr>
          <w:rFonts w:cs="Arial"/>
          <w:bCs/>
        </w:rPr>
        <w:t>[DR] chondroitin 92520008 AND [DE] drug interaction 50</w:t>
      </w:r>
      <w:r w:rsidR="00ED5474" w:rsidRPr="007A3A37">
        <w:rPr>
          <w:rFonts w:cs="Arial"/>
          <w:bCs/>
        </w:rPr>
        <w:t xml:space="preserve"> [until 2014]</w:t>
      </w:r>
      <w:r w:rsidRPr="007A3A37">
        <w:rPr>
          <w:rFonts w:cs="Arial"/>
          <w:bCs/>
        </w:rPr>
        <w:t>)</w:t>
      </w:r>
    </w:p>
    <w:p w14:paraId="6C00E290" w14:textId="444FFF38" w:rsidR="003578B5" w:rsidRPr="007A3A37" w:rsidRDefault="003578B5" w:rsidP="007A3A37">
      <w:pPr>
        <w:pStyle w:val="ListParagraph"/>
        <w:numPr>
          <w:ilvl w:val="0"/>
          <w:numId w:val="18"/>
        </w:numPr>
        <w:spacing w:after="0" w:line="240" w:lineRule="auto"/>
        <w:rPr>
          <w:rFonts w:cs="Arial"/>
        </w:rPr>
      </w:pPr>
      <w:r w:rsidRPr="007A3A37">
        <w:rPr>
          <w:rFonts w:cs="Arial"/>
        </w:rPr>
        <w:t>In-house database (chondroitin AND interact</w:t>
      </w:r>
      <w:r w:rsidR="00ED5474" w:rsidRPr="007A3A37">
        <w:rPr>
          <w:rFonts w:cs="Arial"/>
        </w:rPr>
        <w:t>* (text)</w:t>
      </w:r>
      <w:r w:rsidRPr="007A3A37">
        <w:rPr>
          <w:rFonts w:cs="Arial"/>
        </w:rPr>
        <w:t>; chondroitin AND drug  interactions</w:t>
      </w:r>
      <w:r w:rsidR="00ED5474" w:rsidRPr="007A3A37">
        <w:rPr>
          <w:rFonts w:cs="Arial"/>
        </w:rPr>
        <w:t xml:space="preserve"> (keyword)</w:t>
      </w:r>
      <w:r w:rsidRPr="007A3A37">
        <w:rPr>
          <w:rFonts w:cs="Arial"/>
        </w:rPr>
        <w:t>)</w:t>
      </w:r>
    </w:p>
    <w:p w14:paraId="7900A61F" w14:textId="4BFEDBB6" w:rsidR="003578B5" w:rsidRPr="007A3A37" w:rsidRDefault="003578B5" w:rsidP="007A3A37">
      <w:pPr>
        <w:pStyle w:val="ListParagraph"/>
        <w:numPr>
          <w:ilvl w:val="0"/>
          <w:numId w:val="18"/>
        </w:numPr>
        <w:spacing w:after="0" w:line="240" w:lineRule="auto"/>
        <w:rPr>
          <w:rFonts w:cs="Arial"/>
        </w:rPr>
      </w:pPr>
      <w:r w:rsidRPr="007A3A37">
        <w:rPr>
          <w:rFonts w:cs="Arial"/>
        </w:rPr>
        <w:t>Micromedex (chondroitin)</w:t>
      </w:r>
    </w:p>
    <w:p w14:paraId="28F1DE30" w14:textId="77777777" w:rsidR="003578B5" w:rsidRPr="007A3A37" w:rsidRDefault="003578B5" w:rsidP="007A3A37">
      <w:pPr>
        <w:pStyle w:val="ListParagraph"/>
        <w:numPr>
          <w:ilvl w:val="0"/>
          <w:numId w:val="18"/>
        </w:numPr>
        <w:spacing w:after="0" w:line="240" w:lineRule="auto"/>
        <w:rPr>
          <w:rFonts w:cs="Arial"/>
          <w:color w:val="000000"/>
        </w:rPr>
      </w:pPr>
      <w:r w:rsidRPr="007A3A37">
        <w:rPr>
          <w:rFonts w:cs="Arial"/>
          <w:color w:val="000000"/>
        </w:rPr>
        <w:t>Stockley’s Drug Interactions (via Medicines Complete) (chondroitin)</w:t>
      </w:r>
    </w:p>
    <w:p w14:paraId="61E592B4" w14:textId="77777777" w:rsidR="003578B5" w:rsidRPr="007A3A37" w:rsidRDefault="003578B5" w:rsidP="007A3A37">
      <w:pPr>
        <w:pStyle w:val="ListParagraph"/>
        <w:numPr>
          <w:ilvl w:val="0"/>
          <w:numId w:val="18"/>
        </w:numPr>
        <w:spacing w:after="0" w:line="240" w:lineRule="auto"/>
        <w:rPr>
          <w:rFonts w:cs="Arial"/>
          <w:color w:val="0000FF"/>
          <w:u w:val="single"/>
        </w:rPr>
      </w:pPr>
      <w:r w:rsidRPr="007A3A37">
        <w:rPr>
          <w:rFonts w:cs="Arial"/>
          <w:color w:val="000000"/>
        </w:rPr>
        <w:t>Dietary Supplements (via Medicines Complete) (chondroitin)</w:t>
      </w:r>
    </w:p>
    <w:p w14:paraId="3F39F73B" w14:textId="77777777" w:rsidR="003578B5" w:rsidRPr="007A3A37" w:rsidRDefault="003578B5" w:rsidP="007A3A37">
      <w:pPr>
        <w:pStyle w:val="ListParagraph"/>
        <w:numPr>
          <w:ilvl w:val="0"/>
          <w:numId w:val="18"/>
        </w:numPr>
        <w:spacing w:after="0" w:line="240" w:lineRule="auto"/>
        <w:rPr>
          <w:rFonts w:cs="Arial"/>
          <w:color w:val="000000"/>
        </w:rPr>
      </w:pPr>
      <w:r w:rsidRPr="007A3A37">
        <w:rPr>
          <w:rFonts w:cs="Arial"/>
          <w:color w:val="000000"/>
        </w:rPr>
        <w:t>Natural Medicines Comprehensive Database (chondroitin)</w:t>
      </w:r>
    </w:p>
    <w:p w14:paraId="2DCE653B" w14:textId="01DFD5F8" w:rsidR="003578B5" w:rsidRPr="007A3A37" w:rsidRDefault="003578B5" w:rsidP="007A3A37">
      <w:pPr>
        <w:pStyle w:val="ListParagraph"/>
        <w:numPr>
          <w:ilvl w:val="0"/>
          <w:numId w:val="18"/>
        </w:numPr>
        <w:spacing w:after="0" w:line="240" w:lineRule="auto"/>
        <w:rPr>
          <w:rFonts w:cs="Arial"/>
          <w:color w:val="000000"/>
        </w:rPr>
      </w:pPr>
      <w:r w:rsidRPr="007A3A37">
        <w:rPr>
          <w:rFonts w:cs="Arial"/>
          <w:color w:val="000000"/>
        </w:rPr>
        <w:t>NHS Evidence (</w:t>
      </w:r>
      <w:r w:rsidR="00ED5474" w:rsidRPr="007A3A37">
        <w:rPr>
          <w:rFonts w:cs="Arial"/>
          <w:color w:val="000000"/>
        </w:rPr>
        <w:t>“</w:t>
      </w:r>
      <w:r w:rsidRPr="007A3A37">
        <w:rPr>
          <w:rFonts w:cs="Arial"/>
          <w:color w:val="000000"/>
        </w:rPr>
        <w:t>drug interactions</w:t>
      </w:r>
      <w:r w:rsidR="00ED5474" w:rsidRPr="007A3A37">
        <w:rPr>
          <w:rFonts w:cs="Arial"/>
          <w:color w:val="000000"/>
        </w:rPr>
        <w:t>”</w:t>
      </w:r>
      <w:r w:rsidRPr="007A3A37">
        <w:rPr>
          <w:rFonts w:cs="Arial"/>
          <w:color w:val="000000"/>
        </w:rPr>
        <w:t xml:space="preserve"> AND chondroitin)</w:t>
      </w:r>
    </w:p>
    <w:p w14:paraId="620E5742" w14:textId="77777777" w:rsidR="003578B5" w:rsidRPr="007A3A37" w:rsidRDefault="003578B5" w:rsidP="007A3A37">
      <w:pPr>
        <w:pStyle w:val="ListParagraph"/>
        <w:numPr>
          <w:ilvl w:val="0"/>
          <w:numId w:val="18"/>
        </w:numPr>
        <w:spacing w:after="0" w:line="240" w:lineRule="auto"/>
        <w:rPr>
          <w:rFonts w:cs="Arial"/>
          <w:color w:val="000000"/>
        </w:rPr>
      </w:pPr>
      <w:r w:rsidRPr="007A3A37">
        <w:rPr>
          <w:rFonts w:cs="Arial"/>
          <w:color w:val="000000"/>
        </w:rPr>
        <w:t>Memorial Sloan Kettering Cancer Center site (chondroitin)</w:t>
      </w:r>
      <w:bookmarkStart w:id="0" w:name="_GoBack"/>
      <w:bookmarkEnd w:id="0"/>
    </w:p>
    <w:p w14:paraId="5B365C1C" w14:textId="77777777" w:rsidR="003578B5" w:rsidRPr="007A3A37" w:rsidRDefault="003578B5" w:rsidP="007A3A37">
      <w:pPr>
        <w:pStyle w:val="ListParagraph"/>
        <w:numPr>
          <w:ilvl w:val="0"/>
          <w:numId w:val="18"/>
        </w:numPr>
        <w:spacing w:after="0" w:line="240" w:lineRule="auto"/>
        <w:rPr>
          <w:rFonts w:cs="Arial"/>
          <w:color w:val="000000"/>
        </w:rPr>
      </w:pPr>
      <w:r w:rsidRPr="007A3A37">
        <w:rPr>
          <w:rFonts w:cs="Arial"/>
          <w:color w:val="000000"/>
        </w:rPr>
        <w:t>MHRA website (chondroitin)</w:t>
      </w:r>
    </w:p>
    <w:p w14:paraId="4F7895E8" w14:textId="0320337C" w:rsidR="003578B5" w:rsidRPr="007A3A37" w:rsidRDefault="003578B5" w:rsidP="007A3A37">
      <w:pPr>
        <w:pStyle w:val="ListParagraph"/>
        <w:numPr>
          <w:ilvl w:val="0"/>
          <w:numId w:val="18"/>
        </w:numPr>
        <w:spacing w:after="0" w:line="240" w:lineRule="auto"/>
        <w:rPr>
          <w:rFonts w:cs="Arial"/>
          <w:color w:val="000000"/>
        </w:rPr>
      </w:pPr>
      <w:r w:rsidRPr="007A3A37">
        <w:rPr>
          <w:rFonts w:cs="Arial"/>
          <w:color w:val="000000"/>
        </w:rPr>
        <w:t xml:space="preserve">Cochrane </w:t>
      </w:r>
      <w:r w:rsidR="00ED5474" w:rsidRPr="007A3A37">
        <w:rPr>
          <w:rFonts w:cs="Arial"/>
          <w:color w:val="000000"/>
        </w:rPr>
        <w:t>(</w:t>
      </w:r>
      <w:r w:rsidRPr="007A3A37">
        <w:rPr>
          <w:rFonts w:cs="Arial"/>
          <w:color w:val="000000"/>
        </w:rPr>
        <w:t>chondroitin</w:t>
      </w:r>
      <w:r w:rsidR="00FB5D5F" w:rsidRPr="007A3A37">
        <w:rPr>
          <w:rFonts w:cs="Arial"/>
          <w:color w:val="000000"/>
        </w:rPr>
        <w:t xml:space="preserve"> </w:t>
      </w:r>
      <w:r w:rsidRPr="007A3A37">
        <w:rPr>
          <w:rFonts w:cs="Arial"/>
          <w:color w:val="000000"/>
        </w:rPr>
        <w:t>AND interaction)</w:t>
      </w:r>
    </w:p>
    <w:p w14:paraId="60EA5AA7" w14:textId="29B8057E" w:rsidR="00025060" w:rsidRPr="00427F92" w:rsidRDefault="00025060" w:rsidP="00427F92"/>
    <w:sectPr w:rsidR="00025060" w:rsidRPr="00427F92" w:rsidSect="004F475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7B960" w14:textId="77777777" w:rsidR="001D6798" w:rsidRDefault="001D6798" w:rsidP="00B2372E">
      <w:pPr>
        <w:spacing w:after="0" w:line="240" w:lineRule="auto"/>
      </w:pPr>
      <w:r>
        <w:separator/>
      </w:r>
    </w:p>
  </w:endnote>
  <w:endnote w:type="continuationSeparator" w:id="0">
    <w:p w14:paraId="12EE08D4" w14:textId="77777777" w:rsidR="001D6798" w:rsidRDefault="001D6798"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255E5" w14:textId="77777777" w:rsidR="00B2372E" w:rsidRPr="006945F6" w:rsidRDefault="00B2372E"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64962308" w14:textId="77777777" w:rsidR="00B2372E" w:rsidRPr="006945F6" w:rsidRDefault="007A3A37" w:rsidP="00B2372E">
    <w:pPr>
      <w:pStyle w:val="Footer"/>
      <w:ind w:right="360"/>
      <w:rPr>
        <w:color w:val="A6A6A6"/>
      </w:rPr>
    </w:pPr>
    <w:hyperlink r:id="rId1" w:history="1">
      <w:r w:rsidR="00B2372E" w:rsidRPr="00AB2D91">
        <w:rPr>
          <w:rStyle w:val="Hyperlink"/>
        </w:rPr>
        <w:t>www.sps.nhs.uk</w:t>
      </w:r>
    </w:hyperlink>
    <w:r w:rsidR="00B2372E">
      <w:rPr>
        <w:color w:val="A6A6A6"/>
      </w:rPr>
      <w:t xml:space="preserve"> </w:t>
    </w:r>
  </w:p>
  <w:p w14:paraId="6ECAD8DF" w14:textId="77777777" w:rsidR="00B2372E" w:rsidRDefault="00B23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57724" w14:textId="77777777" w:rsidR="001D6798" w:rsidRDefault="001D6798" w:rsidP="00B2372E">
      <w:pPr>
        <w:spacing w:after="0" w:line="240" w:lineRule="auto"/>
      </w:pPr>
      <w:r>
        <w:separator/>
      </w:r>
    </w:p>
  </w:footnote>
  <w:footnote w:type="continuationSeparator" w:id="0">
    <w:p w14:paraId="103913F1" w14:textId="77777777" w:rsidR="001D6798" w:rsidRDefault="001D6798"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0FD3" w14:textId="77777777" w:rsidR="00B2372E" w:rsidRPr="00B1695F" w:rsidRDefault="003A21B9"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558D9F96" wp14:editId="3530148F">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274BF6">
      <w:rPr>
        <w:b/>
        <w:noProof/>
        <w:color w:val="0070C0"/>
        <w:sz w:val="24"/>
        <w:lang w:eastAsia="en-GB"/>
      </w:rPr>
      <mc:AlternateContent>
        <mc:Choice Requires="wps">
          <w:drawing>
            <wp:anchor distT="0" distB="0" distL="114300" distR="114300" simplePos="0" relativeHeight="251663360" behindDoc="0" locked="0" layoutInCell="1" allowOverlap="1" wp14:anchorId="10918E57" wp14:editId="3B0E51A8">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24F28"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01A399E9" w14:textId="77777777" w:rsidR="003A21B9" w:rsidRDefault="003A2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18E57"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14:paraId="66024F28"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01A399E9" w14:textId="77777777" w:rsidR="003A21B9" w:rsidRDefault="003A21B9"/>
                </w:txbxContent>
              </v:textbox>
            </v:shape>
          </w:pict>
        </mc:Fallback>
      </mc:AlternateContent>
    </w:r>
  </w:p>
  <w:p w14:paraId="594FEABE" w14:textId="77777777" w:rsidR="00B2372E" w:rsidRDefault="00274BF6">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2F5F80C2" wp14:editId="7DDB6D70">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15D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52EE5"/>
    <w:multiLevelType w:val="hybridMultilevel"/>
    <w:tmpl w:val="677A3910"/>
    <w:lvl w:ilvl="0" w:tplc="0809000F">
      <w:start w:val="1"/>
      <w:numFmt w:val="decimal"/>
      <w:lvlText w:val="%1."/>
      <w:lvlJc w:val="left"/>
      <w:pPr>
        <w:tabs>
          <w:tab w:val="num" w:pos="170"/>
        </w:tabs>
        <w:ind w:left="170" w:hanging="170"/>
      </w:pPr>
      <w:rPr>
        <w:rFonts w:hint="default"/>
        <w:color w:val="000000"/>
        <w:sz w:val="20"/>
        <w:szCs w:val="16"/>
      </w:rPr>
    </w:lvl>
    <w:lvl w:ilvl="1" w:tplc="08090003" w:tentative="1">
      <w:start w:val="1"/>
      <w:numFmt w:val="bullet"/>
      <w:lvlText w:val="o"/>
      <w:lvlJc w:val="left"/>
      <w:pPr>
        <w:tabs>
          <w:tab w:val="num" w:pos="820"/>
        </w:tabs>
        <w:ind w:left="820" w:hanging="360"/>
      </w:pPr>
      <w:rPr>
        <w:rFonts w:ascii="Courier New" w:hAnsi="Courier New" w:cs="Courier New" w:hint="default"/>
      </w:rPr>
    </w:lvl>
    <w:lvl w:ilvl="2" w:tplc="08090005" w:tentative="1">
      <w:start w:val="1"/>
      <w:numFmt w:val="bullet"/>
      <w:lvlText w:val=""/>
      <w:lvlJc w:val="left"/>
      <w:pPr>
        <w:tabs>
          <w:tab w:val="num" w:pos="1540"/>
        </w:tabs>
        <w:ind w:left="1540" w:hanging="360"/>
      </w:pPr>
      <w:rPr>
        <w:rFonts w:ascii="Wingdings" w:hAnsi="Wingdings" w:hint="default"/>
      </w:rPr>
    </w:lvl>
    <w:lvl w:ilvl="3" w:tplc="08090001" w:tentative="1">
      <w:start w:val="1"/>
      <w:numFmt w:val="bullet"/>
      <w:lvlText w:val=""/>
      <w:lvlJc w:val="left"/>
      <w:pPr>
        <w:tabs>
          <w:tab w:val="num" w:pos="2260"/>
        </w:tabs>
        <w:ind w:left="2260" w:hanging="360"/>
      </w:pPr>
      <w:rPr>
        <w:rFonts w:ascii="Symbol" w:hAnsi="Symbol" w:hint="default"/>
      </w:rPr>
    </w:lvl>
    <w:lvl w:ilvl="4" w:tplc="08090003" w:tentative="1">
      <w:start w:val="1"/>
      <w:numFmt w:val="bullet"/>
      <w:lvlText w:val="o"/>
      <w:lvlJc w:val="left"/>
      <w:pPr>
        <w:tabs>
          <w:tab w:val="num" w:pos="2980"/>
        </w:tabs>
        <w:ind w:left="2980" w:hanging="360"/>
      </w:pPr>
      <w:rPr>
        <w:rFonts w:ascii="Courier New" w:hAnsi="Courier New" w:cs="Courier New" w:hint="default"/>
      </w:rPr>
    </w:lvl>
    <w:lvl w:ilvl="5" w:tplc="08090005" w:tentative="1">
      <w:start w:val="1"/>
      <w:numFmt w:val="bullet"/>
      <w:lvlText w:val=""/>
      <w:lvlJc w:val="left"/>
      <w:pPr>
        <w:tabs>
          <w:tab w:val="num" w:pos="3700"/>
        </w:tabs>
        <w:ind w:left="3700" w:hanging="360"/>
      </w:pPr>
      <w:rPr>
        <w:rFonts w:ascii="Wingdings" w:hAnsi="Wingdings" w:hint="default"/>
      </w:rPr>
    </w:lvl>
    <w:lvl w:ilvl="6" w:tplc="08090001" w:tentative="1">
      <w:start w:val="1"/>
      <w:numFmt w:val="bullet"/>
      <w:lvlText w:val=""/>
      <w:lvlJc w:val="left"/>
      <w:pPr>
        <w:tabs>
          <w:tab w:val="num" w:pos="4420"/>
        </w:tabs>
        <w:ind w:left="4420" w:hanging="360"/>
      </w:pPr>
      <w:rPr>
        <w:rFonts w:ascii="Symbol" w:hAnsi="Symbol" w:hint="default"/>
      </w:rPr>
    </w:lvl>
    <w:lvl w:ilvl="7" w:tplc="08090003" w:tentative="1">
      <w:start w:val="1"/>
      <w:numFmt w:val="bullet"/>
      <w:lvlText w:val="o"/>
      <w:lvlJc w:val="left"/>
      <w:pPr>
        <w:tabs>
          <w:tab w:val="num" w:pos="5140"/>
        </w:tabs>
        <w:ind w:left="5140" w:hanging="360"/>
      </w:pPr>
      <w:rPr>
        <w:rFonts w:ascii="Courier New" w:hAnsi="Courier New" w:cs="Courier New" w:hint="default"/>
      </w:rPr>
    </w:lvl>
    <w:lvl w:ilvl="8" w:tplc="08090005" w:tentative="1">
      <w:start w:val="1"/>
      <w:numFmt w:val="bullet"/>
      <w:lvlText w:val=""/>
      <w:lvlJc w:val="left"/>
      <w:pPr>
        <w:tabs>
          <w:tab w:val="num" w:pos="5860"/>
        </w:tabs>
        <w:ind w:left="5860" w:hanging="360"/>
      </w:pPr>
      <w:rPr>
        <w:rFonts w:ascii="Wingdings" w:hAnsi="Wingdings" w:hint="default"/>
      </w:rPr>
    </w:lvl>
  </w:abstractNum>
  <w:abstractNum w:abstractNumId="6" w15:restartNumberingAfterBreak="0">
    <w:nsid w:val="1B9C75A4"/>
    <w:multiLevelType w:val="hybridMultilevel"/>
    <w:tmpl w:val="C4FA3F4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5BB309B"/>
    <w:multiLevelType w:val="hybridMultilevel"/>
    <w:tmpl w:val="A8647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C31966"/>
    <w:multiLevelType w:val="hybridMultilevel"/>
    <w:tmpl w:val="EC2260F6"/>
    <w:lvl w:ilvl="0" w:tplc="554E24BA">
      <w:numFmt w:val="bullet"/>
      <w:lvlText w:val=""/>
      <w:lvlJc w:val="left"/>
      <w:pPr>
        <w:tabs>
          <w:tab w:val="num" w:pos="170"/>
        </w:tabs>
        <w:ind w:left="170" w:hanging="170"/>
      </w:pPr>
      <w:rPr>
        <w:rFonts w:ascii="Symbol" w:hAnsi="Symbol" w:hint="default"/>
        <w:color w:val="000000"/>
        <w:sz w:val="20"/>
        <w:szCs w:val="16"/>
      </w:rPr>
    </w:lvl>
    <w:lvl w:ilvl="1" w:tplc="08090003" w:tentative="1">
      <w:start w:val="1"/>
      <w:numFmt w:val="bullet"/>
      <w:lvlText w:val="o"/>
      <w:lvlJc w:val="left"/>
      <w:pPr>
        <w:tabs>
          <w:tab w:val="num" w:pos="820"/>
        </w:tabs>
        <w:ind w:left="820" w:hanging="360"/>
      </w:pPr>
      <w:rPr>
        <w:rFonts w:ascii="Courier New" w:hAnsi="Courier New" w:cs="Courier New" w:hint="default"/>
      </w:rPr>
    </w:lvl>
    <w:lvl w:ilvl="2" w:tplc="08090005" w:tentative="1">
      <w:start w:val="1"/>
      <w:numFmt w:val="bullet"/>
      <w:lvlText w:val=""/>
      <w:lvlJc w:val="left"/>
      <w:pPr>
        <w:tabs>
          <w:tab w:val="num" w:pos="1540"/>
        </w:tabs>
        <w:ind w:left="1540" w:hanging="360"/>
      </w:pPr>
      <w:rPr>
        <w:rFonts w:ascii="Wingdings" w:hAnsi="Wingdings" w:hint="default"/>
      </w:rPr>
    </w:lvl>
    <w:lvl w:ilvl="3" w:tplc="08090001" w:tentative="1">
      <w:start w:val="1"/>
      <w:numFmt w:val="bullet"/>
      <w:lvlText w:val=""/>
      <w:lvlJc w:val="left"/>
      <w:pPr>
        <w:tabs>
          <w:tab w:val="num" w:pos="2260"/>
        </w:tabs>
        <w:ind w:left="2260" w:hanging="360"/>
      </w:pPr>
      <w:rPr>
        <w:rFonts w:ascii="Symbol" w:hAnsi="Symbol" w:hint="default"/>
      </w:rPr>
    </w:lvl>
    <w:lvl w:ilvl="4" w:tplc="08090003" w:tentative="1">
      <w:start w:val="1"/>
      <w:numFmt w:val="bullet"/>
      <w:lvlText w:val="o"/>
      <w:lvlJc w:val="left"/>
      <w:pPr>
        <w:tabs>
          <w:tab w:val="num" w:pos="2980"/>
        </w:tabs>
        <w:ind w:left="2980" w:hanging="360"/>
      </w:pPr>
      <w:rPr>
        <w:rFonts w:ascii="Courier New" w:hAnsi="Courier New" w:cs="Courier New" w:hint="default"/>
      </w:rPr>
    </w:lvl>
    <w:lvl w:ilvl="5" w:tplc="08090005" w:tentative="1">
      <w:start w:val="1"/>
      <w:numFmt w:val="bullet"/>
      <w:lvlText w:val=""/>
      <w:lvlJc w:val="left"/>
      <w:pPr>
        <w:tabs>
          <w:tab w:val="num" w:pos="3700"/>
        </w:tabs>
        <w:ind w:left="3700" w:hanging="360"/>
      </w:pPr>
      <w:rPr>
        <w:rFonts w:ascii="Wingdings" w:hAnsi="Wingdings" w:hint="default"/>
      </w:rPr>
    </w:lvl>
    <w:lvl w:ilvl="6" w:tplc="08090001" w:tentative="1">
      <w:start w:val="1"/>
      <w:numFmt w:val="bullet"/>
      <w:lvlText w:val=""/>
      <w:lvlJc w:val="left"/>
      <w:pPr>
        <w:tabs>
          <w:tab w:val="num" w:pos="4420"/>
        </w:tabs>
        <w:ind w:left="4420" w:hanging="360"/>
      </w:pPr>
      <w:rPr>
        <w:rFonts w:ascii="Symbol" w:hAnsi="Symbol" w:hint="default"/>
      </w:rPr>
    </w:lvl>
    <w:lvl w:ilvl="7" w:tplc="08090003" w:tentative="1">
      <w:start w:val="1"/>
      <w:numFmt w:val="bullet"/>
      <w:lvlText w:val="o"/>
      <w:lvlJc w:val="left"/>
      <w:pPr>
        <w:tabs>
          <w:tab w:val="num" w:pos="5140"/>
        </w:tabs>
        <w:ind w:left="5140" w:hanging="360"/>
      </w:pPr>
      <w:rPr>
        <w:rFonts w:ascii="Courier New" w:hAnsi="Courier New" w:cs="Courier New" w:hint="default"/>
      </w:rPr>
    </w:lvl>
    <w:lvl w:ilvl="8" w:tplc="08090005" w:tentative="1">
      <w:start w:val="1"/>
      <w:numFmt w:val="bullet"/>
      <w:lvlText w:val=""/>
      <w:lvlJc w:val="left"/>
      <w:pPr>
        <w:tabs>
          <w:tab w:val="num" w:pos="5860"/>
        </w:tabs>
        <w:ind w:left="5860" w:hanging="360"/>
      </w:pPr>
      <w:rPr>
        <w:rFonts w:ascii="Wingdings" w:hAnsi="Wingdings" w:hint="default"/>
      </w:rPr>
    </w:lvl>
  </w:abstractNum>
  <w:abstractNum w:abstractNumId="14" w15:restartNumberingAfterBreak="0">
    <w:nsid w:val="64026F0B"/>
    <w:multiLevelType w:val="hybridMultilevel"/>
    <w:tmpl w:val="9FD89A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420307"/>
    <w:multiLevelType w:val="hybridMultilevel"/>
    <w:tmpl w:val="A014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C34F5"/>
    <w:multiLevelType w:val="hybridMultilevel"/>
    <w:tmpl w:val="BF7CA0C2"/>
    <w:lvl w:ilvl="0" w:tplc="0809000F">
      <w:start w:val="1"/>
      <w:numFmt w:val="decimal"/>
      <w:lvlText w:val="%1."/>
      <w:lvlJc w:val="left"/>
      <w:pPr>
        <w:tabs>
          <w:tab w:val="num" w:pos="170"/>
        </w:tabs>
        <w:ind w:left="170" w:hanging="170"/>
      </w:pPr>
      <w:rPr>
        <w:rFonts w:hint="default"/>
        <w:color w:val="000000"/>
        <w:sz w:val="20"/>
        <w:szCs w:val="16"/>
      </w:rPr>
    </w:lvl>
    <w:lvl w:ilvl="1" w:tplc="08090003" w:tentative="1">
      <w:start w:val="1"/>
      <w:numFmt w:val="bullet"/>
      <w:lvlText w:val="o"/>
      <w:lvlJc w:val="left"/>
      <w:pPr>
        <w:tabs>
          <w:tab w:val="num" w:pos="820"/>
        </w:tabs>
        <w:ind w:left="820" w:hanging="360"/>
      </w:pPr>
      <w:rPr>
        <w:rFonts w:ascii="Courier New" w:hAnsi="Courier New" w:cs="Courier New" w:hint="default"/>
      </w:rPr>
    </w:lvl>
    <w:lvl w:ilvl="2" w:tplc="08090005" w:tentative="1">
      <w:start w:val="1"/>
      <w:numFmt w:val="bullet"/>
      <w:lvlText w:val=""/>
      <w:lvlJc w:val="left"/>
      <w:pPr>
        <w:tabs>
          <w:tab w:val="num" w:pos="1540"/>
        </w:tabs>
        <w:ind w:left="1540" w:hanging="360"/>
      </w:pPr>
      <w:rPr>
        <w:rFonts w:ascii="Wingdings" w:hAnsi="Wingdings" w:hint="default"/>
      </w:rPr>
    </w:lvl>
    <w:lvl w:ilvl="3" w:tplc="08090001" w:tentative="1">
      <w:start w:val="1"/>
      <w:numFmt w:val="bullet"/>
      <w:lvlText w:val=""/>
      <w:lvlJc w:val="left"/>
      <w:pPr>
        <w:tabs>
          <w:tab w:val="num" w:pos="2260"/>
        </w:tabs>
        <w:ind w:left="2260" w:hanging="360"/>
      </w:pPr>
      <w:rPr>
        <w:rFonts w:ascii="Symbol" w:hAnsi="Symbol" w:hint="default"/>
      </w:rPr>
    </w:lvl>
    <w:lvl w:ilvl="4" w:tplc="08090003" w:tentative="1">
      <w:start w:val="1"/>
      <w:numFmt w:val="bullet"/>
      <w:lvlText w:val="o"/>
      <w:lvlJc w:val="left"/>
      <w:pPr>
        <w:tabs>
          <w:tab w:val="num" w:pos="2980"/>
        </w:tabs>
        <w:ind w:left="2980" w:hanging="360"/>
      </w:pPr>
      <w:rPr>
        <w:rFonts w:ascii="Courier New" w:hAnsi="Courier New" w:cs="Courier New" w:hint="default"/>
      </w:rPr>
    </w:lvl>
    <w:lvl w:ilvl="5" w:tplc="08090005" w:tentative="1">
      <w:start w:val="1"/>
      <w:numFmt w:val="bullet"/>
      <w:lvlText w:val=""/>
      <w:lvlJc w:val="left"/>
      <w:pPr>
        <w:tabs>
          <w:tab w:val="num" w:pos="3700"/>
        </w:tabs>
        <w:ind w:left="3700" w:hanging="360"/>
      </w:pPr>
      <w:rPr>
        <w:rFonts w:ascii="Wingdings" w:hAnsi="Wingdings" w:hint="default"/>
      </w:rPr>
    </w:lvl>
    <w:lvl w:ilvl="6" w:tplc="08090001" w:tentative="1">
      <w:start w:val="1"/>
      <w:numFmt w:val="bullet"/>
      <w:lvlText w:val=""/>
      <w:lvlJc w:val="left"/>
      <w:pPr>
        <w:tabs>
          <w:tab w:val="num" w:pos="4420"/>
        </w:tabs>
        <w:ind w:left="4420" w:hanging="360"/>
      </w:pPr>
      <w:rPr>
        <w:rFonts w:ascii="Symbol" w:hAnsi="Symbol" w:hint="default"/>
      </w:rPr>
    </w:lvl>
    <w:lvl w:ilvl="7" w:tplc="08090003" w:tentative="1">
      <w:start w:val="1"/>
      <w:numFmt w:val="bullet"/>
      <w:lvlText w:val="o"/>
      <w:lvlJc w:val="left"/>
      <w:pPr>
        <w:tabs>
          <w:tab w:val="num" w:pos="5140"/>
        </w:tabs>
        <w:ind w:left="5140" w:hanging="360"/>
      </w:pPr>
      <w:rPr>
        <w:rFonts w:ascii="Courier New" w:hAnsi="Courier New" w:cs="Courier New" w:hint="default"/>
      </w:rPr>
    </w:lvl>
    <w:lvl w:ilvl="8" w:tplc="08090005" w:tentative="1">
      <w:start w:val="1"/>
      <w:numFmt w:val="bullet"/>
      <w:lvlText w:val=""/>
      <w:lvlJc w:val="left"/>
      <w:pPr>
        <w:tabs>
          <w:tab w:val="num" w:pos="5860"/>
        </w:tabs>
        <w:ind w:left="5860" w:hanging="360"/>
      </w:pPr>
      <w:rPr>
        <w:rFonts w:ascii="Wingdings" w:hAnsi="Wingdings" w:hint="default"/>
      </w:rPr>
    </w:lvl>
  </w:abstractNum>
  <w:abstractNum w:abstractNumId="17" w15:restartNumberingAfterBreak="0">
    <w:nsid w:val="6C9E3A7F"/>
    <w:multiLevelType w:val="hybridMultilevel"/>
    <w:tmpl w:val="9C3AE920"/>
    <w:lvl w:ilvl="0" w:tplc="08090011">
      <w:start w:val="1"/>
      <w:numFmt w:val="decimal"/>
      <w:lvlText w:val="%1)"/>
      <w:lvlJc w:val="left"/>
      <w:pPr>
        <w:tabs>
          <w:tab w:val="num" w:pos="170"/>
        </w:tabs>
        <w:ind w:left="170" w:hanging="170"/>
      </w:pPr>
      <w:rPr>
        <w:rFonts w:hint="default"/>
        <w:color w:val="000000"/>
        <w:sz w:val="20"/>
        <w:szCs w:val="16"/>
      </w:rPr>
    </w:lvl>
    <w:lvl w:ilvl="1" w:tplc="08090003">
      <w:start w:val="1"/>
      <w:numFmt w:val="bullet"/>
      <w:lvlText w:val="o"/>
      <w:lvlJc w:val="left"/>
      <w:pPr>
        <w:tabs>
          <w:tab w:val="num" w:pos="820"/>
        </w:tabs>
        <w:ind w:left="820" w:hanging="360"/>
      </w:pPr>
      <w:rPr>
        <w:rFonts w:ascii="Courier New" w:hAnsi="Courier New" w:cs="Courier New" w:hint="default"/>
      </w:rPr>
    </w:lvl>
    <w:lvl w:ilvl="2" w:tplc="08090005" w:tentative="1">
      <w:start w:val="1"/>
      <w:numFmt w:val="bullet"/>
      <w:lvlText w:val=""/>
      <w:lvlJc w:val="left"/>
      <w:pPr>
        <w:tabs>
          <w:tab w:val="num" w:pos="1540"/>
        </w:tabs>
        <w:ind w:left="1540" w:hanging="360"/>
      </w:pPr>
      <w:rPr>
        <w:rFonts w:ascii="Wingdings" w:hAnsi="Wingdings" w:hint="default"/>
      </w:rPr>
    </w:lvl>
    <w:lvl w:ilvl="3" w:tplc="08090001" w:tentative="1">
      <w:start w:val="1"/>
      <w:numFmt w:val="bullet"/>
      <w:lvlText w:val=""/>
      <w:lvlJc w:val="left"/>
      <w:pPr>
        <w:tabs>
          <w:tab w:val="num" w:pos="2260"/>
        </w:tabs>
        <w:ind w:left="2260" w:hanging="360"/>
      </w:pPr>
      <w:rPr>
        <w:rFonts w:ascii="Symbol" w:hAnsi="Symbol" w:hint="default"/>
      </w:rPr>
    </w:lvl>
    <w:lvl w:ilvl="4" w:tplc="08090003" w:tentative="1">
      <w:start w:val="1"/>
      <w:numFmt w:val="bullet"/>
      <w:lvlText w:val="o"/>
      <w:lvlJc w:val="left"/>
      <w:pPr>
        <w:tabs>
          <w:tab w:val="num" w:pos="2980"/>
        </w:tabs>
        <w:ind w:left="2980" w:hanging="360"/>
      </w:pPr>
      <w:rPr>
        <w:rFonts w:ascii="Courier New" w:hAnsi="Courier New" w:cs="Courier New" w:hint="default"/>
      </w:rPr>
    </w:lvl>
    <w:lvl w:ilvl="5" w:tplc="08090005" w:tentative="1">
      <w:start w:val="1"/>
      <w:numFmt w:val="bullet"/>
      <w:lvlText w:val=""/>
      <w:lvlJc w:val="left"/>
      <w:pPr>
        <w:tabs>
          <w:tab w:val="num" w:pos="3700"/>
        </w:tabs>
        <w:ind w:left="3700" w:hanging="360"/>
      </w:pPr>
      <w:rPr>
        <w:rFonts w:ascii="Wingdings" w:hAnsi="Wingdings" w:hint="default"/>
      </w:rPr>
    </w:lvl>
    <w:lvl w:ilvl="6" w:tplc="08090001" w:tentative="1">
      <w:start w:val="1"/>
      <w:numFmt w:val="bullet"/>
      <w:lvlText w:val=""/>
      <w:lvlJc w:val="left"/>
      <w:pPr>
        <w:tabs>
          <w:tab w:val="num" w:pos="4420"/>
        </w:tabs>
        <w:ind w:left="4420" w:hanging="360"/>
      </w:pPr>
      <w:rPr>
        <w:rFonts w:ascii="Symbol" w:hAnsi="Symbol" w:hint="default"/>
      </w:rPr>
    </w:lvl>
    <w:lvl w:ilvl="7" w:tplc="08090003" w:tentative="1">
      <w:start w:val="1"/>
      <w:numFmt w:val="bullet"/>
      <w:lvlText w:val="o"/>
      <w:lvlJc w:val="left"/>
      <w:pPr>
        <w:tabs>
          <w:tab w:val="num" w:pos="5140"/>
        </w:tabs>
        <w:ind w:left="5140" w:hanging="360"/>
      </w:pPr>
      <w:rPr>
        <w:rFonts w:ascii="Courier New" w:hAnsi="Courier New" w:cs="Courier New" w:hint="default"/>
      </w:rPr>
    </w:lvl>
    <w:lvl w:ilvl="8" w:tplc="08090005" w:tentative="1">
      <w:start w:val="1"/>
      <w:numFmt w:val="bullet"/>
      <w:lvlText w:val=""/>
      <w:lvlJc w:val="left"/>
      <w:pPr>
        <w:tabs>
          <w:tab w:val="num" w:pos="5860"/>
        </w:tabs>
        <w:ind w:left="5860" w:hanging="360"/>
      </w:pPr>
      <w:rPr>
        <w:rFonts w:ascii="Wingdings" w:hAnsi="Wingdings" w:hint="default"/>
      </w:rPr>
    </w:lvl>
  </w:abstractNum>
  <w:num w:numId="1">
    <w:abstractNumId w:val="11"/>
  </w:num>
  <w:num w:numId="2">
    <w:abstractNumId w:val="4"/>
  </w:num>
  <w:num w:numId="3">
    <w:abstractNumId w:val="12"/>
  </w:num>
  <w:num w:numId="4">
    <w:abstractNumId w:val="3"/>
  </w:num>
  <w:num w:numId="5">
    <w:abstractNumId w:val="2"/>
  </w:num>
  <w:num w:numId="6">
    <w:abstractNumId w:val="9"/>
  </w:num>
  <w:num w:numId="7">
    <w:abstractNumId w:val="8"/>
  </w:num>
  <w:num w:numId="8">
    <w:abstractNumId w:val="1"/>
  </w:num>
  <w:num w:numId="9">
    <w:abstractNumId w:val="10"/>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6"/>
  </w:num>
  <w:num w:numId="12">
    <w:abstractNumId w:val="13"/>
  </w:num>
  <w:num w:numId="13">
    <w:abstractNumId w:val="5"/>
  </w:num>
  <w:num w:numId="14">
    <w:abstractNumId w:val="16"/>
  </w:num>
  <w:num w:numId="15">
    <w:abstractNumId w:val="17"/>
  </w:num>
  <w:num w:numId="16">
    <w:abstractNumId w:val="15"/>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10F53"/>
    <w:rsid w:val="00025060"/>
    <w:rsid w:val="00035421"/>
    <w:rsid w:val="000E765B"/>
    <w:rsid w:val="000F72E3"/>
    <w:rsid w:val="0011591C"/>
    <w:rsid w:val="00126D00"/>
    <w:rsid w:val="001436C8"/>
    <w:rsid w:val="0015724A"/>
    <w:rsid w:val="001B51F9"/>
    <w:rsid w:val="001C2E0E"/>
    <w:rsid w:val="001D6798"/>
    <w:rsid w:val="00270B17"/>
    <w:rsid w:val="00274BF6"/>
    <w:rsid w:val="002A3F2A"/>
    <w:rsid w:val="0031790D"/>
    <w:rsid w:val="003578B5"/>
    <w:rsid w:val="003603AA"/>
    <w:rsid w:val="003964E6"/>
    <w:rsid w:val="003A21B9"/>
    <w:rsid w:val="00403A29"/>
    <w:rsid w:val="004116B0"/>
    <w:rsid w:val="00415923"/>
    <w:rsid w:val="00427F92"/>
    <w:rsid w:val="00441B7E"/>
    <w:rsid w:val="004C45C2"/>
    <w:rsid w:val="004D06E7"/>
    <w:rsid w:val="004F475C"/>
    <w:rsid w:val="00601497"/>
    <w:rsid w:val="006530D4"/>
    <w:rsid w:val="00672A88"/>
    <w:rsid w:val="006C3259"/>
    <w:rsid w:val="006D5F7C"/>
    <w:rsid w:val="006F436A"/>
    <w:rsid w:val="00716DB0"/>
    <w:rsid w:val="0072173A"/>
    <w:rsid w:val="0075378E"/>
    <w:rsid w:val="00767141"/>
    <w:rsid w:val="007755D1"/>
    <w:rsid w:val="007A3A37"/>
    <w:rsid w:val="007D1275"/>
    <w:rsid w:val="0083468A"/>
    <w:rsid w:val="00841EF0"/>
    <w:rsid w:val="00853260"/>
    <w:rsid w:val="00853DE5"/>
    <w:rsid w:val="00874AA3"/>
    <w:rsid w:val="00887145"/>
    <w:rsid w:val="008D456C"/>
    <w:rsid w:val="00946EE0"/>
    <w:rsid w:val="00972555"/>
    <w:rsid w:val="009D2162"/>
    <w:rsid w:val="009F03E6"/>
    <w:rsid w:val="00A1083E"/>
    <w:rsid w:val="00A5099A"/>
    <w:rsid w:val="00A53FDE"/>
    <w:rsid w:val="00A910B1"/>
    <w:rsid w:val="00A972A0"/>
    <w:rsid w:val="00AD1BAC"/>
    <w:rsid w:val="00AE2F16"/>
    <w:rsid w:val="00B2372E"/>
    <w:rsid w:val="00B279D9"/>
    <w:rsid w:val="00BC284A"/>
    <w:rsid w:val="00BF6B7D"/>
    <w:rsid w:val="00C27C6F"/>
    <w:rsid w:val="00C70E0D"/>
    <w:rsid w:val="00CC7D1D"/>
    <w:rsid w:val="00CD0C4C"/>
    <w:rsid w:val="00CF047C"/>
    <w:rsid w:val="00D42AA5"/>
    <w:rsid w:val="00D57A2A"/>
    <w:rsid w:val="00D91644"/>
    <w:rsid w:val="00DE1D34"/>
    <w:rsid w:val="00E1743A"/>
    <w:rsid w:val="00E74952"/>
    <w:rsid w:val="00E83BBD"/>
    <w:rsid w:val="00E92D22"/>
    <w:rsid w:val="00EA280B"/>
    <w:rsid w:val="00EB5F76"/>
    <w:rsid w:val="00ED5474"/>
    <w:rsid w:val="00EF3DE2"/>
    <w:rsid w:val="00F04EA6"/>
    <w:rsid w:val="00F252CE"/>
    <w:rsid w:val="00F95F80"/>
    <w:rsid w:val="00FA5C4E"/>
    <w:rsid w:val="00FB5D5F"/>
    <w:rsid w:val="00FC6BF6"/>
    <w:rsid w:val="00FC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EED11CC"/>
  <w15:docId w15:val="{B8998AB4-98A5-4949-ADFE-5FCCB946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FollowedHyperlink">
    <w:name w:val="FollowedHyperlink"/>
    <w:basedOn w:val="DefaultParagraphFont"/>
    <w:uiPriority w:val="99"/>
    <w:semiHidden/>
    <w:unhideWhenUsed/>
    <w:rsid w:val="00874AA3"/>
    <w:rPr>
      <w:color w:val="800080" w:themeColor="followedHyperlink"/>
      <w:u w:val="single"/>
    </w:rPr>
  </w:style>
  <w:style w:type="character" w:customStyle="1" w:styleId="apple-converted-space">
    <w:name w:val="apple-converted-space"/>
    <w:basedOn w:val="DefaultParagraphFont"/>
    <w:rsid w:val="00CF047C"/>
  </w:style>
  <w:style w:type="character" w:styleId="CommentReference">
    <w:name w:val="annotation reference"/>
    <w:basedOn w:val="DefaultParagraphFont"/>
    <w:uiPriority w:val="99"/>
    <w:semiHidden/>
    <w:unhideWhenUsed/>
    <w:rsid w:val="00FC70E5"/>
    <w:rPr>
      <w:sz w:val="16"/>
      <w:szCs w:val="16"/>
    </w:rPr>
  </w:style>
  <w:style w:type="paragraph" w:styleId="CommentText">
    <w:name w:val="annotation text"/>
    <w:basedOn w:val="Normal"/>
    <w:link w:val="CommentTextChar"/>
    <w:uiPriority w:val="99"/>
    <w:semiHidden/>
    <w:unhideWhenUsed/>
    <w:rsid w:val="00FC70E5"/>
    <w:pPr>
      <w:spacing w:line="240" w:lineRule="auto"/>
    </w:pPr>
    <w:rPr>
      <w:szCs w:val="20"/>
    </w:rPr>
  </w:style>
  <w:style w:type="character" w:customStyle="1" w:styleId="CommentTextChar">
    <w:name w:val="Comment Text Char"/>
    <w:basedOn w:val="DefaultParagraphFont"/>
    <w:link w:val="CommentText"/>
    <w:uiPriority w:val="99"/>
    <w:semiHidden/>
    <w:rsid w:val="00FC70E5"/>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C70E5"/>
    <w:rPr>
      <w:b/>
      <w:bCs/>
    </w:rPr>
  </w:style>
  <w:style w:type="character" w:customStyle="1" w:styleId="CommentSubjectChar">
    <w:name w:val="Comment Subject Char"/>
    <w:basedOn w:val="CommentTextChar"/>
    <w:link w:val="CommentSubject"/>
    <w:uiPriority w:val="99"/>
    <w:semiHidden/>
    <w:rsid w:val="00FC70E5"/>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about-ukmi-medicines-qas/" TargetMode="External"/><Relationship Id="rId13" Type="http://schemas.openxmlformats.org/officeDocument/2006/relationships/hyperlink" Target="https://www.nice.org.uk/guidance/cg1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kmi.nhs.uk/ukmi/about/default.asp?pageRef=1" TargetMode="External"/><Relationship Id="rId12" Type="http://schemas.openxmlformats.org/officeDocument/2006/relationships/hyperlink" Target="https://naturalmedicines.therapeuticresearch.com/databases/food,-herbs-supplements/professional.aspx?productid=74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inescomplete.com/" TargetMode="External"/><Relationship Id="rId5" Type="http://schemas.openxmlformats.org/officeDocument/2006/relationships/footnotes" Target="footnotes.xml"/><Relationship Id="rId15" Type="http://schemas.openxmlformats.org/officeDocument/2006/relationships/hyperlink" Target="%20%20https://www.sps.nhs.uk/articles/glucosamine-what-are-its-drug-interactions/" TargetMode="External"/><Relationship Id="rId10" Type="http://schemas.openxmlformats.org/officeDocument/2006/relationships/hyperlink" Target="https://www.sps.nhs.uk/articles/glucosamine-what-are-its-drug-interac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ps.nhs.uk/articles/glucosamine-what-are-its-drug-interactions/" TargetMode="External"/><Relationship Id="rId14" Type="http://schemas.openxmlformats.org/officeDocument/2006/relationships/hyperlink" Target="http://www.micromedexsolutions.com/micromedex2/librari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Mckie, Joshua</dc:creator>
  <cp:lastModifiedBy>Gail Woodland (Cardiff and Vale UHB - Pharmacy )</cp:lastModifiedBy>
  <cp:revision>3</cp:revision>
  <dcterms:created xsi:type="dcterms:W3CDTF">2020-01-23T17:43:00Z</dcterms:created>
  <dcterms:modified xsi:type="dcterms:W3CDTF">2020-01-23T17:46:00Z</dcterms:modified>
</cp:coreProperties>
</file>