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76A24" w14:textId="77777777" w:rsidR="00AC0184" w:rsidRPr="0018137D" w:rsidRDefault="00AC0184" w:rsidP="00523B5D">
      <w:pPr>
        <w:jc w:val="center"/>
        <w:rPr>
          <w:rFonts w:ascii="Calibri" w:hAnsi="Calibri"/>
          <w:b/>
          <w:sz w:val="36"/>
          <w:szCs w:val="36"/>
        </w:rPr>
      </w:pPr>
    </w:p>
    <w:p w14:paraId="14FFD9B9" w14:textId="5AE8C063" w:rsidR="00AC0184" w:rsidRPr="0018137D" w:rsidRDefault="00091CC2" w:rsidP="00523B5D">
      <w:pPr>
        <w:jc w:val="center"/>
        <w:rPr>
          <w:rFonts w:ascii="Calibri" w:hAnsi="Calibri"/>
          <w:b/>
          <w:sz w:val="36"/>
          <w:szCs w:val="36"/>
        </w:rPr>
      </w:pPr>
      <w:r>
        <w:rPr>
          <w:rFonts w:ascii="Calibri" w:hAnsi="Calibri"/>
          <w:noProof/>
          <w:u w:val="single"/>
        </w:rPr>
        <mc:AlternateContent>
          <mc:Choice Requires="wps">
            <w:drawing>
              <wp:anchor distT="45720" distB="45720" distL="114300" distR="114300" simplePos="0" relativeHeight="251658240" behindDoc="0" locked="0" layoutInCell="1" allowOverlap="1" wp14:editId="06798619">
                <wp:simplePos x="0" y="0"/>
                <wp:positionH relativeFrom="column">
                  <wp:posOffset>16510</wp:posOffset>
                </wp:positionH>
                <wp:positionV relativeFrom="paragraph">
                  <wp:posOffset>354330</wp:posOffset>
                </wp:positionV>
                <wp:extent cx="5943600" cy="2487295"/>
                <wp:effectExtent l="317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7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D7DE5" w14:textId="77777777" w:rsidR="00091CC2" w:rsidRPr="001924A7" w:rsidRDefault="00091CC2" w:rsidP="00091CC2">
                            <w:pPr>
                              <w:jc w:val="center"/>
                              <w:rPr>
                                <w:rFonts w:ascii="Arial Rounded MT Bold" w:hAnsi="Arial Rounded MT Bold"/>
                                <w:b/>
                                <w:color w:val="00B050"/>
                                <w:sz w:val="80"/>
                                <w:szCs w:val="80"/>
                              </w:rPr>
                            </w:pPr>
                            <w:r w:rsidRPr="001924A7">
                              <w:rPr>
                                <w:rFonts w:ascii="Arial Rounded MT Bold" w:hAnsi="Arial Rounded MT Bold"/>
                                <w:b/>
                                <w:color w:val="00B050"/>
                                <w:sz w:val="80"/>
                                <w:szCs w:val="80"/>
                              </w:rPr>
                              <w:t xml:space="preserve">The Use of Generic </w:t>
                            </w:r>
                          </w:p>
                          <w:p w14:paraId="1333B2D4" w14:textId="77777777" w:rsidR="00091CC2" w:rsidRPr="001924A7" w:rsidRDefault="00091CC2" w:rsidP="00091CC2">
                            <w:pPr>
                              <w:jc w:val="center"/>
                              <w:rPr>
                                <w:rFonts w:ascii="Arial Rounded MT Bold" w:hAnsi="Arial Rounded MT Bold"/>
                                <w:b/>
                                <w:color w:val="00B050"/>
                                <w:sz w:val="80"/>
                                <w:szCs w:val="80"/>
                              </w:rPr>
                            </w:pPr>
                            <w:r w:rsidRPr="001924A7">
                              <w:rPr>
                                <w:rFonts w:ascii="Arial Rounded MT Bold" w:hAnsi="Arial Rounded MT Bold"/>
                                <w:b/>
                                <w:color w:val="00B050"/>
                                <w:sz w:val="80"/>
                                <w:szCs w:val="80"/>
                              </w:rPr>
                              <w:t xml:space="preserve">Anti-Epileptics Drugs </w:t>
                            </w:r>
                          </w:p>
                          <w:p w14:paraId="41603393" w14:textId="77777777" w:rsidR="00091CC2" w:rsidRPr="001924A7" w:rsidRDefault="00091CC2" w:rsidP="00091CC2">
                            <w:pPr>
                              <w:jc w:val="center"/>
                              <w:rPr>
                                <w:rFonts w:ascii="Arial Rounded MT Bold" w:hAnsi="Arial Rounded MT Bold"/>
                                <w:b/>
                                <w:color w:val="00B050"/>
                                <w:sz w:val="80"/>
                                <w:szCs w:val="80"/>
                              </w:rPr>
                            </w:pPr>
                            <w:r w:rsidRPr="001924A7">
                              <w:rPr>
                                <w:rFonts w:ascii="Arial Rounded MT Bold" w:hAnsi="Arial Rounded MT Bold"/>
                                <w:b/>
                                <w:color w:val="00B050"/>
                                <w:sz w:val="80"/>
                                <w:szCs w:val="80"/>
                              </w:rPr>
                              <w:t>in Patients with Epilepsy</w:t>
                            </w:r>
                          </w:p>
                          <w:p w14:paraId="22A76FF6" w14:textId="77777777" w:rsidR="00091CC2" w:rsidRPr="00122CCF" w:rsidRDefault="00091CC2" w:rsidP="00091CC2">
                            <w:pPr>
                              <w:pStyle w:val="PlainText"/>
                              <w:jc w:val="center"/>
                              <w:rPr>
                                <w:rFonts w:ascii="Arial Black" w:hAnsi="Arial Black" w:cs="Arial"/>
                                <w:b/>
                                <w:color w:val="00B050"/>
                                <w:sz w:val="144"/>
                                <w:szCs w:val="64"/>
                              </w:rPr>
                            </w:pPr>
                          </w:p>
                          <w:p w14:paraId="0C7EF6E1" w14:textId="77777777" w:rsidR="00091CC2" w:rsidRDefault="00091CC2" w:rsidP="00091C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pt;margin-top:27.9pt;width:468pt;height:19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2qx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" stroked="f">
                <v:textbox>
                  <w:txbxContent>
                    <w:p w14:paraId="73DD7DE5" w14:textId="77777777" w:rsidR="00091CC2" w:rsidRPr="001924A7" w:rsidRDefault="00091CC2" w:rsidP="00091CC2">
                      <w:pPr>
                        <w:jc w:val="center"/>
                        <w:rPr>
                          <w:rFonts w:ascii="Arial Rounded MT Bold" w:hAnsi="Arial Rounded MT Bold"/>
                          <w:b/>
                          <w:color w:val="00B050"/>
                          <w:sz w:val="80"/>
                          <w:szCs w:val="80"/>
                        </w:rPr>
                      </w:pPr>
                      <w:r w:rsidRPr="001924A7">
                        <w:rPr>
                          <w:rFonts w:ascii="Arial Rounded MT Bold" w:hAnsi="Arial Rounded MT Bold"/>
                          <w:b/>
                          <w:color w:val="00B050"/>
                          <w:sz w:val="80"/>
                          <w:szCs w:val="80"/>
                        </w:rPr>
                        <w:t xml:space="preserve">The Use of Generic </w:t>
                      </w:r>
                    </w:p>
                    <w:p w14:paraId="1333B2D4" w14:textId="77777777" w:rsidR="00091CC2" w:rsidRPr="001924A7" w:rsidRDefault="00091CC2" w:rsidP="00091CC2">
                      <w:pPr>
                        <w:jc w:val="center"/>
                        <w:rPr>
                          <w:rFonts w:ascii="Arial Rounded MT Bold" w:hAnsi="Arial Rounded MT Bold"/>
                          <w:b/>
                          <w:color w:val="00B050"/>
                          <w:sz w:val="80"/>
                          <w:szCs w:val="80"/>
                        </w:rPr>
                      </w:pPr>
                      <w:r w:rsidRPr="001924A7">
                        <w:rPr>
                          <w:rFonts w:ascii="Arial Rounded MT Bold" w:hAnsi="Arial Rounded MT Bold"/>
                          <w:b/>
                          <w:color w:val="00B050"/>
                          <w:sz w:val="80"/>
                          <w:szCs w:val="80"/>
                        </w:rPr>
                        <w:t xml:space="preserve">Anti-Epileptics Drugs </w:t>
                      </w:r>
                    </w:p>
                    <w:p w14:paraId="41603393" w14:textId="77777777" w:rsidR="00091CC2" w:rsidRPr="001924A7" w:rsidRDefault="00091CC2" w:rsidP="00091CC2">
                      <w:pPr>
                        <w:jc w:val="center"/>
                        <w:rPr>
                          <w:rFonts w:ascii="Arial Rounded MT Bold" w:hAnsi="Arial Rounded MT Bold"/>
                          <w:b/>
                          <w:color w:val="00B050"/>
                          <w:sz w:val="80"/>
                          <w:szCs w:val="80"/>
                        </w:rPr>
                      </w:pPr>
                      <w:r w:rsidRPr="001924A7">
                        <w:rPr>
                          <w:rFonts w:ascii="Arial Rounded MT Bold" w:hAnsi="Arial Rounded MT Bold"/>
                          <w:b/>
                          <w:color w:val="00B050"/>
                          <w:sz w:val="80"/>
                          <w:szCs w:val="80"/>
                        </w:rPr>
                        <w:t>in Patients with Epilepsy</w:t>
                      </w:r>
                    </w:p>
                    <w:p w14:paraId="22A76FF6" w14:textId="77777777" w:rsidR="00091CC2" w:rsidRPr="00122CCF" w:rsidRDefault="00091CC2" w:rsidP="00091CC2">
                      <w:pPr>
                        <w:pStyle w:val="PlainText"/>
                        <w:jc w:val="center"/>
                        <w:rPr>
                          <w:rFonts w:ascii="Arial Black" w:hAnsi="Arial Black" w:cs="Arial"/>
                          <w:b/>
                          <w:color w:val="00B050"/>
                          <w:sz w:val="144"/>
                          <w:szCs w:val="64"/>
                        </w:rPr>
                      </w:pPr>
                    </w:p>
                    <w:p w14:paraId="0C7EF6E1" w14:textId="77777777" w:rsidR="00091CC2" w:rsidRDefault="00091CC2" w:rsidP="00091CC2"/>
                  </w:txbxContent>
                </v:textbox>
                <w10:wrap type="square"/>
              </v:shape>
            </w:pict>
          </mc:Fallback>
        </mc:AlternateContent>
      </w:r>
    </w:p>
    <w:p w14:paraId="188568D3" w14:textId="5671369D" w:rsidR="000839A9" w:rsidRDefault="00091CC2" w:rsidP="000839A9">
      <w:pPr>
        <w:rPr>
          <w:b/>
          <w:lang w:val="fr-FR"/>
        </w:rPr>
      </w:pPr>
      <w:r>
        <w:rPr>
          <w:rFonts w:ascii="Calibri" w:hAnsi="Calibri"/>
          <w:noProof/>
          <w:u w:val="single"/>
        </w:rPr>
        <mc:AlternateContent>
          <mc:Choice Requires="wps">
            <w:drawing>
              <wp:anchor distT="45720" distB="45720" distL="114300" distR="114300" simplePos="0" relativeHeight="251659264" behindDoc="0" locked="0" layoutInCell="1" allowOverlap="1" wp14:editId="1DC52DC3">
                <wp:simplePos x="0" y="0"/>
                <wp:positionH relativeFrom="margin">
                  <wp:align>center</wp:align>
                </wp:positionH>
                <wp:positionV relativeFrom="paragraph">
                  <wp:posOffset>2816860</wp:posOffset>
                </wp:positionV>
                <wp:extent cx="2809875" cy="340995"/>
                <wp:effectExtent l="0" t="0" r="9525"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AB43A" w14:textId="77777777" w:rsidR="00091CC2" w:rsidRPr="00DC5761" w:rsidRDefault="00091CC2" w:rsidP="00091CC2">
                            <w:pPr>
                              <w:pStyle w:val="PlainText"/>
                              <w:jc w:val="center"/>
                              <w:rPr>
                                <w:rFonts w:ascii="Arial Rounded MT Bold" w:hAnsi="Arial Rounded MT Bold" w:cs="Arial"/>
                                <w:b/>
                                <w:color w:val="808080"/>
                                <w:sz w:val="32"/>
                                <w:szCs w:val="64"/>
                              </w:rPr>
                            </w:pPr>
                            <w:r w:rsidRPr="00DC5761">
                              <w:rPr>
                                <w:rFonts w:ascii="Arial Rounded MT Bold" w:hAnsi="Arial Rounded MT Bold" w:cs="Arial"/>
                                <w:b/>
                                <w:color w:val="808080"/>
                                <w:sz w:val="32"/>
                                <w:szCs w:val="64"/>
                              </w:rPr>
                              <w:t>September 2020</w:t>
                            </w:r>
                          </w:p>
                          <w:p w14:paraId="1B40C94C" w14:textId="77777777" w:rsidR="00091CC2" w:rsidRDefault="00091CC2" w:rsidP="00091CC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221.8pt;width:221.25pt;height:26.8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FhQ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" stroked="f">
                <v:textbox>
                  <w:txbxContent>
                    <w:p w14:paraId="02DAB43A" w14:textId="77777777" w:rsidR="00091CC2" w:rsidRPr="00DC5761" w:rsidRDefault="00091CC2" w:rsidP="00091CC2">
                      <w:pPr>
                        <w:pStyle w:val="PlainText"/>
                        <w:jc w:val="center"/>
                        <w:rPr>
                          <w:rFonts w:ascii="Arial Rounded MT Bold" w:hAnsi="Arial Rounded MT Bold" w:cs="Arial"/>
                          <w:b/>
                          <w:color w:val="808080"/>
                          <w:sz w:val="32"/>
                          <w:szCs w:val="64"/>
                        </w:rPr>
                      </w:pPr>
                      <w:r w:rsidRPr="00DC5761">
                        <w:rPr>
                          <w:rFonts w:ascii="Arial Rounded MT Bold" w:hAnsi="Arial Rounded MT Bold" w:cs="Arial"/>
                          <w:b/>
                          <w:color w:val="808080"/>
                          <w:sz w:val="32"/>
                          <w:szCs w:val="64"/>
                        </w:rPr>
                        <w:t>September 2020</w:t>
                      </w:r>
                    </w:p>
                    <w:p w14:paraId="1B40C94C" w14:textId="77777777" w:rsidR="00091CC2" w:rsidRDefault="00091CC2" w:rsidP="00091CC2">
                      <w:pPr>
                        <w:jc w:val="center"/>
                      </w:pPr>
                    </w:p>
                  </w:txbxContent>
                </v:textbox>
                <w10:wrap type="square" anchorx="margin"/>
              </v:shape>
            </w:pict>
          </mc:Fallback>
        </mc:AlternateContent>
      </w:r>
    </w:p>
    <w:p w14:paraId="0922D245" w14:textId="77777777" w:rsidR="00091CC2" w:rsidRDefault="00091CC2" w:rsidP="000839A9">
      <w:pPr>
        <w:rPr>
          <w:b/>
          <w:lang w:val="fr-FR"/>
        </w:rPr>
      </w:pPr>
    </w:p>
    <w:p w14:paraId="17E94BC7" w14:textId="77777777" w:rsidR="00091CC2" w:rsidRDefault="00091CC2" w:rsidP="000839A9">
      <w:pPr>
        <w:rPr>
          <w:b/>
          <w:lang w:val="fr-FR"/>
        </w:rPr>
      </w:pPr>
    </w:p>
    <w:p w14:paraId="6C0CD94C" w14:textId="50490EAF" w:rsidR="00091CC2" w:rsidRDefault="00091CC2" w:rsidP="000839A9">
      <w:pPr>
        <w:rPr>
          <w:b/>
          <w:lang w:val="fr-FR"/>
        </w:rPr>
      </w:pPr>
      <w:r>
        <w:rPr>
          <w:rFonts w:ascii="Calibri" w:hAnsi="Calibri"/>
          <w:noProof/>
          <w:u w:val="single"/>
        </w:rPr>
        <mc:AlternateContent>
          <mc:Choice Requires="wps">
            <w:drawing>
              <wp:anchor distT="45720" distB="45720" distL="114300" distR="114300" simplePos="0" relativeHeight="251660288" behindDoc="1" locked="0" layoutInCell="1" allowOverlap="1" wp14:editId="64AD2F8B">
                <wp:simplePos x="0" y="0"/>
                <wp:positionH relativeFrom="column">
                  <wp:posOffset>622300</wp:posOffset>
                </wp:positionH>
                <wp:positionV relativeFrom="paragraph">
                  <wp:posOffset>295910</wp:posOffset>
                </wp:positionV>
                <wp:extent cx="5597525" cy="2245360"/>
                <wp:effectExtent l="0" t="0" r="22225" b="2159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2245360"/>
                        </a:xfrm>
                        <a:prstGeom prst="rect">
                          <a:avLst/>
                        </a:prstGeom>
                        <a:solidFill>
                          <a:srgbClr val="D8D8D8"/>
                        </a:solidFill>
                        <a:ln w="25400">
                          <a:solidFill>
                            <a:srgbClr val="000000"/>
                          </a:solidFill>
                          <a:miter lim="800000"/>
                          <a:headEnd/>
                          <a:tailEnd/>
                        </a:ln>
                      </wps:spPr>
                      <wps:txbx>
                        <w:txbxContent>
                          <w:p w14:paraId="7C659767" w14:textId="77777777" w:rsidR="00091CC2" w:rsidRPr="002A7257" w:rsidRDefault="00091CC2" w:rsidP="00091CC2">
                            <w:pPr>
                              <w:spacing w:after="160" w:line="259" w:lineRule="auto"/>
                              <w:rPr>
                                <w:sz w:val="22"/>
                              </w:rPr>
                            </w:pPr>
                          </w:p>
                          <w:p w14:paraId="606E3D48" w14:textId="77777777" w:rsidR="00091CC2" w:rsidRPr="002A7257" w:rsidRDefault="00091CC2" w:rsidP="00091CC2">
                            <w:pPr>
                              <w:jc w:val="center"/>
                              <w:rPr>
                                <w:rFonts w:ascii="Arial" w:hAnsi="Arial" w:cs="Arial"/>
                                <w:szCs w:val="26"/>
                              </w:rPr>
                            </w:pPr>
                            <w:r w:rsidRPr="002A7257">
                              <w:rPr>
                                <w:rFonts w:ascii="Arial" w:hAnsi="Arial" w:cs="Arial"/>
                                <w:szCs w:val="26"/>
                              </w:rPr>
                              <w:t>A consensus view from the:</w:t>
                            </w:r>
                          </w:p>
                          <w:p w14:paraId="0031DE88" w14:textId="77777777" w:rsidR="00091CC2" w:rsidRPr="002A7257" w:rsidRDefault="00091CC2" w:rsidP="00091CC2">
                            <w:pPr>
                              <w:jc w:val="center"/>
                              <w:rPr>
                                <w:rFonts w:ascii="Arial" w:hAnsi="Arial" w:cs="Arial"/>
                                <w:szCs w:val="26"/>
                                <w:u w:val="single"/>
                              </w:rPr>
                            </w:pPr>
                          </w:p>
                          <w:p w14:paraId="1432C60D" w14:textId="77777777" w:rsidR="00091CC2" w:rsidRPr="002A7257" w:rsidRDefault="00091CC2" w:rsidP="00091CC2">
                            <w:pPr>
                              <w:jc w:val="center"/>
                              <w:rPr>
                                <w:rFonts w:ascii="Arial" w:hAnsi="Arial" w:cs="Arial"/>
                                <w:szCs w:val="26"/>
                              </w:rPr>
                            </w:pPr>
                            <w:r w:rsidRPr="002A7257">
                              <w:rPr>
                                <w:rFonts w:ascii="Arial" w:hAnsi="Arial" w:cs="Arial"/>
                                <w:szCs w:val="26"/>
                              </w:rPr>
                              <w:t>United Kingdom Clinical Pharmacists Association (UKCPA): Neurosciences Group</w:t>
                            </w:r>
                          </w:p>
                          <w:p w14:paraId="7AE48E81" w14:textId="77777777" w:rsidR="00091CC2" w:rsidRPr="002A7257" w:rsidRDefault="00091CC2" w:rsidP="00091CC2">
                            <w:pPr>
                              <w:jc w:val="center"/>
                              <w:rPr>
                                <w:rFonts w:ascii="Arial" w:hAnsi="Arial" w:cs="Arial"/>
                                <w:bCs/>
                                <w:szCs w:val="26"/>
                              </w:rPr>
                            </w:pPr>
                            <w:r w:rsidRPr="002A7257">
                              <w:rPr>
                                <w:rFonts w:ascii="Arial" w:hAnsi="Arial" w:cs="Arial"/>
                                <w:bCs/>
                                <w:szCs w:val="26"/>
                              </w:rPr>
                              <w:t>&amp;</w:t>
                            </w:r>
                          </w:p>
                          <w:p w14:paraId="2D3BD266" w14:textId="77777777" w:rsidR="00091CC2" w:rsidRPr="002A7257" w:rsidRDefault="00091CC2" w:rsidP="00091CC2">
                            <w:pPr>
                              <w:jc w:val="center"/>
                              <w:rPr>
                                <w:rFonts w:ascii="Arial" w:hAnsi="Arial" w:cs="Arial"/>
                                <w:sz w:val="28"/>
                                <w:szCs w:val="28"/>
                              </w:rPr>
                            </w:pPr>
                            <w:r w:rsidRPr="002A7257">
                              <w:rPr>
                                <w:rFonts w:ascii="Arial" w:hAnsi="Arial" w:cs="Arial"/>
                                <w:szCs w:val="26"/>
                              </w:rPr>
                              <w:t>Pharmaceutical Market Support Group (PMSG): Generics Sub-Group</w:t>
                            </w:r>
                          </w:p>
                          <w:p w14:paraId="6B034F85" w14:textId="77777777" w:rsidR="00091CC2" w:rsidRPr="002A7257" w:rsidRDefault="00091CC2" w:rsidP="00091CC2">
                            <w:pPr>
                              <w:jc w:val="center"/>
                              <w:rPr>
                                <w:rFonts w:ascii="Arial" w:hAnsi="Arial" w:cs="Arial"/>
                                <w:sz w:val="28"/>
                                <w:szCs w:val="28"/>
                              </w:rPr>
                            </w:pPr>
                          </w:p>
                          <w:p w14:paraId="790E918E" w14:textId="77777777" w:rsidR="00091CC2" w:rsidRPr="002A7257" w:rsidRDefault="00091CC2" w:rsidP="00091CC2">
                            <w:pPr>
                              <w:jc w:val="center"/>
                              <w:rPr>
                                <w:rFonts w:ascii="Arial" w:hAnsi="Arial" w:cs="Arial"/>
                                <w:szCs w:val="26"/>
                              </w:rPr>
                            </w:pPr>
                          </w:p>
                          <w:p w14:paraId="3EF2F8AF" w14:textId="77777777" w:rsidR="00091CC2" w:rsidRPr="002A7257" w:rsidRDefault="00091CC2" w:rsidP="00091CC2">
                            <w:pPr>
                              <w:jc w:val="center"/>
                              <w:rPr>
                                <w:rFonts w:ascii="Arial" w:hAnsi="Arial" w:cs="Arial"/>
                                <w:szCs w:val="26"/>
                              </w:rPr>
                            </w:pPr>
                            <w:r w:rsidRPr="002A7257">
                              <w:rPr>
                                <w:rFonts w:ascii="Arial" w:hAnsi="Arial" w:cs="Arial"/>
                                <w:szCs w:val="26"/>
                              </w:rPr>
                              <w:t xml:space="preserve">This document replaces the previous briefing from 2014 </w:t>
                            </w:r>
                          </w:p>
                          <w:p w14:paraId="0A3B3469" w14:textId="77777777" w:rsidR="00091CC2" w:rsidRPr="002A7257" w:rsidRDefault="00091CC2" w:rsidP="00091CC2">
                            <w:pPr>
                              <w:jc w:val="center"/>
                              <w:rPr>
                                <w:rFonts w:ascii="Arial" w:hAnsi="Arial" w:cs="Arial"/>
                                <w:szCs w:val="26"/>
                              </w:rPr>
                            </w:pPr>
                            <w:r w:rsidRPr="002A7257">
                              <w:rPr>
                                <w:rFonts w:ascii="Arial" w:hAnsi="Arial" w:cs="Arial"/>
                                <w:szCs w:val="26"/>
                              </w:rPr>
                              <w:t>(updated 2016).</w:t>
                            </w:r>
                          </w:p>
                          <w:p w14:paraId="1C5643AA" w14:textId="77777777" w:rsidR="00091CC2" w:rsidRPr="002A7257" w:rsidRDefault="00091CC2" w:rsidP="00091CC2">
                            <w:pPr>
                              <w:spacing w:after="160" w:line="259" w:lineRule="auto"/>
                              <w:rPr>
                                <w:rFonts w:ascii="Arial" w:hAnsi="Arial" w:cs="Arial"/>
                              </w:rPr>
                            </w:pPr>
                          </w:p>
                          <w:p w14:paraId="346E87FB" w14:textId="77777777" w:rsidR="00091CC2" w:rsidRPr="00DC5761" w:rsidRDefault="00091CC2" w:rsidP="00091C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9pt;margin-top:23.3pt;width:440.75pt;height:176.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" fillcolor="#d8d8d8" strokeweight="2pt">
                <v:textbox>
                  <w:txbxContent>
                    <w:p w14:paraId="7C659767" w14:textId="77777777" w:rsidR="00091CC2" w:rsidRPr="002A7257" w:rsidRDefault="00091CC2" w:rsidP="00091CC2">
                      <w:pPr>
                        <w:spacing w:after="160" w:line="259" w:lineRule="auto"/>
                        <w:rPr>
                          <w:sz w:val="22"/>
                        </w:rPr>
                      </w:pPr>
                    </w:p>
                    <w:p w14:paraId="606E3D48" w14:textId="77777777" w:rsidR="00091CC2" w:rsidRPr="002A7257" w:rsidRDefault="00091CC2" w:rsidP="00091CC2">
                      <w:pPr>
                        <w:jc w:val="center"/>
                        <w:rPr>
                          <w:rFonts w:ascii="Arial" w:hAnsi="Arial" w:cs="Arial"/>
                          <w:szCs w:val="26"/>
                        </w:rPr>
                      </w:pPr>
                      <w:r w:rsidRPr="002A7257">
                        <w:rPr>
                          <w:rFonts w:ascii="Arial" w:hAnsi="Arial" w:cs="Arial"/>
                          <w:szCs w:val="26"/>
                        </w:rPr>
                        <w:t>A consensus view from the:</w:t>
                      </w:r>
                    </w:p>
                    <w:p w14:paraId="0031DE88" w14:textId="77777777" w:rsidR="00091CC2" w:rsidRPr="002A7257" w:rsidRDefault="00091CC2" w:rsidP="00091CC2">
                      <w:pPr>
                        <w:jc w:val="center"/>
                        <w:rPr>
                          <w:rFonts w:ascii="Arial" w:hAnsi="Arial" w:cs="Arial"/>
                          <w:szCs w:val="26"/>
                          <w:u w:val="single"/>
                        </w:rPr>
                      </w:pPr>
                    </w:p>
                    <w:p w14:paraId="1432C60D" w14:textId="77777777" w:rsidR="00091CC2" w:rsidRPr="002A7257" w:rsidRDefault="00091CC2" w:rsidP="00091CC2">
                      <w:pPr>
                        <w:jc w:val="center"/>
                        <w:rPr>
                          <w:rFonts w:ascii="Arial" w:hAnsi="Arial" w:cs="Arial"/>
                          <w:szCs w:val="26"/>
                        </w:rPr>
                      </w:pPr>
                      <w:r w:rsidRPr="002A7257">
                        <w:rPr>
                          <w:rFonts w:ascii="Arial" w:hAnsi="Arial" w:cs="Arial"/>
                          <w:szCs w:val="26"/>
                        </w:rPr>
                        <w:t>United Kingdom Clinical Pharmacists Association (UKCPA): Neurosciences Group</w:t>
                      </w:r>
                    </w:p>
                    <w:p w14:paraId="7AE48E81" w14:textId="77777777" w:rsidR="00091CC2" w:rsidRPr="002A7257" w:rsidRDefault="00091CC2" w:rsidP="00091CC2">
                      <w:pPr>
                        <w:jc w:val="center"/>
                        <w:rPr>
                          <w:rFonts w:ascii="Arial" w:hAnsi="Arial" w:cs="Arial"/>
                          <w:bCs/>
                          <w:szCs w:val="26"/>
                        </w:rPr>
                      </w:pPr>
                      <w:r w:rsidRPr="002A7257">
                        <w:rPr>
                          <w:rFonts w:ascii="Arial" w:hAnsi="Arial" w:cs="Arial"/>
                          <w:bCs/>
                          <w:szCs w:val="26"/>
                        </w:rPr>
                        <w:t>&amp;</w:t>
                      </w:r>
                    </w:p>
                    <w:p w14:paraId="2D3BD266" w14:textId="77777777" w:rsidR="00091CC2" w:rsidRPr="002A7257" w:rsidRDefault="00091CC2" w:rsidP="00091CC2">
                      <w:pPr>
                        <w:jc w:val="center"/>
                        <w:rPr>
                          <w:rFonts w:ascii="Arial" w:hAnsi="Arial" w:cs="Arial"/>
                          <w:sz w:val="28"/>
                          <w:szCs w:val="28"/>
                        </w:rPr>
                      </w:pPr>
                      <w:r w:rsidRPr="002A7257">
                        <w:rPr>
                          <w:rFonts w:ascii="Arial" w:hAnsi="Arial" w:cs="Arial"/>
                          <w:szCs w:val="26"/>
                        </w:rPr>
                        <w:t>Pharmaceutical Market Support Group (PMSG): Generics Sub-Group</w:t>
                      </w:r>
                    </w:p>
                    <w:p w14:paraId="6B034F85" w14:textId="77777777" w:rsidR="00091CC2" w:rsidRPr="002A7257" w:rsidRDefault="00091CC2" w:rsidP="00091CC2">
                      <w:pPr>
                        <w:jc w:val="center"/>
                        <w:rPr>
                          <w:rFonts w:ascii="Arial" w:hAnsi="Arial" w:cs="Arial"/>
                          <w:sz w:val="28"/>
                          <w:szCs w:val="28"/>
                        </w:rPr>
                      </w:pPr>
                    </w:p>
                    <w:p w14:paraId="790E918E" w14:textId="77777777" w:rsidR="00091CC2" w:rsidRPr="002A7257" w:rsidRDefault="00091CC2" w:rsidP="00091CC2">
                      <w:pPr>
                        <w:jc w:val="center"/>
                        <w:rPr>
                          <w:rFonts w:ascii="Arial" w:hAnsi="Arial" w:cs="Arial"/>
                          <w:szCs w:val="26"/>
                        </w:rPr>
                      </w:pPr>
                    </w:p>
                    <w:p w14:paraId="3EF2F8AF" w14:textId="77777777" w:rsidR="00091CC2" w:rsidRPr="002A7257" w:rsidRDefault="00091CC2" w:rsidP="00091CC2">
                      <w:pPr>
                        <w:jc w:val="center"/>
                        <w:rPr>
                          <w:rFonts w:ascii="Arial" w:hAnsi="Arial" w:cs="Arial"/>
                          <w:szCs w:val="26"/>
                        </w:rPr>
                      </w:pPr>
                      <w:r w:rsidRPr="002A7257">
                        <w:rPr>
                          <w:rFonts w:ascii="Arial" w:hAnsi="Arial" w:cs="Arial"/>
                          <w:szCs w:val="26"/>
                        </w:rPr>
                        <w:t xml:space="preserve">This document replaces the previous briefing from 2014 </w:t>
                      </w:r>
                    </w:p>
                    <w:p w14:paraId="0A3B3469" w14:textId="77777777" w:rsidR="00091CC2" w:rsidRPr="002A7257" w:rsidRDefault="00091CC2" w:rsidP="00091CC2">
                      <w:pPr>
                        <w:jc w:val="center"/>
                        <w:rPr>
                          <w:rFonts w:ascii="Arial" w:hAnsi="Arial" w:cs="Arial"/>
                          <w:szCs w:val="26"/>
                        </w:rPr>
                      </w:pPr>
                      <w:r w:rsidRPr="002A7257">
                        <w:rPr>
                          <w:rFonts w:ascii="Arial" w:hAnsi="Arial" w:cs="Arial"/>
                          <w:szCs w:val="26"/>
                        </w:rPr>
                        <w:t>(updated 2016).</w:t>
                      </w:r>
                    </w:p>
                    <w:p w14:paraId="1C5643AA" w14:textId="77777777" w:rsidR="00091CC2" w:rsidRPr="002A7257" w:rsidRDefault="00091CC2" w:rsidP="00091CC2">
                      <w:pPr>
                        <w:spacing w:after="160" w:line="259" w:lineRule="auto"/>
                        <w:rPr>
                          <w:rFonts w:ascii="Arial" w:hAnsi="Arial" w:cs="Arial"/>
                        </w:rPr>
                      </w:pPr>
                    </w:p>
                    <w:p w14:paraId="346E87FB" w14:textId="77777777" w:rsidR="00091CC2" w:rsidRPr="00DC5761" w:rsidRDefault="00091CC2" w:rsidP="00091CC2"/>
                  </w:txbxContent>
                </v:textbox>
                <w10:wrap type="square"/>
              </v:shape>
            </w:pict>
          </mc:Fallback>
        </mc:AlternateContent>
      </w:r>
      <w:r>
        <w:rPr>
          <w:b/>
          <w:noProof/>
        </w:rPr>
        <w:drawing>
          <wp:inline distT="0" distB="0" distL="0" distR="0" wp14:anchorId="1F7516CB" wp14:editId="3F62564B">
            <wp:extent cx="419100" cy="32378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3237865"/>
                    </a:xfrm>
                    <a:prstGeom prst="rect">
                      <a:avLst/>
                    </a:prstGeom>
                    <a:noFill/>
                  </pic:spPr>
                </pic:pic>
              </a:graphicData>
            </a:graphic>
          </wp:inline>
        </w:drawing>
      </w:r>
    </w:p>
    <w:p w14:paraId="43F927CE" w14:textId="77777777" w:rsidR="00091CC2" w:rsidRDefault="00091CC2" w:rsidP="000839A9">
      <w:pPr>
        <w:rPr>
          <w:b/>
          <w:lang w:val="fr-FR"/>
        </w:rPr>
      </w:pPr>
    </w:p>
    <w:p w14:paraId="4878D297" w14:textId="77777777" w:rsidR="00091CC2" w:rsidRDefault="00091CC2" w:rsidP="000839A9">
      <w:pPr>
        <w:rPr>
          <w:b/>
          <w:lang w:val="fr-FR"/>
        </w:rPr>
      </w:pPr>
    </w:p>
    <w:p w14:paraId="5E33D301" w14:textId="77777777" w:rsidR="00091CC2" w:rsidRDefault="00091CC2" w:rsidP="000839A9">
      <w:pPr>
        <w:rPr>
          <w:b/>
          <w:lang w:val="fr-FR"/>
        </w:rPr>
      </w:pPr>
    </w:p>
    <w:p w14:paraId="0532B9A3" w14:textId="77777777" w:rsidR="00091CC2" w:rsidRDefault="00091CC2" w:rsidP="000839A9">
      <w:pPr>
        <w:rPr>
          <w:b/>
          <w:lang w:val="fr-FR"/>
        </w:rPr>
      </w:pPr>
    </w:p>
    <w:p w14:paraId="060867C1" w14:textId="6DFC317E" w:rsidR="00091CC2" w:rsidRDefault="00091CC2">
      <w:pPr>
        <w:rPr>
          <w:b/>
          <w:lang w:val="fr-FR"/>
        </w:rPr>
      </w:pPr>
      <w:r>
        <w:rPr>
          <w:b/>
          <w:lang w:val="fr-FR"/>
        </w:rPr>
        <w:br w:type="page"/>
      </w:r>
    </w:p>
    <w:p w14:paraId="26540D34" w14:textId="08A5C4D3" w:rsidR="007E1BF0" w:rsidRPr="008B2EA8" w:rsidRDefault="00B45518" w:rsidP="000839A9">
      <w:pPr>
        <w:rPr>
          <w:rFonts w:asciiTheme="minorHAnsi" w:hAnsiTheme="minorHAnsi" w:cstheme="minorHAnsi"/>
          <w:b/>
          <w:sz w:val="28"/>
          <w:szCs w:val="28"/>
          <w:lang w:val="fr-FR"/>
        </w:rPr>
      </w:pPr>
      <w:r w:rsidRPr="008B2EA8">
        <w:rPr>
          <w:rFonts w:asciiTheme="minorHAnsi" w:hAnsiTheme="minorHAnsi" w:cstheme="minorHAnsi"/>
          <w:b/>
          <w:sz w:val="28"/>
          <w:szCs w:val="28"/>
          <w:lang w:val="fr-FR"/>
        </w:rPr>
        <w:t>Executive Summary :</w:t>
      </w:r>
    </w:p>
    <w:p w14:paraId="78BB4D44" w14:textId="071398F3" w:rsidR="00B45518" w:rsidRPr="005C3BA2" w:rsidRDefault="00B45518" w:rsidP="000839A9">
      <w:pPr>
        <w:rPr>
          <w:rFonts w:asciiTheme="minorHAnsi" w:hAnsiTheme="minorHAnsi" w:cstheme="minorHAnsi"/>
          <w:b/>
          <w:lang w:val="fr-FR"/>
        </w:rPr>
      </w:pPr>
    </w:p>
    <w:p w14:paraId="66D2FB69" w14:textId="0A50BB13" w:rsidR="00B45518" w:rsidRPr="005C3BA2" w:rsidRDefault="00B45518" w:rsidP="000839A9">
      <w:pPr>
        <w:rPr>
          <w:rFonts w:asciiTheme="minorHAnsi" w:hAnsiTheme="minorHAnsi" w:cstheme="minorHAnsi"/>
          <w:b/>
          <w:lang w:val="fr-FR"/>
        </w:rPr>
      </w:pPr>
      <w:r w:rsidRPr="005C3BA2">
        <w:rPr>
          <w:rFonts w:asciiTheme="minorHAnsi" w:hAnsiTheme="minorHAnsi" w:cstheme="minorHAnsi"/>
          <w:b/>
          <w:lang w:val="fr-FR"/>
        </w:rPr>
        <w:t xml:space="preserve">This document represents </w:t>
      </w:r>
      <w:r w:rsidR="00B66B9A" w:rsidRPr="005C3BA2">
        <w:rPr>
          <w:rFonts w:asciiTheme="minorHAnsi" w:hAnsiTheme="minorHAnsi" w:cstheme="minorHAnsi"/>
          <w:b/>
          <w:lang w:val="fr-FR"/>
        </w:rPr>
        <w:t>the consensus views of the Pharmaceutical Market Support Group and the UK Clinical Pharmacists Association: Neurosciences Group on the safety and appropriateness of switching between brand and generic formulations of anti-epilaptic drugs in patients with epilepsy.</w:t>
      </w:r>
    </w:p>
    <w:p w14:paraId="6B69F8D9" w14:textId="7A50AC42" w:rsidR="00B66B9A" w:rsidRPr="005C3BA2" w:rsidRDefault="00B66B9A" w:rsidP="000839A9">
      <w:pPr>
        <w:rPr>
          <w:rFonts w:asciiTheme="minorHAnsi" w:hAnsiTheme="minorHAnsi" w:cstheme="minorHAnsi"/>
          <w:b/>
          <w:lang w:val="fr-FR"/>
        </w:rPr>
      </w:pPr>
    </w:p>
    <w:p w14:paraId="03ED4968" w14:textId="2930BFB6" w:rsidR="00B423D8" w:rsidRPr="005C3BA2" w:rsidRDefault="00C4021C" w:rsidP="000839A9">
      <w:pPr>
        <w:rPr>
          <w:rFonts w:asciiTheme="minorHAnsi" w:hAnsiTheme="minorHAnsi" w:cstheme="minorHAnsi"/>
          <w:b/>
          <w:lang w:val="fr-FR"/>
        </w:rPr>
      </w:pPr>
      <w:r w:rsidRPr="005C3BA2">
        <w:rPr>
          <w:rFonts w:asciiTheme="minorHAnsi" w:hAnsiTheme="minorHAnsi" w:cstheme="minorHAnsi"/>
          <w:b/>
          <w:lang w:val="fr-FR"/>
        </w:rPr>
        <w:t xml:space="preserve">The recommendations provided in this document are </w:t>
      </w:r>
      <w:r w:rsidR="00916852" w:rsidRPr="005C3BA2">
        <w:rPr>
          <w:rFonts w:asciiTheme="minorHAnsi" w:hAnsiTheme="minorHAnsi" w:cstheme="minorHAnsi"/>
          <w:b/>
          <w:lang w:val="fr-FR"/>
        </w:rPr>
        <w:t xml:space="preserve">intended </w:t>
      </w:r>
      <w:r w:rsidRPr="005C3BA2">
        <w:rPr>
          <w:rFonts w:asciiTheme="minorHAnsi" w:hAnsiTheme="minorHAnsi" w:cstheme="minorHAnsi"/>
          <w:b/>
          <w:lang w:val="fr-FR"/>
        </w:rPr>
        <w:t xml:space="preserve">to be used alongside the MHRA </w:t>
      </w:r>
      <w:r w:rsidR="00916852" w:rsidRPr="005C3BA2">
        <w:rPr>
          <w:rFonts w:asciiTheme="minorHAnsi" w:hAnsiTheme="minorHAnsi" w:cstheme="minorHAnsi"/>
          <w:b/>
          <w:lang w:val="fr-FR"/>
        </w:rPr>
        <w:t>drug safety document</w:t>
      </w:r>
      <w:r w:rsidR="009146BB" w:rsidRPr="005C3BA2">
        <w:rPr>
          <w:rFonts w:asciiTheme="minorHAnsi" w:hAnsiTheme="minorHAnsi" w:cstheme="minorHAnsi"/>
          <w:b/>
          <w:lang w:val="fr-FR"/>
        </w:rPr>
        <w:t xml:space="preserve">: </w:t>
      </w:r>
      <w:r w:rsidR="009146BB" w:rsidRPr="005C3BA2">
        <w:rPr>
          <w:rFonts w:asciiTheme="minorHAnsi" w:hAnsiTheme="minorHAnsi" w:cstheme="minorHAnsi"/>
          <w:b/>
          <w:bCs/>
          <w:color w:val="0B0C0C"/>
          <w:shd w:val="clear" w:color="auto" w:fill="FFFFFF"/>
        </w:rPr>
        <w:t xml:space="preserve"> </w:t>
      </w:r>
      <w:r w:rsidR="009146BB" w:rsidRPr="005C3BA2">
        <w:rPr>
          <w:rFonts w:asciiTheme="minorHAnsi" w:hAnsiTheme="minorHAnsi" w:cstheme="minorHAnsi"/>
          <w:b/>
          <w:bCs/>
          <w:i/>
          <w:iCs/>
          <w:color w:val="0B0C0C"/>
          <w:shd w:val="clear" w:color="auto" w:fill="FFFFFF"/>
        </w:rPr>
        <w:t>Antiepileptic drugs: updated advice on switching between different manufacturers’ products. Drug Safety Update November 2017.</w:t>
      </w:r>
    </w:p>
    <w:p w14:paraId="7AAFF879" w14:textId="77777777" w:rsidR="00B423D8" w:rsidRPr="005C3BA2" w:rsidRDefault="00B423D8" w:rsidP="00B423D8">
      <w:pPr>
        <w:rPr>
          <w:rFonts w:asciiTheme="minorHAnsi" w:hAnsiTheme="minorHAnsi" w:cstheme="minorHAnsi"/>
          <w:sz w:val="22"/>
          <w:szCs w:val="22"/>
          <w:lang w:val="en-US" w:eastAsia="en-US"/>
        </w:rPr>
      </w:pPr>
    </w:p>
    <w:p w14:paraId="4BDC3331" w14:textId="299A9836" w:rsidR="00B423D8" w:rsidRPr="005C3BA2" w:rsidRDefault="00B423D8" w:rsidP="00B423D8">
      <w:pPr>
        <w:rPr>
          <w:rFonts w:asciiTheme="minorHAnsi" w:hAnsiTheme="minorHAnsi" w:cstheme="minorHAnsi"/>
          <w:b/>
          <w:bCs/>
        </w:rPr>
      </w:pPr>
      <w:r w:rsidRPr="005C3BA2">
        <w:rPr>
          <w:rFonts w:asciiTheme="minorHAnsi" w:hAnsiTheme="minorHAnsi" w:cstheme="minorHAnsi"/>
          <w:b/>
          <w:bCs/>
        </w:rPr>
        <w:t xml:space="preserve">Patients identified as suitable for switching from brand to generic are those who agree to try a generic version and take an </w:t>
      </w:r>
      <w:r w:rsidR="00041505" w:rsidRPr="005C3BA2">
        <w:rPr>
          <w:rFonts w:asciiTheme="minorHAnsi" w:hAnsiTheme="minorHAnsi" w:cstheme="minorHAnsi"/>
          <w:b/>
          <w:bCs/>
        </w:rPr>
        <w:t xml:space="preserve">anti-epileptic drug </w:t>
      </w:r>
      <w:r w:rsidRPr="005C3BA2">
        <w:rPr>
          <w:rFonts w:asciiTheme="minorHAnsi" w:hAnsiTheme="minorHAnsi" w:cstheme="minorHAnsi"/>
          <w:b/>
          <w:bCs/>
        </w:rPr>
        <w:t>which is significantly cheaper as a generic.  They must not have any contraindications to switching such as: sensitivity to small dose changes, experience of previous unsuccessful attempts to switch, sustained-release preparations, good seizure control, serious consequences from a change in seizures (e.g. loss of driving license) and they must not be on a ketogenic diet or have allergies to the excipients in the generic.</w:t>
      </w:r>
      <w:r w:rsidR="0089149A" w:rsidRPr="005C3BA2">
        <w:rPr>
          <w:rFonts w:asciiTheme="minorHAnsi" w:hAnsiTheme="minorHAnsi" w:cstheme="minorHAnsi"/>
          <w:b/>
          <w:bCs/>
        </w:rPr>
        <w:t xml:space="preserve">  For full details of the considerations required prior to switching </w:t>
      </w:r>
      <w:r w:rsidR="00041505" w:rsidRPr="005C3BA2">
        <w:rPr>
          <w:rFonts w:asciiTheme="minorHAnsi" w:hAnsiTheme="minorHAnsi" w:cstheme="minorHAnsi"/>
          <w:b/>
          <w:bCs/>
        </w:rPr>
        <w:t>and evidence for individual anti</w:t>
      </w:r>
      <w:r w:rsidR="00DA575C" w:rsidRPr="005C3BA2">
        <w:rPr>
          <w:rFonts w:asciiTheme="minorHAnsi" w:hAnsiTheme="minorHAnsi" w:cstheme="minorHAnsi"/>
          <w:b/>
          <w:bCs/>
        </w:rPr>
        <w:t>-epileptic drug</w:t>
      </w:r>
      <w:r w:rsidR="00041505" w:rsidRPr="005C3BA2">
        <w:rPr>
          <w:rFonts w:asciiTheme="minorHAnsi" w:hAnsiTheme="minorHAnsi" w:cstheme="minorHAnsi"/>
          <w:b/>
          <w:bCs/>
        </w:rPr>
        <w:t xml:space="preserve">s </w:t>
      </w:r>
      <w:r w:rsidR="00F0359C" w:rsidRPr="005C3BA2">
        <w:rPr>
          <w:rFonts w:asciiTheme="minorHAnsi" w:hAnsiTheme="minorHAnsi" w:cstheme="minorHAnsi"/>
          <w:b/>
          <w:bCs/>
        </w:rPr>
        <w:t xml:space="preserve">please read the </w:t>
      </w:r>
      <w:r w:rsidR="00DA575C" w:rsidRPr="005C3BA2">
        <w:rPr>
          <w:rFonts w:asciiTheme="minorHAnsi" w:hAnsiTheme="minorHAnsi" w:cstheme="minorHAnsi"/>
          <w:b/>
          <w:bCs/>
        </w:rPr>
        <w:t>main document.</w:t>
      </w:r>
    </w:p>
    <w:p w14:paraId="59A4B4BE" w14:textId="77777777" w:rsidR="00B423D8" w:rsidRDefault="00B423D8" w:rsidP="00B423D8"/>
    <w:p w14:paraId="54794CD9" w14:textId="77777777" w:rsidR="00B66B9A" w:rsidRDefault="00B66B9A" w:rsidP="000839A9">
      <w:pPr>
        <w:rPr>
          <w:b/>
          <w:lang w:val="fr-FR"/>
        </w:rPr>
      </w:pPr>
    </w:p>
    <w:p w14:paraId="557BBB73" w14:textId="77777777" w:rsidR="007E1BF0" w:rsidRDefault="007E1BF0" w:rsidP="000839A9">
      <w:pPr>
        <w:rPr>
          <w:b/>
          <w:lang w:val="fr-FR"/>
        </w:rPr>
      </w:pPr>
    </w:p>
    <w:p w14:paraId="19D934AC" w14:textId="2A8F802A" w:rsidR="007E1BF0" w:rsidRDefault="007E1BF0">
      <w:pPr>
        <w:rPr>
          <w:b/>
          <w:lang w:val="fr-FR"/>
        </w:rPr>
      </w:pPr>
      <w:r>
        <w:rPr>
          <w:b/>
          <w:lang w:val="fr-FR"/>
        </w:rPr>
        <w:br w:type="page"/>
      </w:r>
      <w:bookmarkStart w:id="0" w:name="_GoBack"/>
      <w:bookmarkEnd w:id="0"/>
    </w:p>
    <w:p w14:paraId="1B3BD1CB" w14:textId="5509D0A6" w:rsidR="000839A9" w:rsidRPr="000839A9" w:rsidRDefault="000839A9" w:rsidP="000839A9">
      <w:pPr>
        <w:rPr>
          <w:rFonts w:asciiTheme="minorHAnsi" w:hAnsiTheme="minorHAnsi" w:cstheme="minorHAnsi"/>
          <w:b/>
          <w:sz w:val="44"/>
          <w:szCs w:val="44"/>
          <w:lang w:val="fr-FR"/>
        </w:rPr>
      </w:pPr>
      <w:r w:rsidRPr="000839A9">
        <w:rPr>
          <w:rFonts w:asciiTheme="minorHAnsi" w:hAnsiTheme="minorHAnsi" w:cstheme="minorHAnsi"/>
          <w:b/>
          <w:sz w:val="44"/>
          <w:szCs w:val="44"/>
          <w:lang w:val="fr-FR"/>
        </w:rPr>
        <w:lastRenderedPageBreak/>
        <w:t>Contents</w:t>
      </w:r>
      <w:r w:rsidRPr="000839A9">
        <w:rPr>
          <w:rFonts w:asciiTheme="minorHAnsi" w:hAnsiTheme="minorHAnsi" w:cstheme="minorHAnsi"/>
          <w:b/>
          <w:sz w:val="44"/>
          <w:szCs w:val="44"/>
          <w:lang w:val="fr-FR"/>
        </w:rPr>
        <w:tab/>
      </w:r>
      <w:r w:rsidRPr="000839A9">
        <w:rPr>
          <w:rFonts w:asciiTheme="minorHAnsi" w:hAnsiTheme="minorHAnsi" w:cstheme="minorHAnsi"/>
          <w:b/>
          <w:sz w:val="44"/>
          <w:szCs w:val="44"/>
          <w:lang w:val="fr-FR"/>
        </w:rPr>
        <w:tab/>
      </w:r>
      <w:r w:rsidRPr="000839A9">
        <w:rPr>
          <w:rFonts w:asciiTheme="minorHAnsi" w:hAnsiTheme="minorHAnsi" w:cstheme="minorHAnsi"/>
          <w:b/>
          <w:sz w:val="44"/>
          <w:szCs w:val="44"/>
          <w:lang w:val="fr-FR"/>
        </w:rPr>
        <w:tab/>
      </w:r>
      <w:r w:rsidRPr="000839A9">
        <w:rPr>
          <w:rFonts w:asciiTheme="minorHAnsi" w:hAnsiTheme="minorHAnsi" w:cstheme="minorHAnsi"/>
          <w:b/>
          <w:sz w:val="44"/>
          <w:szCs w:val="44"/>
          <w:lang w:val="fr-FR"/>
        </w:rPr>
        <w:tab/>
      </w:r>
      <w:r w:rsidRPr="000839A9">
        <w:rPr>
          <w:rFonts w:asciiTheme="minorHAnsi" w:hAnsiTheme="minorHAnsi" w:cstheme="minorHAnsi"/>
          <w:b/>
          <w:sz w:val="44"/>
          <w:szCs w:val="44"/>
          <w:lang w:val="fr-FR"/>
        </w:rPr>
        <w:tab/>
      </w:r>
    </w:p>
    <w:p w14:paraId="2F230FD9" w14:textId="77777777" w:rsidR="00B95CAB" w:rsidRDefault="00B95CAB" w:rsidP="000839A9">
      <w:pPr>
        <w:rPr>
          <w:b/>
          <w:lang w:val="fr-FR"/>
        </w:rPr>
      </w:pPr>
    </w:p>
    <w:p w14:paraId="5DAB9533" w14:textId="4DBC66C1" w:rsidR="000839A9" w:rsidRPr="00153C09" w:rsidRDefault="000839A9" w:rsidP="000839A9">
      <w:pPr>
        <w:rPr>
          <w:rFonts w:ascii="Calibri" w:hAnsi="Calibri" w:cs="Calibri"/>
          <w:b/>
          <w:lang w:val="fr-FR"/>
        </w:rPr>
      </w:pPr>
      <w:r w:rsidRPr="00153C09">
        <w:rPr>
          <w:rFonts w:ascii="Calibri" w:hAnsi="Calibri" w:cs="Calibri"/>
          <w:b/>
          <w:lang w:val="fr-FR"/>
        </w:rPr>
        <w:t>Introduction</w:t>
      </w:r>
      <w:r w:rsidRPr="00153C09">
        <w:rPr>
          <w:rFonts w:ascii="Calibri" w:hAnsi="Calibri" w:cs="Calibri"/>
          <w:b/>
          <w:lang w:val="fr-FR"/>
        </w:rPr>
        <w:tab/>
      </w:r>
      <w:r w:rsidR="0046452B" w:rsidRPr="00153C09">
        <w:rPr>
          <w:rFonts w:ascii="Calibri" w:hAnsi="Calibri" w:cs="Calibri"/>
          <w:b/>
          <w:lang w:val="fr-FR"/>
        </w:rPr>
        <w:tab/>
      </w:r>
      <w:r w:rsidR="0046452B" w:rsidRPr="00153C09">
        <w:rPr>
          <w:rFonts w:ascii="Calibri" w:hAnsi="Calibri" w:cs="Calibri"/>
          <w:b/>
          <w:lang w:val="fr-FR"/>
        </w:rPr>
        <w:tab/>
      </w:r>
      <w:r w:rsidR="0046452B" w:rsidRPr="00153C09">
        <w:rPr>
          <w:rFonts w:ascii="Calibri" w:hAnsi="Calibri" w:cs="Calibri"/>
          <w:b/>
          <w:lang w:val="fr-FR"/>
        </w:rPr>
        <w:tab/>
      </w:r>
      <w:r w:rsidR="0046452B" w:rsidRPr="00153C09">
        <w:rPr>
          <w:rFonts w:ascii="Calibri" w:hAnsi="Calibri" w:cs="Calibri"/>
          <w:b/>
          <w:lang w:val="fr-FR"/>
        </w:rPr>
        <w:tab/>
      </w:r>
      <w:r w:rsidR="0046452B" w:rsidRPr="00153C09">
        <w:rPr>
          <w:rFonts w:ascii="Calibri" w:hAnsi="Calibri" w:cs="Calibri"/>
          <w:b/>
          <w:lang w:val="fr-FR"/>
        </w:rPr>
        <w:tab/>
      </w:r>
      <w:r w:rsidR="0046452B" w:rsidRPr="00153C09">
        <w:rPr>
          <w:rFonts w:ascii="Calibri" w:hAnsi="Calibri" w:cs="Calibri"/>
          <w:b/>
          <w:lang w:val="fr-FR"/>
        </w:rPr>
        <w:tab/>
      </w:r>
      <w:r w:rsidR="0046452B" w:rsidRPr="00153C09">
        <w:rPr>
          <w:rFonts w:ascii="Calibri" w:hAnsi="Calibri" w:cs="Calibri"/>
          <w:b/>
          <w:lang w:val="fr-FR"/>
        </w:rPr>
        <w:tab/>
      </w:r>
      <w:r w:rsidR="00605B9D" w:rsidRPr="00153C09">
        <w:rPr>
          <w:rFonts w:ascii="Calibri" w:hAnsi="Calibri" w:cs="Calibri"/>
          <w:b/>
          <w:lang w:val="fr-FR"/>
        </w:rPr>
        <w:t xml:space="preserve">                  </w:t>
      </w:r>
      <w:r w:rsidR="00794F9D" w:rsidRPr="00153C09">
        <w:rPr>
          <w:rFonts w:ascii="Calibri" w:hAnsi="Calibri" w:cs="Calibri"/>
          <w:b/>
          <w:lang w:val="fr-FR"/>
        </w:rPr>
        <w:t>4</w:t>
      </w:r>
      <w:r w:rsidR="0046452B" w:rsidRPr="00153C09">
        <w:rPr>
          <w:rFonts w:ascii="Calibri" w:hAnsi="Calibri" w:cs="Calibri"/>
          <w:b/>
          <w:lang w:val="fr-FR"/>
        </w:rPr>
        <w:tab/>
      </w:r>
      <w:r w:rsidR="0046452B" w:rsidRPr="00153C09">
        <w:rPr>
          <w:rFonts w:ascii="Calibri" w:hAnsi="Calibri" w:cs="Calibri"/>
          <w:b/>
          <w:lang w:val="fr-FR"/>
        </w:rPr>
        <w:tab/>
      </w:r>
    </w:p>
    <w:p w14:paraId="646637DD" w14:textId="78AFB9F2" w:rsidR="000839A9" w:rsidRPr="00153C09" w:rsidRDefault="000839A9" w:rsidP="000839A9">
      <w:pPr>
        <w:rPr>
          <w:rFonts w:ascii="Calibri" w:hAnsi="Calibri" w:cs="Calibri"/>
          <w:b/>
        </w:rPr>
      </w:pPr>
      <w:r w:rsidRPr="00153C09">
        <w:rPr>
          <w:rFonts w:ascii="Calibri" w:hAnsi="Calibri" w:cs="Calibri"/>
          <w:b/>
        </w:rPr>
        <w:t xml:space="preserve">Principles for Switching </w:t>
      </w:r>
      <w:r w:rsidR="008C1909" w:rsidRPr="00153C09">
        <w:rPr>
          <w:rFonts w:ascii="Calibri" w:hAnsi="Calibri" w:cs="Calibri"/>
          <w:b/>
        </w:rPr>
        <w:tab/>
      </w:r>
      <w:r w:rsidR="008C1909" w:rsidRPr="00153C09">
        <w:rPr>
          <w:rFonts w:ascii="Calibri" w:hAnsi="Calibri" w:cs="Calibri"/>
          <w:b/>
        </w:rPr>
        <w:tab/>
      </w:r>
      <w:r w:rsidR="008C1909" w:rsidRPr="00153C09">
        <w:rPr>
          <w:rFonts w:ascii="Calibri" w:hAnsi="Calibri" w:cs="Calibri"/>
          <w:b/>
        </w:rPr>
        <w:tab/>
      </w:r>
      <w:r w:rsidR="008C1909" w:rsidRPr="00153C09">
        <w:rPr>
          <w:rFonts w:ascii="Calibri" w:hAnsi="Calibri" w:cs="Calibri"/>
          <w:b/>
        </w:rPr>
        <w:tab/>
      </w:r>
      <w:r w:rsidR="008C1909" w:rsidRPr="00153C09">
        <w:rPr>
          <w:rFonts w:ascii="Calibri" w:hAnsi="Calibri" w:cs="Calibri"/>
          <w:b/>
        </w:rPr>
        <w:tab/>
      </w:r>
      <w:r w:rsidR="008C1909" w:rsidRPr="00153C09">
        <w:rPr>
          <w:rFonts w:ascii="Calibri" w:hAnsi="Calibri" w:cs="Calibri"/>
          <w:b/>
        </w:rPr>
        <w:tab/>
      </w:r>
      <w:r w:rsidR="008C1909" w:rsidRPr="00153C09">
        <w:rPr>
          <w:rFonts w:ascii="Calibri" w:hAnsi="Calibri" w:cs="Calibri"/>
          <w:b/>
        </w:rPr>
        <w:tab/>
        <w:t xml:space="preserve">    </w:t>
      </w:r>
      <w:r w:rsidR="004A4DE5" w:rsidRPr="00153C09">
        <w:rPr>
          <w:rFonts w:ascii="Calibri" w:hAnsi="Calibri" w:cs="Calibri"/>
          <w:b/>
        </w:rPr>
        <w:t xml:space="preserve"> </w:t>
      </w:r>
      <w:r w:rsidR="008C1909" w:rsidRPr="00153C09">
        <w:rPr>
          <w:rFonts w:ascii="Calibri" w:hAnsi="Calibri" w:cs="Calibri"/>
          <w:b/>
        </w:rPr>
        <w:t>1</w:t>
      </w:r>
      <w:r w:rsidR="00794F9D" w:rsidRPr="00153C09">
        <w:rPr>
          <w:rFonts w:ascii="Calibri" w:hAnsi="Calibri" w:cs="Calibri"/>
          <w:b/>
        </w:rPr>
        <w:t>2</w:t>
      </w:r>
      <w:r w:rsidRPr="00153C09">
        <w:rPr>
          <w:rFonts w:ascii="Calibri" w:hAnsi="Calibri" w:cs="Calibri"/>
          <w:b/>
        </w:rPr>
        <w:tab/>
      </w:r>
      <w:r w:rsidR="00743483" w:rsidRPr="00153C09">
        <w:rPr>
          <w:rFonts w:ascii="Calibri" w:hAnsi="Calibri" w:cs="Calibri"/>
          <w:b/>
        </w:rPr>
        <w:tab/>
      </w:r>
      <w:r w:rsidR="00743483" w:rsidRPr="00153C09">
        <w:rPr>
          <w:rFonts w:ascii="Calibri" w:hAnsi="Calibri" w:cs="Calibri"/>
          <w:b/>
        </w:rPr>
        <w:tab/>
      </w:r>
      <w:r w:rsidR="00743483" w:rsidRPr="00153C09">
        <w:rPr>
          <w:rFonts w:ascii="Calibri" w:hAnsi="Calibri" w:cs="Calibri"/>
          <w:b/>
        </w:rPr>
        <w:tab/>
      </w:r>
      <w:r w:rsidR="00743483" w:rsidRPr="00153C09">
        <w:rPr>
          <w:rFonts w:ascii="Calibri" w:hAnsi="Calibri" w:cs="Calibri"/>
          <w:b/>
        </w:rPr>
        <w:tab/>
      </w:r>
      <w:r w:rsidR="00743483" w:rsidRPr="00153C09">
        <w:rPr>
          <w:rFonts w:ascii="Calibri" w:hAnsi="Calibri" w:cs="Calibri"/>
          <w:b/>
        </w:rPr>
        <w:tab/>
      </w:r>
      <w:r w:rsidR="00743483" w:rsidRPr="00153C09">
        <w:rPr>
          <w:rFonts w:ascii="Calibri" w:hAnsi="Calibri" w:cs="Calibri"/>
          <w:b/>
        </w:rPr>
        <w:tab/>
      </w:r>
      <w:r w:rsidRPr="00153C09">
        <w:rPr>
          <w:rFonts w:ascii="Calibri" w:hAnsi="Calibri" w:cs="Calibri"/>
          <w:b/>
        </w:rPr>
        <w:tab/>
      </w:r>
      <w:r w:rsidRPr="00153C09">
        <w:rPr>
          <w:rFonts w:ascii="Calibri" w:hAnsi="Calibri" w:cs="Calibri"/>
          <w:b/>
        </w:rPr>
        <w:tab/>
      </w:r>
    </w:p>
    <w:p w14:paraId="407A0C9A" w14:textId="77777777" w:rsidR="000839A9" w:rsidRPr="00586B0A" w:rsidRDefault="000839A9" w:rsidP="000839A9">
      <w:pPr>
        <w:pStyle w:val="Heading3"/>
        <w:rPr>
          <w:rFonts w:ascii="Calibri" w:hAnsi="Calibri"/>
        </w:rPr>
      </w:pPr>
      <w:r w:rsidRPr="0018137D">
        <w:t>Medicine-specific recommendations</w:t>
      </w:r>
    </w:p>
    <w:p w14:paraId="25423854" w14:textId="40CD0255" w:rsidR="000839A9" w:rsidRPr="00D916D9" w:rsidRDefault="00091CC2" w:rsidP="000839A9">
      <w:pPr>
        <w:rPr>
          <w:rFonts w:ascii="Calibri" w:hAnsi="Calibri"/>
          <w:color w:val="000000"/>
          <w:u w:val="single"/>
        </w:rPr>
      </w:pPr>
      <w:hyperlink w:anchor="_Name_of_drug" w:history="1">
        <w:r w:rsidR="000839A9" w:rsidRPr="003B52AD">
          <w:rPr>
            <w:rStyle w:val="Hyperlink"/>
            <w:rFonts w:ascii="Calibri" w:hAnsi="Calibri"/>
          </w:rPr>
          <w:t>Brivaracetam</w:t>
        </w:r>
      </w:hyperlink>
      <w:r w:rsidR="0046452B" w:rsidRPr="004A4DE5">
        <w:rPr>
          <w:rFonts w:ascii="Calibri" w:hAnsi="Calibri"/>
          <w:color w:val="000000"/>
        </w:rPr>
        <w:tab/>
      </w:r>
      <w:r w:rsidR="0046452B" w:rsidRPr="004A4DE5">
        <w:rPr>
          <w:rFonts w:ascii="Calibri" w:hAnsi="Calibri"/>
          <w:color w:val="000000"/>
        </w:rPr>
        <w:tab/>
      </w:r>
      <w:r w:rsidR="0046452B" w:rsidRPr="004A4DE5">
        <w:rPr>
          <w:rFonts w:ascii="Calibri" w:hAnsi="Calibri"/>
          <w:color w:val="000000"/>
        </w:rPr>
        <w:tab/>
      </w:r>
      <w:r w:rsidR="0046452B" w:rsidRPr="004A4DE5">
        <w:rPr>
          <w:rFonts w:ascii="Calibri" w:hAnsi="Calibri"/>
          <w:color w:val="000000"/>
        </w:rPr>
        <w:tab/>
      </w:r>
      <w:r w:rsidR="0046452B" w:rsidRPr="004A4DE5">
        <w:rPr>
          <w:rFonts w:ascii="Calibri" w:hAnsi="Calibri"/>
          <w:color w:val="000000"/>
        </w:rPr>
        <w:tab/>
      </w:r>
      <w:r w:rsidR="0046452B" w:rsidRPr="004A4DE5">
        <w:rPr>
          <w:rFonts w:ascii="Calibri" w:hAnsi="Calibri"/>
          <w:color w:val="000000"/>
        </w:rPr>
        <w:tab/>
      </w:r>
      <w:r w:rsidR="0046452B" w:rsidRPr="004A4DE5">
        <w:rPr>
          <w:rFonts w:ascii="Calibri" w:hAnsi="Calibri"/>
          <w:color w:val="000000"/>
        </w:rPr>
        <w:tab/>
      </w:r>
      <w:r w:rsidR="0046452B" w:rsidRPr="004A4DE5">
        <w:rPr>
          <w:rFonts w:ascii="Calibri" w:hAnsi="Calibri"/>
          <w:color w:val="000000"/>
        </w:rPr>
        <w:tab/>
      </w:r>
      <w:r w:rsidR="0046452B" w:rsidRPr="004A4DE5">
        <w:rPr>
          <w:rFonts w:ascii="Calibri" w:hAnsi="Calibri"/>
          <w:color w:val="000000"/>
        </w:rPr>
        <w:tab/>
      </w:r>
      <w:r w:rsidR="00794F9D">
        <w:rPr>
          <w:rFonts w:ascii="Calibri" w:hAnsi="Calibri"/>
          <w:color w:val="000000"/>
        </w:rPr>
        <w:t xml:space="preserve">      </w:t>
      </w:r>
      <w:r w:rsidR="00794F9D" w:rsidRPr="00794F9D">
        <w:rPr>
          <w:rFonts w:ascii="Calibri" w:hAnsi="Calibri"/>
          <w:b/>
          <w:bCs/>
          <w:color w:val="000000"/>
        </w:rPr>
        <w:t>14</w:t>
      </w:r>
      <w:r w:rsidR="0046452B" w:rsidRPr="004A4DE5">
        <w:rPr>
          <w:rFonts w:ascii="Calibri" w:hAnsi="Calibri"/>
          <w:color w:val="000000"/>
        </w:rPr>
        <w:tab/>
      </w:r>
    </w:p>
    <w:p w14:paraId="7877B3D2" w14:textId="5B3A262D" w:rsidR="000839A9" w:rsidRPr="00586B0A" w:rsidRDefault="00091CC2" w:rsidP="000839A9">
      <w:pPr>
        <w:rPr>
          <w:rFonts w:ascii="Calibri" w:hAnsi="Calibri"/>
          <w:color w:val="000000"/>
        </w:rPr>
      </w:pPr>
      <w:hyperlink w:anchor="_Carbamazepine" w:history="1">
        <w:r w:rsidR="000839A9" w:rsidRPr="00586B0A">
          <w:rPr>
            <w:rStyle w:val="Hyperlink"/>
            <w:rFonts w:ascii="Calibri" w:hAnsi="Calibri"/>
            <w:color w:val="000000"/>
          </w:rPr>
          <w:t>Carbamazepine</w:t>
        </w:r>
      </w:hyperlink>
      <w:r w:rsidR="008C1909" w:rsidRPr="004A4DE5">
        <w:rPr>
          <w:rStyle w:val="Hyperlink"/>
          <w:rFonts w:ascii="Calibri" w:hAnsi="Calibri"/>
          <w:color w:val="000000"/>
          <w:u w:val="none"/>
        </w:rPr>
        <w:tab/>
      </w:r>
      <w:r w:rsidR="008C1909" w:rsidRPr="004A4DE5">
        <w:rPr>
          <w:rStyle w:val="Hyperlink"/>
          <w:rFonts w:ascii="Calibri" w:hAnsi="Calibri"/>
          <w:color w:val="000000"/>
          <w:u w:val="none"/>
        </w:rPr>
        <w:tab/>
      </w:r>
      <w:r w:rsidR="008C1909" w:rsidRPr="004A4DE5">
        <w:rPr>
          <w:rStyle w:val="Hyperlink"/>
          <w:rFonts w:ascii="Calibri" w:hAnsi="Calibri"/>
          <w:color w:val="000000"/>
          <w:u w:val="none"/>
        </w:rPr>
        <w:tab/>
      </w:r>
      <w:r w:rsidR="008C1909" w:rsidRPr="004A4DE5">
        <w:rPr>
          <w:rStyle w:val="Hyperlink"/>
          <w:rFonts w:ascii="Calibri" w:hAnsi="Calibri"/>
          <w:color w:val="000000"/>
          <w:u w:val="none"/>
        </w:rPr>
        <w:tab/>
      </w:r>
      <w:r w:rsidR="008C1909" w:rsidRPr="004A4DE5">
        <w:rPr>
          <w:rStyle w:val="Hyperlink"/>
          <w:rFonts w:ascii="Calibri" w:hAnsi="Calibri"/>
          <w:color w:val="000000"/>
          <w:u w:val="none"/>
        </w:rPr>
        <w:tab/>
      </w:r>
      <w:r w:rsidR="008C1909" w:rsidRPr="004A4DE5">
        <w:rPr>
          <w:rStyle w:val="Hyperlink"/>
          <w:rFonts w:ascii="Calibri" w:hAnsi="Calibri"/>
          <w:color w:val="000000"/>
          <w:u w:val="none"/>
        </w:rPr>
        <w:tab/>
      </w:r>
      <w:r w:rsidR="008C1909" w:rsidRPr="004A4DE5">
        <w:rPr>
          <w:rStyle w:val="Hyperlink"/>
          <w:rFonts w:ascii="Calibri" w:hAnsi="Calibri"/>
          <w:color w:val="000000"/>
          <w:u w:val="none"/>
        </w:rPr>
        <w:tab/>
      </w:r>
      <w:r w:rsidR="008C1909" w:rsidRPr="004A4DE5">
        <w:rPr>
          <w:rStyle w:val="Hyperlink"/>
          <w:rFonts w:ascii="Calibri" w:hAnsi="Calibri"/>
          <w:color w:val="000000"/>
          <w:u w:val="none"/>
        </w:rPr>
        <w:tab/>
        <w:t xml:space="preserve">      </w:t>
      </w:r>
      <w:r w:rsidR="008C1909" w:rsidRPr="004A4DE5">
        <w:rPr>
          <w:rStyle w:val="Hyperlink"/>
          <w:rFonts w:ascii="Calibri" w:hAnsi="Calibri"/>
          <w:b/>
          <w:bCs/>
          <w:color w:val="000000"/>
          <w:u w:val="none"/>
        </w:rPr>
        <w:t>15</w:t>
      </w:r>
      <w:r w:rsidR="000839A9">
        <w:rPr>
          <w:rFonts w:ascii="Calibri" w:hAnsi="Calibri"/>
          <w:color w:val="000000"/>
        </w:rPr>
        <w:tab/>
        <w:t xml:space="preserve">  </w:t>
      </w:r>
    </w:p>
    <w:p w14:paraId="233A802B" w14:textId="55FAC867" w:rsidR="000839A9" w:rsidRPr="00CE25A5" w:rsidRDefault="00091CC2" w:rsidP="000839A9">
      <w:pPr>
        <w:rPr>
          <w:rStyle w:val="Hyperlink"/>
          <w:rFonts w:ascii="Calibri" w:hAnsi="Calibri"/>
          <w:color w:val="000000"/>
          <w:u w:val="none"/>
        </w:rPr>
      </w:pPr>
      <w:hyperlink w:anchor="_Clobazam" w:history="1">
        <w:r w:rsidR="000839A9" w:rsidRPr="00586B0A">
          <w:rPr>
            <w:rStyle w:val="Hyperlink"/>
            <w:rFonts w:ascii="Calibri" w:hAnsi="Calibri"/>
            <w:color w:val="000000"/>
          </w:rPr>
          <w:t>Clobazam</w:t>
        </w:r>
      </w:hyperlink>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4A4DE5">
        <w:rPr>
          <w:rFonts w:ascii="Calibri" w:hAnsi="Calibri"/>
          <w:color w:val="000000"/>
        </w:rPr>
        <w:t xml:space="preserve">      </w:t>
      </w:r>
      <w:r w:rsidR="004A4DE5" w:rsidRPr="004A4DE5">
        <w:rPr>
          <w:rFonts w:ascii="Calibri" w:hAnsi="Calibri"/>
          <w:b/>
          <w:bCs/>
          <w:color w:val="000000"/>
        </w:rPr>
        <w:t>17</w:t>
      </w:r>
      <w:r w:rsidR="000839A9">
        <w:rPr>
          <w:rFonts w:ascii="Calibri" w:hAnsi="Calibri"/>
          <w:color w:val="000000"/>
        </w:rPr>
        <w:br/>
      </w:r>
      <w:hyperlink w:anchor="_Clonazepam" w:history="1">
        <w:r w:rsidR="000839A9" w:rsidRPr="00586B0A">
          <w:rPr>
            <w:rStyle w:val="Hyperlink"/>
            <w:rFonts w:ascii="Calibri" w:hAnsi="Calibri"/>
            <w:color w:val="000000"/>
          </w:rPr>
          <w:t>Clonazepam</w:t>
        </w:r>
      </w:hyperlink>
      <w:r w:rsidR="000839A9">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t xml:space="preserve">      </w:t>
      </w:r>
      <w:r w:rsidR="004A4DE5" w:rsidRPr="004A4DE5">
        <w:rPr>
          <w:rFonts w:ascii="Calibri" w:hAnsi="Calibri"/>
          <w:b/>
          <w:bCs/>
          <w:color w:val="000000"/>
        </w:rPr>
        <w:t>19</w:t>
      </w:r>
      <w:r w:rsidR="000839A9">
        <w:rPr>
          <w:rFonts w:ascii="Calibri" w:hAnsi="Calibri"/>
          <w:color w:val="000000"/>
        </w:rPr>
        <w:tab/>
      </w:r>
      <w:r w:rsidR="000839A9">
        <w:rPr>
          <w:rFonts w:ascii="Calibri" w:hAnsi="Calibri"/>
          <w:color w:val="000000"/>
        </w:rPr>
        <w:br/>
      </w:r>
      <w:r w:rsidR="000839A9" w:rsidRPr="00586B0A">
        <w:rPr>
          <w:rFonts w:ascii="Calibri" w:hAnsi="Calibri"/>
          <w:color w:val="000000"/>
        </w:rPr>
        <w:fldChar w:fldCharType="begin"/>
      </w:r>
      <w:r w:rsidR="000839A9" w:rsidRPr="00586B0A">
        <w:rPr>
          <w:rFonts w:ascii="Calibri" w:hAnsi="Calibri"/>
          <w:color w:val="000000"/>
        </w:rPr>
        <w:instrText xml:space="preserve"> HYPERLINK  \l "_Eslicarbazepine" </w:instrText>
      </w:r>
      <w:r w:rsidR="000839A9" w:rsidRPr="00586B0A">
        <w:rPr>
          <w:rFonts w:ascii="Calibri" w:hAnsi="Calibri"/>
          <w:color w:val="000000"/>
        </w:rPr>
        <w:fldChar w:fldCharType="separate"/>
      </w:r>
      <w:r w:rsidR="000839A9" w:rsidRPr="00586B0A">
        <w:rPr>
          <w:rStyle w:val="Hyperlink"/>
          <w:rFonts w:ascii="Calibri" w:hAnsi="Calibri"/>
          <w:color w:val="000000"/>
        </w:rPr>
        <w:t>Eslicarbazepine</w:t>
      </w:r>
      <w:r w:rsidR="000839A9">
        <w:rPr>
          <w:rStyle w:val="Hyperlink"/>
          <w:rFonts w:ascii="Calibri" w:hAnsi="Calibri"/>
          <w:color w:val="000000"/>
        </w:rPr>
        <w:t xml:space="preserve"> </w:t>
      </w:r>
      <w:r w:rsidR="000839A9">
        <w:rPr>
          <w:rStyle w:val="Hyperlink"/>
          <w:rFonts w:ascii="Calibri" w:hAnsi="Calibri"/>
          <w:color w:val="000000"/>
          <w:u w:val="none"/>
        </w:rPr>
        <w:tab/>
      </w:r>
      <w:r w:rsidR="004A4DE5">
        <w:rPr>
          <w:rStyle w:val="Hyperlink"/>
          <w:rFonts w:ascii="Calibri" w:hAnsi="Calibri"/>
          <w:color w:val="000000"/>
          <w:u w:val="none"/>
        </w:rPr>
        <w:tab/>
      </w:r>
      <w:r w:rsidR="004A4DE5">
        <w:rPr>
          <w:rStyle w:val="Hyperlink"/>
          <w:rFonts w:ascii="Calibri" w:hAnsi="Calibri"/>
          <w:color w:val="000000"/>
          <w:u w:val="none"/>
        </w:rPr>
        <w:tab/>
      </w:r>
      <w:r w:rsidR="004A4DE5">
        <w:rPr>
          <w:rStyle w:val="Hyperlink"/>
          <w:rFonts w:ascii="Calibri" w:hAnsi="Calibri"/>
          <w:color w:val="000000"/>
          <w:u w:val="none"/>
        </w:rPr>
        <w:tab/>
      </w:r>
      <w:r w:rsidR="004A4DE5">
        <w:rPr>
          <w:rStyle w:val="Hyperlink"/>
          <w:rFonts w:ascii="Calibri" w:hAnsi="Calibri"/>
          <w:color w:val="000000"/>
          <w:u w:val="none"/>
        </w:rPr>
        <w:tab/>
      </w:r>
      <w:r w:rsidR="004A4DE5">
        <w:rPr>
          <w:rStyle w:val="Hyperlink"/>
          <w:rFonts w:ascii="Calibri" w:hAnsi="Calibri"/>
          <w:color w:val="000000"/>
          <w:u w:val="none"/>
        </w:rPr>
        <w:tab/>
      </w:r>
      <w:r w:rsidR="004A4DE5">
        <w:rPr>
          <w:rStyle w:val="Hyperlink"/>
          <w:rFonts w:ascii="Calibri" w:hAnsi="Calibri"/>
          <w:color w:val="000000"/>
          <w:u w:val="none"/>
        </w:rPr>
        <w:tab/>
      </w:r>
      <w:r w:rsidR="004A4DE5">
        <w:rPr>
          <w:rStyle w:val="Hyperlink"/>
          <w:rFonts w:ascii="Calibri" w:hAnsi="Calibri"/>
          <w:color w:val="000000"/>
          <w:u w:val="none"/>
        </w:rPr>
        <w:tab/>
        <w:t xml:space="preserve">     </w:t>
      </w:r>
      <w:r w:rsidR="004A4DE5" w:rsidRPr="004A4DE5">
        <w:rPr>
          <w:rStyle w:val="Hyperlink"/>
          <w:rFonts w:ascii="Calibri" w:hAnsi="Calibri"/>
          <w:b/>
          <w:bCs/>
          <w:color w:val="000000" w:themeColor="text1"/>
          <w:u w:val="none"/>
        </w:rPr>
        <w:t xml:space="preserve"> 21</w:t>
      </w:r>
      <w:r w:rsidR="000839A9">
        <w:rPr>
          <w:rStyle w:val="Hyperlink"/>
          <w:rFonts w:ascii="Calibri" w:hAnsi="Calibri"/>
          <w:color w:val="000000"/>
          <w:u w:val="none"/>
        </w:rPr>
        <w:tab/>
      </w:r>
    </w:p>
    <w:p w14:paraId="1653B549" w14:textId="01F34B88" w:rsidR="000839A9" w:rsidRPr="000075C3" w:rsidRDefault="000839A9" w:rsidP="000839A9">
      <w:pPr>
        <w:rPr>
          <w:rFonts w:ascii="Calibri" w:hAnsi="Calibri"/>
          <w:color w:val="000000"/>
        </w:rPr>
      </w:pPr>
      <w:r w:rsidRPr="00586B0A">
        <w:rPr>
          <w:rFonts w:ascii="Calibri" w:hAnsi="Calibri"/>
          <w:color w:val="000000"/>
        </w:rPr>
        <w:fldChar w:fldCharType="end"/>
      </w:r>
      <w:hyperlink w:anchor="_Ethosuximide" w:history="1">
        <w:r w:rsidRPr="00586B0A">
          <w:rPr>
            <w:rStyle w:val="Hyperlink"/>
            <w:rFonts w:ascii="Calibri" w:hAnsi="Calibri"/>
            <w:color w:val="000000"/>
          </w:rPr>
          <w:t>Ethosuximide</w:t>
        </w:r>
      </w:hyperlink>
      <w:r w:rsidRPr="000075C3">
        <w:rPr>
          <w:rFonts w:ascii="Calibri" w:hAnsi="Calibri"/>
          <w:color w:val="000000"/>
        </w:rPr>
        <w:t xml:space="preserve"> </w:t>
      </w:r>
      <w:r w:rsidRPr="000075C3">
        <w:rPr>
          <w:rFonts w:ascii="Calibri" w:hAnsi="Calibri"/>
          <w:color w:val="000000"/>
        </w:rPr>
        <w:tab/>
      </w:r>
      <w:r w:rsidRPr="000075C3">
        <w:rPr>
          <w:rFonts w:ascii="Calibri" w:hAnsi="Calibri"/>
          <w:color w:val="000000"/>
        </w:rPr>
        <w:tab/>
      </w:r>
      <w:r w:rsidRPr="000075C3">
        <w:rPr>
          <w:rFonts w:ascii="Calibri" w:hAnsi="Calibri"/>
          <w:color w:val="000000"/>
        </w:rPr>
        <w:tab/>
      </w:r>
      <w:r w:rsidRPr="000075C3">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t xml:space="preserve">      </w:t>
      </w:r>
      <w:r w:rsidR="004A4DE5" w:rsidRPr="004A4DE5">
        <w:rPr>
          <w:rFonts w:ascii="Calibri" w:hAnsi="Calibri"/>
          <w:b/>
          <w:bCs/>
          <w:color w:val="000000"/>
        </w:rPr>
        <w:t>22</w:t>
      </w:r>
      <w:r w:rsidRPr="000075C3">
        <w:rPr>
          <w:rFonts w:ascii="Calibri" w:hAnsi="Calibri"/>
          <w:color w:val="000000"/>
        </w:rPr>
        <w:tab/>
      </w:r>
    </w:p>
    <w:p w14:paraId="245E65D2" w14:textId="219DFD30" w:rsidR="000839A9" w:rsidRDefault="00091CC2" w:rsidP="000839A9">
      <w:pPr>
        <w:rPr>
          <w:rFonts w:ascii="Calibri" w:hAnsi="Calibri"/>
          <w:color w:val="000000"/>
        </w:rPr>
      </w:pPr>
      <w:hyperlink w:anchor="_Gabapentin" w:history="1">
        <w:r w:rsidR="000839A9" w:rsidRPr="00586B0A">
          <w:rPr>
            <w:rStyle w:val="Hyperlink"/>
            <w:rFonts w:ascii="Calibri" w:hAnsi="Calibri"/>
            <w:color w:val="000000"/>
          </w:rPr>
          <w:t>Gabapentin</w:t>
        </w:r>
      </w:hyperlink>
      <w:r w:rsidR="000839A9">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r>
      <w:r w:rsidR="004A4DE5">
        <w:rPr>
          <w:rFonts w:ascii="Calibri" w:hAnsi="Calibri"/>
          <w:color w:val="000000"/>
        </w:rPr>
        <w:tab/>
        <w:t xml:space="preserve">    </w:t>
      </w:r>
      <w:r w:rsidR="0008288C">
        <w:rPr>
          <w:rFonts w:ascii="Calibri" w:hAnsi="Calibri"/>
          <w:color w:val="000000"/>
        </w:rPr>
        <w:t xml:space="preserve"> </w:t>
      </w:r>
      <w:r w:rsidR="004A4DE5">
        <w:rPr>
          <w:rFonts w:ascii="Calibri" w:hAnsi="Calibri"/>
          <w:color w:val="000000"/>
        </w:rPr>
        <w:t xml:space="preserve"> </w:t>
      </w:r>
      <w:r w:rsidR="004A4DE5" w:rsidRPr="0008288C">
        <w:rPr>
          <w:rFonts w:ascii="Calibri" w:hAnsi="Calibri"/>
          <w:b/>
          <w:bCs/>
          <w:color w:val="000000"/>
        </w:rPr>
        <w:t>23</w:t>
      </w:r>
      <w:r w:rsidR="000839A9">
        <w:rPr>
          <w:rFonts w:ascii="Calibri" w:hAnsi="Calibri"/>
          <w:color w:val="000000"/>
        </w:rPr>
        <w:tab/>
      </w:r>
    </w:p>
    <w:p w14:paraId="5474FAE3" w14:textId="482BB762" w:rsidR="000839A9" w:rsidRPr="000075C3" w:rsidRDefault="00091CC2" w:rsidP="000839A9">
      <w:pPr>
        <w:rPr>
          <w:rFonts w:ascii="Calibri" w:hAnsi="Calibri"/>
          <w:color w:val="000000"/>
        </w:rPr>
      </w:pPr>
      <w:hyperlink w:anchor="_Lacosamide" w:history="1">
        <w:r w:rsidR="000839A9" w:rsidRPr="000075C3">
          <w:rPr>
            <w:rStyle w:val="Hyperlink"/>
            <w:rFonts w:ascii="Calibri" w:hAnsi="Calibri"/>
            <w:color w:val="000000"/>
          </w:rPr>
          <w:t>Lacosamide</w:t>
        </w:r>
      </w:hyperlink>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08288C">
        <w:rPr>
          <w:rFonts w:ascii="Calibri" w:hAnsi="Calibri"/>
          <w:color w:val="000000"/>
        </w:rPr>
        <w:tab/>
      </w:r>
      <w:r w:rsidR="0008288C">
        <w:rPr>
          <w:rFonts w:ascii="Calibri" w:hAnsi="Calibri"/>
          <w:color w:val="000000"/>
        </w:rPr>
        <w:tab/>
      </w:r>
      <w:r w:rsidR="0008288C">
        <w:rPr>
          <w:rFonts w:ascii="Calibri" w:hAnsi="Calibri"/>
          <w:color w:val="000000"/>
        </w:rPr>
        <w:tab/>
      </w:r>
      <w:r w:rsidR="0008288C">
        <w:rPr>
          <w:rFonts w:ascii="Calibri" w:hAnsi="Calibri"/>
          <w:color w:val="000000"/>
        </w:rPr>
        <w:tab/>
        <w:t xml:space="preserve">      </w:t>
      </w:r>
      <w:r w:rsidR="0008288C" w:rsidRPr="0008288C">
        <w:rPr>
          <w:rFonts w:ascii="Calibri" w:hAnsi="Calibri"/>
          <w:b/>
          <w:bCs/>
          <w:color w:val="000000"/>
        </w:rPr>
        <w:t>25</w:t>
      </w:r>
    </w:p>
    <w:p w14:paraId="26C9A8E3" w14:textId="275D3C46" w:rsidR="000839A9" w:rsidRPr="000075C3" w:rsidRDefault="00091CC2" w:rsidP="000839A9">
      <w:pPr>
        <w:rPr>
          <w:rFonts w:ascii="Calibri" w:hAnsi="Calibri"/>
          <w:color w:val="000000"/>
        </w:rPr>
      </w:pPr>
      <w:hyperlink w:anchor="_Lamotrigine" w:history="1">
        <w:r w:rsidR="000839A9" w:rsidRPr="000075C3">
          <w:rPr>
            <w:rStyle w:val="Hyperlink"/>
            <w:rFonts w:ascii="Calibri" w:hAnsi="Calibri"/>
            <w:color w:val="000000"/>
          </w:rPr>
          <w:t>Lamotrigine</w:t>
        </w:r>
      </w:hyperlink>
      <w:r w:rsidR="000839A9">
        <w:rPr>
          <w:rFonts w:ascii="Calibri" w:hAnsi="Calibri"/>
          <w:color w:val="000000"/>
        </w:rPr>
        <w:tab/>
      </w:r>
      <w:r w:rsidR="004D3656">
        <w:rPr>
          <w:rFonts w:ascii="Calibri" w:hAnsi="Calibri"/>
          <w:color w:val="000000"/>
        </w:rPr>
        <w:tab/>
      </w:r>
      <w:r w:rsidR="004D3656">
        <w:rPr>
          <w:rFonts w:ascii="Calibri" w:hAnsi="Calibri"/>
          <w:color w:val="000000"/>
        </w:rPr>
        <w:tab/>
      </w:r>
      <w:r w:rsidR="004D3656">
        <w:rPr>
          <w:rFonts w:ascii="Calibri" w:hAnsi="Calibri"/>
          <w:color w:val="000000"/>
        </w:rPr>
        <w:tab/>
      </w:r>
      <w:r w:rsidR="004D3656">
        <w:rPr>
          <w:rFonts w:ascii="Calibri" w:hAnsi="Calibri"/>
          <w:color w:val="000000"/>
        </w:rPr>
        <w:tab/>
      </w:r>
      <w:r w:rsidR="004D3656">
        <w:rPr>
          <w:rFonts w:ascii="Calibri" w:hAnsi="Calibri"/>
          <w:color w:val="000000"/>
        </w:rPr>
        <w:tab/>
      </w:r>
      <w:r w:rsidR="004D3656">
        <w:rPr>
          <w:rFonts w:ascii="Calibri" w:hAnsi="Calibri"/>
          <w:color w:val="000000"/>
        </w:rPr>
        <w:tab/>
      </w:r>
      <w:r w:rsidR="004D3656">
        <w:rPr>
          <w:rFonts w:ascii="Calibri" w:hAnsi="Calibri"/>
          <w:color w:val="000000"/>
        </w:rPr>
        <w:tab/>
      </w:r>
      <w:r w:rsidR="004D3656">
        <w:rPr>
          <w:rFonts w:ascii="Calibri" w:hAnsi="Calibri"/>
          <w:color w:val="000000"/>
        </w:rPr>
        <w:tab/>
        <w:t xml:space="preserve">      </w:t>
      </w:r>
      <w:r w:rsidR="004D3656" w:rsidRPr="004D3656">
        <w:rPr>
          <w:rFonts w:ascii="Calibri" w:hAnsi="Calibri"/>
          <w:b/>
          <w:bCs/>
          <w:color w:val="000000"/>
        </w:rPr>
        <w:t>26</w:t>
      </w:r>
      <w:r w:rsidR="000839A9">
        <w:rPr>
          <w:rFonts w:ascii="Calibri" w:hAnsi="Calibri"/>
          <w:color w:val="000000"/>
        </w:rPr>
        <w:tab/>
      </w:r>
    </w:p>
    <w:p w14:paraId="2160DED0" w14:textId="4046A9CC" w:rsidR="000839A9" w:rsidRPr="000075C3" w:rsidRDefault="00091CC2" w:rsidP="000839A9">
      <w:pPr>
        <w:rPr>
          <w:rFonts w:ascii="Calibri" w:hAnsi="Calibri"/>
          <w:color w:val="000000"/>
        </w:rPr>
      </w:pPr>
      <w:hyperlink w:anchor="_Levetiracetam" w:history="1">
        <w:r w:rsidR="000839A9" w:rsidRPr="000075C3">
          <w:rPr>
            <w:rStyle w:val="Hyperlink"/>
            <w:rFonts w:ascii="Calibri" w:hAnsi="Calibri"/>
            <w:color w:val="000000"/>
          </w:rPr>
          <w:t>Levetiracetam</w:t>
        </w:r>
      </w:hyperlink>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922B38">
        <w:rPr>
          <w:rFonts w:ascii="Calibri" w:hAnsi="Calibri"/>
          <w:color w:val="000000"/>
        </w:rPr>
        <w:tab/>
      </w:r>
      <w:r w:rsidR="00922B38">
        <w:rPr>
          <w:rFonts w:ascii="Calibri" w:hAnsi="Calibri"/>
          <w:color w:val="000000"/>
        </w:rPr>
        <w:tab/>
      </w:r>
      <w:r w:rsidR="00922B38">
        <w:rPr>
          <w:rFonts w:ascii="Calibri" w:hAnsi="Calibri"/>
          <w:color w:val="000000"/>
        </w:rPr>
        <w:tab/>
      </w:r>
      <w:r w:rsidR="00922B38">
        <w:rPr>
          <w:rFonts w:ascii="Calibri" w:hAnsi="Calibri"/>
          <w:color w:val="000000"/>
        </w:rPr>
        <w:tab/>
      </w:r>
      <w:r w:rsidR="00922B38">
        <w:rPr>
          <w:rFonts w:ascii="Calibri" w:hAnsi="Calibri"/>
          <w:color w:val="000000"/>
        </w:rPr>
        <w:tab/>
      </w:r>
      <w:r w:rsidR="00922B38">
        <w:rPr>
          <w:rFonts w:ascii="Calibri" w:hAnsi="Calibri"/>
          <w:color w:val="000000"/>
        </w:rPr>
        <w:tab/>
        <w:t xml:space="preserve">     </w:t>
      </w:r>
      <w:r w:rsidR="00922B38" w:rsidRPr="00922B38">
        <w:rPr>
          <w:rFonts w:ascii="Calibri" w:hAnsi="Calibri"/>
          <w:b/>
          <w:bCs/>
          <w:color w:val="000000"/>
        </w:rPr>
        <w:t xml:space="preserve"> 29</w:t>
      </w:r>
      <w:r w:rsidR="000839A9">
        <w:rPr>
          <w:rFonts w:ascii="Calibri" w:hAnsi="Calibri"/>
          <w:color w:val="000000"/>
        </w:rPr>
        <w:tab/>
      </w:r>
    </w:p>
    <w:p w14:paraId="1C509CF1" w14:textId="66EDA13E" w:rsidR="000839A9" w:rsidRPr="000075C3" w:rsidRDefault="000839A9" w:rsidP="000839A9">
      <w:pPr>
        <w:rPr>
          <w:rStyle w:val="Hyperlink"/>
          <w:rFonts w:ascii="Calibri" w:hAnsi="Calibri"/>
          <w:color w:val="000000"/>
          <w:u w:val="none"/>
        </w:rPr>
      </w:pPr>
      <w:r w:rsidRPr="00586B0A">
        <w:rPr>
          <w:rFonts w:ascii="Calibri" w:hAnsi="Calibri"/>
          <w:color w:val="000000"/>
          <w:lang w:val="fr-FR"/>
        </w:rPr>
        <w:fldChar w:fldCharType="begin"/>
      </w:r>
      <w:r w:rsidRPr="000075C3">
        <w:rPr>
          <w:rFonts w:ascii="Calibri" w:hAnsi="Calibri"/>
          <w:color w:val="000000"/>
        </w:rPr>
        <w:instrText xml:space="preserve"> HYPERLINK  \l "_Oxcarbazepine" </w:instrText>
      </w:r>
      <w:r w:rsidRPr="00586B0A">
        <w:rPr>
          <w:rFonts w:ascii="Calibri" w:hAnsi="Calibri"/>
          <w:color w:val="000000"/>
          <w:lang w:val="fr-FR"/>
        </w:rPr>
        <w:fldChar w:fldCharType="separate"/>
      </w:r>
      <w:r w:rsidRPr="000075C3">
        <w:rPr>
          <w:rStyle w:val="Hyperlink"/>
          <w:rFonts w:ascii="Calibri" w:hAnsi="Calibri"/>
          <w:color w:val="000000"/>
        </w:rPr>
        <w:t xml:space="preserve">Oxcarbazepine  </w:t>
      </w:r>
      <w:r w:rsidRPr="000075C3">
        <w:rPr>
          <w:rStyle w:val="Hyperlink"/>
          <w:rFonts w:ascii="Calibri" w:hAnsi="Calibri"/>
          <w:color w:val="000000"/>
          <w:u w:val="none"/>
        </w:rPr>
        <w:tab/>
      </w:r>
      <w:r w:rsidRPr="000075C3">
        <w:rPr>
          <w:rStyle w:val="Hyperlink"/>
          <w:rFonts w:ascii="Calibri" w:hAnsi="Calibri"/>
          <w:color w:val="000000"/>
          <w:u w:val="none"/>
        </w:rPr>
        <w:tab/>
      </w:r>
      <w:r w:rsidRPr="000075C3">
        <w:rPr>
          <w:rStyle w:val="Hyperlink"/>
          <w:rFonts w:ascii="Calibri" w:hAnsi="Calibri"/>
          <w:color w:val="000000"/>
          <w:u w:val="none"/>
        </w:rPr>
        <w:tab/>
      </w:r>
      <w:r w:rsidRPr="000075C3">
        <w:rPr>
          <w:rStyle w:val="Hyperlink"/>
          <w:rFonts w:ascii="Calibri" w:hAnsi="Calibri"/>
          <w:color w:val="000000"/>
          <w:u w:val="none"/>
        </w:rPr>
        <w:tab/>
      </w:r>
      <w:r w:rsidR="00922B38">
        <w:rPr>
          <w:rStyle w:val="Hyperlink"/>
          <w:rFonts w:ascii="Calibri" w:hAnsi="Calibri"/>
          <w:color w:val="000000"/>
          <w:u w:val="none"/>
        </w:rPr>
        <w:tab/>
      </w:r>
      <w:r w:rsidR="00922B38">
        <w:rPr>
          <w:rStyle w:val="Hyperlink"/>
          <w:rFonts w:ascii="Calibri" w:hAnsi="Calibri"/>
          <w:color w:val="000000"/>
          <w:u w:val="none"/>
        </w:rPr>
        <w:tab/>
      </w:r>
      <w:r w:rsidR="00922B38">
        <w:rPr>
          <w:rStyle w:val="Hyperlink"/>
          <w:rFonts w:ascii="Calibri" w:hAnsi="Calibri"/>
          <w:color w:val="000000"/>
          <w:u w:val="none"/>
        </w:rPr>
        <w:tab/>
      </w:r>
      <w:r w:rsidR="00922B38">
        <w:rPr>
          <w:rStyle w:val="Hyperlink"/>
          <w:rFonts w:ascii="Calibri" w:hAnsi="Calibri"/>
          <w:color w:val="000000"/>
          <w:u w:val="none"/>
        </w:rPr>
        <w:tab/>
        <w:t xml:space="preserve">      </w:t>
      </w:r>
      <w:r w:rsidR="00922B38" w:rsidRPr="00922B38">
        <w:rPr>
          <w:rStyle w:val="Hyperlink"/>
          <w:rFonts w:ascii="Calibri" w:hAnsi="Calibri"/>
          <w:b/>
          <w:bCs/>
          <w:color w:val="000000" w:themeColor="text1"/>
          <w:u w:val="none"/>
        </w:rPr>
        <w:t>32</w:t>
      </w:r>
    </w:p>
    <w:p w14:paraId="74A6EC5C" w14:textId="07AD80B6" w:rsidR="00824C09" w:rsidRDefault="000839A9" w:rsidP="000839A9">
      <w:pPr>
        <w:rPr>
          <w:rFonts w:ascii="Calibri" w:hAnsi="Calibri"/>
          <w:color w:val="000000"/>
          <w:lang w:val="fr-FR"/>
        </w:rPr>
      </w:pPr>
      <w:r w:rsidRPr="00586B0A">
        <w:rPr>
          <w:rFonts w:ascii="Calibri" w:hAnsi="Calibri"/>
          <w:color w:val="000000"/>
          <w:lang w:val="fr-FR"/>
        </w:rPr>
        <w:fldChar w:fldCharType="end"/>
      </w:r>
      <w:hyperlink w:anchor="_Perampanel" w:history="1">
        <w:r w:rsidR="00824C09" w:rsidRPr="00922B38">
          <w:rPr>
            <w:rStyle w:val="Hyperlink"/>
            <w:rFonts w:ascii="Calibri" w:hAnsi="Calibri"/>
            <w:lang w:val="fr-FR"/>
          </w:rPr>
          <w:t>Perampanel</w:t>
        </w:r>
      </w:hyperlink>
      <w:r w:rsidR="00922B38">
        <w:rPr>
          <w:rFonts w:ascii="Calibri" w:hAnsi="Calibri"/>
          <w:color w:val="000000"/>
          <w:lang w:val="fr-FR"/>
        </w:rPr>
        <w:tab/>
      </w:r>
      <w:r w:rsidR="00922B38">
        <w:rPr>
          <w:rFonts w:ascii="Calibri" w:hAnsi="Calibri"/>
          <w:color w:val="000000"/>
          <w:lang w:val="fr-FR"/>
        </w:rPr>
        <w:tab/>
      </w:r>
      <w:r w:rsidR="00922B38">
        <w:rPr>
          <w:rFonts w:ascii="Calibri" w:hAnsi="Calibri"/>
          <w:color w:val="000000"/>
          <w:lang w:val="fr-FR"/>
        </w:rPr>
        <w:tab/>
      </w:r>
      <w:r w:rsidR="00922B38">
        <w:rPr>
          <w:rFonts w:ascii="Calibri" w:hAnsi="Calibri"/>
          <w:color w:val="000000"/>
          <w:lang w:val="fr-FR"/>
        </w:rPr>
        <w:tab/>
      </w:r>
      <w:r w:rsidR="00922B38">
        <w:rPr>
          <w:rFonts w:ascii="Calibri" w:hAnsi="Calibri"/>
          <w:color w:val="000000"/>
          <w:lang w:val="fr-FR"/>
        </w:rPr>
        <w:tab/>
      </w:r>
      <w:r w:rsidR="00922B38">
        <w:rPr>
          <w:rFonts w:ascii="Calibri" w:hAnsi="Calibri"/>
          <w:color w:val="000000"/>
          <w:lang w:val="fr-FR"/>
        </w:rPr>
        <w:tab/>
      </w:r>
      <w:r w:rsidR="00922B38">
        <w:rPr>
          <w:rFonts w:ascii="Calibri" w:hAnsi="Calibri"/>
          <w:color w:val="000000"/>
          <w:lang w:val="fr-FR"/>
        </w:rPr>
        <w:tab/>
      </w:r>
      <w:r w:rsidR="00922B38">
        <w:rPr>
          <w:rFonts w:ascii="Calibri" w:hAnsi="Calibri"/>
          <w:color w:val="000000"/>
          <w:lang w:val="fr-FR"/>
        </w:rPr>
        <w:tab/>
      </w:r>
      <w:r w:rsidR="00922B38">
        <w:rPr>
          <w:rFonts w:ascii="Calibri" w:hAnsi="Calibri"/>
          <w:color w:val="000000"/>
          <w:lang w:val="fr-FR"/>
        </w:rPr>
        <w:tab/>
        <w:t xml:space="preserve">      </w:t>
      </w:r>
      <w:r w:rsidR="00922B38" w:rsidRPr="00922B38">
        <w:rPr>
          <w:rFonts w:ascii="Calibri" w:hAnsi="Calibri"/>
          <w:b/>
          <w:bCs/>
          <w:color w:val="000000"/>
          <w:lang w:val="fr-FR"/>
        </w:rPr>
        <w:t>33</w:t>
      </w:r>
    </w:p>
    <w:p w14:paraId="5BA1990C" w14:textId="61BCF2AA" w:rsidR="000839A9" w:rsidRPr="000075C3" w:rsidRDefault="000839A9" w:rsidP="000839A9">
      <w:pPr>
        <w:rPr>
          <w:rStyle w:val="Hyperlink"/>
          <w:rFonts w:ascii="Calibri" w:hAnsi="Calibri"/>
          <w:color w:val="000000"/>
          <w:u w:val="none"/>
        </w:rPr>
      </w:pPr>
      <w:r w:rsidRPr="00586B0A">
        <w:rPr>
          <w:rFonts w:ascii="Calibri" w:hAnsi="Calibri"/>
          <w:color w:val="000000"/>
          <w:lang w:val="fr-FR"/>
        </w:rPr>
        <w:fldChar w:fldCharType="begin"/>
      </w:r>
      <w:r w:rsidRPr="000075C3">
        <w:rPr>
          <w:rFonts w:ascii="Calibri" w:hAnsi="Calibri"/>
          <w:color w:val="000000"/>
        </w:rPr>
        <w:instrText xml:space="preserve"> HYPERLINK  \l "_Phenobarbital" </w:instrText>
      </w:r>
      <w:r w:rsidRPr="00586B0A">
        <w:rPr>
          <w:rFonts w:ascii="Calibri" w:hAnsi="Calibri"/>
          <w:color w:val="000000"/>
          <w:lang w:val="fr-FR"/>
        </w:rPr>
        <w:fldChar w:fldCharType="separate"/>
      </w:r>
      <w:r w:rsidRPr="000075C3">
        <w:rPr>
          <w:rStyle w:val="Hyperlink"/>
          <w:rFonts w:ascii="Calibri" w:hAnsi="Calibri"/>
          <w:color w:val="000000"/>
        </w:rPr>
        <w:t>Phenobarbital</w:t>
      </w:r>
      <w:r w:rsidRPr="000075C3">
        <w:rPr>
          <w:rStyle w:val="Hyperlink"/>
          <w:rFonts w:ascii="Calibri" w:hAnsi="Calibri"/>
          <w:color w:val="000000"/>
        </w:rPr>
        <w:tab/>
      </w:r>
      <w:r w:rsidRPr="000075C3">
        <w:rPr>
          <w:rStyle w:val="Hyperlink"/>
          <w:rFonts w:ascii="Calibri" w:hAnsi="Calibri"/>
          <w:color w:val="000000"/>
          <w:u w:val="none"/>
        </w:rPr>
        <w:tab/>
      </w:r>
      <w:r w:rsidRPr="000075C3">
        <w:rPr>
          <w:rStyle w:val="Hyperlink"/>
          <w:rFonts w:ascii="Calibri" w:hAnsi="Calibri"/>
          <w:color w:val="000000"/>
          <w:u w:val="none"/>
        </w:rPr>
        <w:tab/>
      </w:r>
      <w:r w:rsidR="0057213E">
        <w:rPr>
          <w:rStyle w:val="Hyperlink"/>
          <w:rFonts w:ascii="Calibri" w:hAnsi="Calibri"/>
          <w:color w:val="000000"/>
          <w:u w:val="none"/>
        </w:rPr>
        <w:tab/>
      </w:r>
      <w:r w:rsidR="0057213E">
        <w:rPr>
          <w:rStyle w:val="Hyperlink"/>
          <w:rFonts w:ascii="Calibri" w:hAnsi="Calibri"/>
          <w:color w:val="000000"/>
          <w:u w:val="none"/>
        </w:rPr>
        <w:tab/>
      </w:r>
      <w:r w:rsidR="0057213E">
        <w:rPr>
          <w:rStyle w:val="Hyperlink"/>
          <w:rFonts w:ascii="Calibri" w:hAnsi="Calibri"/>
          <w:color w:val="000000"/>
          <w:u w:val="none"/>
        </w:rPr>
        <w:tab/>
      </w:r>
      <w:r w:rsidR="0057213E">
        <w:rPr>
          <w:rStyle w:val="Hyperlink"/>
          <w:rFonts w:ascii="Calibri" w:hAnsi="Calibri"/>
          <w:color w:val="000000"/>
          <w:u w:val="none"/>
        </w:rPr>
        <w:tab/>
      </w:r>
      <w:r w:rsidR="0057213E">
        <w:rPr>
          <w:rStyle w:val="Hyperlink"/>
          <w:rFonts w:ascii="Calibri" w:hAnsi="Calibri"/>
          <w:color w:val="000000"/>
          <w:u w:val="none"/>
        </w:rPr>
        <w:tab/>
      </w:r>
      <w:r w:rsidR="0057213E">
        <w:rPr>
          <w:rStyle w:val="Hyperlink"/>
          <w:rFonts w:ascii="Calibri" w:hAnsi="Calibri"/>
          <w:color w:val="000000"/>
          <w:u w:val="none"/>
        </w:rPr>
        <w:tab/>
        <w:t xml:space="preserve">      34</w:t>
      </w:r>
      <w:r w:rsidRPr="000075C3">
        <w:rPr>
          <w:rStyle w:val="Hyperlink"/>
          <w:rFonts w:ascii="Calibri" w:hAnsi="Calibri"/>
          <w:color w:val="000000"/>
          <w:u w:val="none"/>
        </w:rPr>
        <w:tab/>
      </w:r>
    </w:p>
    <w:p w14:paraId="617956D8" w14:textId="522A07DA" w:rsidR="000839A9" w:rsidRPr="007B7417" w:rsidRDefault="000839A9" w:rsidP="000839A9">
      <w:pPr>
        <w:rPr>
          <w:rFonts w:ascii="Calibri" w:hAnsi="Calibri"/>
          <w:color w:val="000000"/>
        </w:rPr>
      </w:pPr>
      <w:r w:rsidRPr="00586B0A">
        <w:rPr>
          <w:rFonts w:ascii="Calibri" w:hAnsi="Calibri"/>
          <w:color w:val="000000"/>
          <w:lang w:val="fr-FR"/>
        </w:rPr>
        <w:fldChar w:fldCharType="end"/>
      </w:r>
      <w:hyperlink w:anchor="_Phenytoin" w:history="1">
        <w:r w:rsidRPr="007B7417">
          <w:rPr>
            <w:rStyle w:val="Hyperlink"/>
            <w:rFonts w:ascii="Calibri" w:hAnsi="Calibri"/>
            <w:color w:val="000000"/>
          </w:rPr>
          <w:t>Phenytoin</w:t>
        </w:r>
      </w:hyperlink>
      <w:r w:rsidRPr="007B7417">
        <w:rPr>
          <w:rFonts w:ascii="Calibri" w:hAnsi="Calibri"/>
          <w:color w:val="000000"/>
        </w:rPr>
        <w:t xml:space="preserve"> </w:t>
      </w:r>
      <w:r w:rsidRPr="007B7417">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t xml:space="preserve"> </w:t>
      </w:r>
      <w:r w:rsidR="0057213E">
        <w:rPr>
          <w:rFonts w:ascii="Calibri" w:hAnsi="Calibri"/>
          <w:color w:val="000000"/>
        </w:rPr>
        <w:tab/>
        <w:t xml:space="preserve">     </w:t>
      </w:r>
      <w:r w:rsidR="0057213E" w:rsidRPr="0057213E">
        <w:rPr>
          <w:rFonts w:ascii="Calibri" w:hAnsi="Calibri"/>
          <w:b/>
          <w:bCs/>
          <w:color w:val="000000"/>
        </w:rPr>
        <w:t xml:space="preserve"> 35</w:t>
      </w:r>
      <w:r w:rsidRPr="007B7417">
        <w:rPr>
          <w:rFonts w:ascii="Calibri" w:hAnsi="Calibri"/>
          <w:color w:val="000000"/>
        </w:rPr>
        <w:tab/>
      </w:r>
    </w:p>
    <w:p w14:paraId="0705957B" w14:textId="2A62C1D3" w:rsidR="000839A9" w:rsidRPr="003D047C" w:rsidRDefault="00091CC2" w:rsidP="000839A9">
      <w:pPr>
        <w:rPr>
          <w:rFonts w:ascii="Calibri" w:hAnsi="Calibri"/>
          <w:color w:val="000000"/>
        </w:rPr>
      </w:pPr>
      <w:hyperlink w:anchor="_Pregabalin" w:history="1">
        <w:r w:rsidR="000839A9" w:rsidRPr="007B7417">
          <w:rPr>
            <w:rStyle w:val="Hyperlink"/>
            <w:rFonts w:ascii="Calibri" w:hAnsi="Calibri"/>
            <w:color w:val="000000"/>
          </w:rPr>
          <w:t>Pregabalin</w:t>
        </w:r>
      </w:hyperlink>
      <w:r w:rsidR="000839A9" w:rsidRPr="00425F62">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t xml:space="preserve">      </w:t>
      </w:r>
      <w:r w:rsidR="0057213E" w:rsidRPr="0057213E">
        <w:rPr>
          <w:rFonts w:ascii="Calibri" w:hAnsi="Calibri"/>
          <w:b/>
          <w:bCs/>
          <w:color w:val="000000"/>
        </w:rPr>
        <w:t>37</w:t>
      </w:r>
      <w:r w:rsidR="000839A9" w:rsidRPr="00425F62">
        <w:rPr>
          <w:rFonts w:ascii="Calibri" w:hAnsi="Calibri"/>
          <w:color w:val="000000"/>
        </w:rPr>
        <w:tab/>
      </w:r>
    </w:p>
    <w:p w14:paraId="7C445091" w14:textId="14C76CED" w:rsidR="000839A9" w:rsidRPr="00425F62" w:rsidRDefault="00091CC2" w:rsidP="000839A9">
      <w:pPr>
        <w:rPr>
          <w:rFonts w:ascii="Calibri" w:hAnsi="Calibri"/>
          <w:color w:val="000000"/>
        </w:rPr>
      </w:pPr>
      <w:hyperlink w:anchor="_Primidone" w:history="1">
        <w:r w:rsidR="000839A9" w:rsidRPr="0057213E">
          <w:rPr>
            <w:rStyle w:val="Hyperlink"/>
            <w:rFonts w:ascii="Calibri" w:hAnsi="Calibri"/>
          </w:rPr>
          <w:t>Primidone</w:t>
        </w:r>
      </w:hyperlink>
      <w:r w:rsidR="000839A9" w:rsidRPr="00DD52FF">
        <w:rPr>
          <w:rFonts w:ascii="Calibri" w:hAnsi="Calibri"/>
          <w:color w:val="000000"/>
          <w:u w:val="single"/>
        </w:rPr>
        <w:t xml:space="preserve"> </w:t>
      </w:r>
      <w:r w:rsidR="000839A9" w:rsidRPr="00425F62">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t xml:space="preserve">      </w:t>
      </w:r>
      <w:r w:rsidR="0057213E" w:rsidRPr="0057213E">
        <w:rPr>
          <w:rFonts w:ascii="Calibri" w:hAnsi="Calibri"/>
          <w:b/>
          <w:bCs/>
          <w:color w:val="000000"/>
        </w:rPr>
        <w:t>38</w:t>
      </w:r>
      <w:r w:rsidR="000839A9" w:rsidRPr="00425F62">
        <w:rPr>
          <w:rFonts w:ascii="Calibri" w:hAnsi="Calibri"/>
          <w:color w:val="000000"/>
        </w:rPr>
        <w:tab/>
      </w:r>
    </w:p>
    <w:p w14:paraId="63D3D66A" w14:textId="623BB36E" w:rsidR="000839A9" w:rsidRPr="00425F62" w:rsidRDefault="00091CC2" w:rsidP="000839A9">
      <w:pPr>
        <w:rPr>
          <w:rFonts w:ascii="Calibri" w:hAnsi="Calibri"/>
          <w:color w:val="000000"/>
        </w:rPr>
      </w:pPr>
      <w:hyperlink w:anchor="_Retigabine" w:history="1">
        <w:r w:rsidR="000839A9" w:rsidRPr="0057213E">
          <w:rPr>
            <w:rStyle w:val="Hyperlink"/>
            <w:rFonts w:ascii="Calibri" w:hAnsi="Calibri"/>
          </w:rPr>
          <w:t>Retigabine</w:t>
        </w:r>
      </w:hyperlink>
      <w:r w:rsidR="000839A9" w:rsidRPr="00425F62">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t xml:space="preserve">      </w:t>
      </w:r>
      <w:r w:rsidR="0057213E" w:rsidRPr="0057213E">
        <w:rPr>
          <w:rFonts w:ascii="Calibri" w:hAnsi="Calibri"/>
          <w:b/>
          <w:bCs/>
          <w:color w:val="000000"/>
        </w:rPr>
        <w:t>40</w:t>
      </w:r>
      <w:r w:rsidR="000839A9" w:rsidRPr="00425F62">
        <w:rPr>
          <w:rFonts w:ascii="Calibri" w:hAnsi="Calibri"/>
          <w:color w:val="000000"/>
        </w:rPr>
        <w:tab/>
      </w:r>
    </w:p>
    <w:p w14:paraId="50D59791" w14:textId="2415C115" w:rsidR="000839A9" w:rsidRPr="00425F62" w:rsidRDefault="00091CC2" w:rsidP="000839A9">
      <w:pPr>
        <w:rPr>
          <w:rFonts w:ascii="Calibri" w:hAnsi="Calibri"/>
          <w:color w:val="000000"/>
        </w:rPr>
      </w:pPr>
      <w:hyperlink w:anchor="_Rufinamide" w:history="1">
        <w:r w:rsidR="000839A9" w:rsidRPr="0057213E">
          <w:rPr>
            <w:rStyle w:val="Hyperlink"/>
            <w:rFonts w:ascii="Calibri" w:hAnsi="Calibri"/>
          </w:rPr>
          <w:t>Rufinamide</w:t>
        </w:r>
      </w:hyperlink>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t xml:space="preserve">      </w:t>
      </w:r>
      <w:r w:rsidR="0057213E" w:rsidRPr="0057213E">
        <w:rPr>
          <w:rFonts w:ascii="Calibri" w:hAnsi="Calibri"/>
          <w:b/>
          <w:bCs/>
          <w:color w:val="000000"/>
        </w:rPr>
        <w:t>41</w:t>
      </w:r>
      <w:r w:rsidR="0057213E">
        <w:rPr>
          <w:rFonts w:ascii="Calibri" w:hAnsi="Calibri"/>
          <w:color w:val="000000"/>
        </w:rPr>
        <w:tab/>
      </w:r>
    </w:p>
    <w:p w14:paraId="2D248791" w14:textId="392B1535" w:rsidR="000839A9" w:rsidRPr="00425F62" w:rsidRDefault="00091CC2" w:rsidP="000839A9">
      <w:pPr>
        <w:rPr>
          <w:rFonts w:ascii="Calibri" w:hAnsi="Calibri"/>
          <w:color w:val="000000"/>
        </w:rPr>
      </w:pPr>
      <w:hyperlink w:anchor="_Tiagabine" w:history="1">
        <w:r w:rsidR="000839A9" w:rsidRPr="0057213E">
          <w:rPr>
            <w:rStyle w:val="Hyperlink"/>
            <w:rFonts w:ascii="Calibri" w:hAnsi="Calibri"/>
          </w:rPr>
          <w:t>Tiagabine</w:t>
        </w:r>
      </w:hyperlink>
      <w:r w:rsidR="000839A9" w:rsidRP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t xml:space="preserve"> </w:t>
      </w:r>
      <w:r w:rsidR="0057213E">
        <w:rPr>
          <w:rFonts w:ascii="Calibri" w:hAnsi="Calibri"/>
          <w:color w:val="000000"/>
        </w:rPr>
        <w:tab/>
        <w:t xml:space="preserve">      </w:t>
      </w:r>
      <w:r w:rsidR="0057213E" w:rsidRPr="0057213E">
        <w:rPr>
          <w:rFonts w:ascii="Calibri" w:hAnsi="Calibri"/>
          <w:b/>
          <w:bCs/>
          <w:color w:val="000000"/>
        </w:rPr>
        <w:t>42</w:t>
      </w:r>
      <w:r w:rsidR="000839A9" w:rsidRPr="00425F62">
        <w:rPr>
          <w:rFonts w:ascii="Calibri" w:hAnsi="Calibri"/>
          <w:color w:val="000000"/>
        </w:rPr>
        <w:tab/>
      </w:r>
    </w:p>
    <w:p w14:paraId="6D71A31C" w14:textId="100D4B09" w:rsidR="000839A9" w:rsidRPr="007B7417" w:rsidRDefault="00091CC2" w:rsidP="000839A9">
      <w:pPr>
        <w:rPr>
          <w:rFonts w:ascii="Calibri" w:hAnsi="Calibri"/>
          <w:color w:val="000000"/>
        </w:rPr>
      </w:pPr>
      <w:hyperlink w:anchor="_Topiramate" w:history="1">
        <w:r w:rsidR="000839A9" w:rsidRPr="0057213E">
          <w:rPr>
            <w:rStyle w:val="Hyperlink"/>
            <w:rFonts w:ascii="Calibri" w:hAnsi="Calibri"/>
          </w:rPr>
          <w:t>Topiramate</w:t>
        </w:r>
      </w:hyperlink>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r>
      <w:r w:rsidR="0057213E" w:rsidRPr="0057213E">
        <w:rPr>
          <w:rFonts w:ascii="Calibri" w:hAnsi="Calibri"/>
          <w:color w:val="000000"/>
        </w:rPr>
        <w:tab/>
        <w:t xml:space="preserve">      </w:t>
      </w:r>
      <w:r w:rsidR="0057213E" w:rsidRPr="0057213E">
        <w:rPr>
          <w:rFonts w:ascii="Calibri" w:hAnsi="Calibri"/>
          <w:b/>
          <w:bCs/>
          <w:color w:val="000000"/>
        </w:rPr>
        <w:t>43</w:t>
      </w:r>
    </w:p>
    <w:p w14:paraId="3B8B566B" w14:textId="3848A940" w:rsidR="000839A9" w:rsidRPr="007B7417" w:rsidRDefault="00091CC2" w:rsidP="000839A9">
      <w:pPr>
        <w:rPr>
          <w:rFonts w:ascii="Calibri" w:hAnsi="Calibri"/>
          <w:color w:val="000000"/>
        </w:rPr>
      </w:pPr>
      <w:hyperlink w:anchor="_Sodium_Valproate" w:history="1">
        <w:r w:rsidR="000839A9" w:rsidRPr="007B7417">
          <w:rPr>
            <w:rStyle w:val="Hyperlink"/>
            <w:rFonts w:ascii="Calibri" w:hAnsi="Calibri"/>
            <w:color w:val="000000"/>
          </w:rPr>
          <w:t>Sodium Valproate</w:t>
        </w:r>
      </w:hyperlink>
      <w:r w:rsidR="000839A9" w:rsidRPr="007B7417">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r>
      <w:r w:rsidR="0057213E">
        <w:rPr>
          <w:rFonts w:ascii="Calibri" w:hAnsi="Calibri"/>
          <w:color w:val="000000"/>
        </w:rPr>
        <w:tab/>
        <w:t xml:space="preserve">      </w:t>
      </w:r>
      <w:r w:rsidR="0057213E" w:rsidRPr="0057213E">
        <w:rPr>
          <w:rFonts w:ascii="Calibri" w:hAnsi="Calibri"/>
          <w:b/>
          <w:bCs/>
          <w:color w:val="000000"/>
        </w:rPr>
        <w:t>45</w:t>
      </w:r>
      <w:r w:rsidR="000839A9" w:rsidRPr="007B7417">
        <w:rPr>
          <w:rFonts w:ascii="Calibri" w:hAnsi="Calibri"/>
          <w:color w:val="000000"/>
        </w:rPr>
        <w:tab/>
      </w:r>
    </w:p>
    <w:p w14:paraId="6B7F1A6A" w14:textId="300519DA" w:rsidR="000839A9" w:rsidRPr="007B7417" w:rsidRDefault="00091CC2" w:rsidP="000839A9">
      <w:pPr>
        <w:rPr>
          <w:rFonts w:ascii="Calibri" w:hAnsi="Calibri"/>
          <w:color w:val="000000"/>
          <w:lang w:val="en-US"/>
        </w:rPr>
      </w:pPr>
      <w:hyperlink w:anchor="_Vigabatrin" w:history="1">
        <w:r w:rsidR="000839A9" w:rsidRPr="007B7417">
          <w:rPr>
            <w:rStyle w:val="Hyperlink"/>
            <w:rFonts w:ascii="Calibri" w:hAnsi="Calibri"/>
            <w:color w:val="000000"/>
            <w:lang w:val="en-US"/>
          </w:rPr>
          <w:t>Vigabatrin</w:t>
        </w:r>
      </w:hyperlink>
      <w:r w:rsidR="000839A9" w:rsidRPr="007B7417">
        <w:rPr>
          <w:rFonts w:ascii="Calibri" w:hAnsi="Calibri"/>
          <w:color w:val="000000"/>
          <w:lang w:val="en-US"/>
        </w:rPr>
        <w:tab/>
      </w:r>
      <w:r w:rsidR="000839A9" w:rsidRPr="007B7417">
        <w:rPr>
          <w:rFonts w:ascii="Calibri" w:hAnsi="Calibri"/>
          <w:color w:val="000000"/>
          <w:lang w:val="en-US"/>
        </w:rPr>
        <w:tab/>
      </w:r>
      <w:r w:rsidR="00A203C9">
        <w:rPr>
          <w:rFonts w:ascii="Calibri" w:hAnsi="Calibri"/>
          <w:color w:val="000000"/>
          <w:lang w:val="en-US"/>
        </w:rPr>
        <w:tab/>
      </w:r>
      <w:r w:rsidR="00A203C9">
        <w:rPr>
          <w:rFonts w:ascii="Calibri" w:hAnsi="Calibri"/>
          <w:color w:val="000000"/>
          <w:lang w:val="en-US"/>
        </w:rPr>
        <w:tab/>
      </w:r>
      <w:r w:rsidR="00A203C9">
        <w:rPr>
          <w:rFonts w:ascii="Calibri" w:hAnsi="Calibri"/>
          <w:color w:val="000000"/>
          <w:lang w:val="en-US"/>
        </w:rPr>
        <w:tab/>
      </w:r>
      <w:r w:rsidR="00A203C9">
        <w:rPr>
          <w:rFonts w:ascii="Calibri" w:hAnsi="Calibri"/>
          <w:color w:val="000000"/>
          <w:lang w:val="en-US"/>
        </w:rPr>
        <w:tab/>
      </w:r>
      <w:r w:rsidR="00A203C9">
        <w:rPr>
          <w:rFonts w:ascii="Calibri" w:hAnsi="Calibri"/>
          <w:color w:val="000000"/>
          <w:lang w:val="en-US"/>
        </w:rPr>
        <w:tab/>
      </w:r>
      <w:r w:rsidR="00A203C9">
        <w:rPr>
          <w:rFonts w:ascii="Calibri" w:hAnsi="Calibri"/>
          <w:color w:val="000000"/>
          <w:lang w:val="en-US"/>
        </w:rPr>
        <w:tab/>
      </w:r>
      <w:r w:rsidR="00A203C9">
        <w:rPr>
          <w:rFonts w:ascii="Calibri" w:hAnsi="Calibri"/>
          <w:color w:val="000000"/>
          <w:lang w:val="en-US"/>
        </w:rPr>
        <w:tab/>
        <w:t xml:space="preserve">      </w:t>
      </w:r>
      <w:r w:rsidR="00A203C9" w:rsidRPr="00A203C9">
        <w:rPr>
          <w:rFonts w:ascii="Calibri" w:hAnsi="Calibri"/>
          <w:b/>
          <w:bCs/>
          <w:color w:val="000000"/>
          <w:lang w:val="en-US"/>
        </w:rPr>
        <w:t>47</w:t>
      </w:r>
      <w:r w:rsidR="000839A9" w:rsidRPr="007B7417">
        <w:rPr>
          <w:rFonts w:ascii="Calibri" w:hAnsi="Calibri"/>
          <w:color w:val="000000"/>
          <w:lang w:val="en-US"/>
        </w:rPr>
        <w:tab/>
      </w:r>
    </w:p>
    <w:p w14:paraId="062542A8" w14:textId="2043E29F" w:rsidR="000839A9" w:rsidRPr="00173445" w:rsidRDefault="00091CC2" w:rsidP="000839A9">
      <w:pPr>
        <w:rPr>
          <w:rFonts w:ascii="Calibri" w:hAnsi="Calibri"/>
          <w:color w:val="000000"/>
          <w:lang w:val="en-US"/>
        </w:rPr>
      </w:pPr>
      <w:hyperlink w:anchor="_Zonisamide" w:history="1">
        <w:r w:rsidR="000839A9" w:rsidRPr="00173445">
          <w:rPr>
            <w:rStyle w:val="Hyperlink"/>
            <w:rFonts w:ascii="Calibri" w:hAnsi="Calibri"/>
            <w:color w:val="000000"/>
            <w:lang w:val="en-US"/>
          </w:rPr>
          <w:t>Zonisamide</w:t>
        </w:r>
      </w:hyperlink>
      <w:r w:rsidR="000839A9">
        <w:rPr>
          <w:rFonts w:ascii="Calibri" w:hAnsi="Calibri"/>
          <w:color w:val="000000"/>
        </w:rPr>
        <w:tab/>
      </w:r>
      <w:r w:rsidR="000839A9">
        <w:rPr>
          <w:rFonts w:ascii="Calibri" w:hAnsi="Calibri"/>
          <w:color w:val="000000"/>
        </w:rPr>
        <w:tab/>
      </w:r>
      <w:r w:rsidR="000839A9">
        <w:rPr>
          <w:rFonts w:ascii="Calibri" w:hAnsi="Calibri"/>
          <w:color w:val="000000"/>
        </w:rPr>
        <w:tab/>
      </w:r>
      <w:r w:rsidR="00A203C9">
        <w:rPr>
          <w:rFonts w:ascii="Calibri" w:hAnsi="Calibri"/>
          <w:color w:val="000000"/>
        </w:rPr>
        <w:tab/>
      </w:r>
      <w:r w:rsidR="00A203C9">
        <w:rPr>
          <w:rFonts w:ascii="Calibri" w:hAnsi="Calibri"/>
          <w:color w:val="000000"/>
        </w:rPr>
        <w:tab/>
      </w:r>
      <w:r w:rsidR="00A203C9">
        <w:rPr>
          <w:rFonts w:ascii="Calibri" w:hAnsi="Calibri"/>
          <w:color w:val="000000"/>
        </w:rPr>
        <w:tab/>
      </w:r>
      <w:r w:rsidR="00A203C9">
        <w:rPr>
          <w:rFonts w:ascii="Calibri" w:hAnsi="Calibri"/>
          <w:color w:val="000000"/>
        </w:rPr>
        <w:tab/>
      </w:r>
      <w:r w:rsidR="00A203C9">
        <w:rPr>
          <w:rFonts w:ascii="Calibri" w:hAnsi="Calibri"/>
          <w:color w:val="000000"/>
        </w:rPr>
        <w:tab/>
      </w:r>
      <w:r w:rsidR="00A203C9">
        <w:rPr>
          <w:rFonts w:ascii="Calibri" w:hAnsi="Calibri"/>
          <w:color w:val="000000"/>
        </w:rPr>
        <w:tab/>
        <w:t xml:space="preserve">      </w:t>
      </w:r>
      <w:r w:rsidR="00A203C9" w:rsidRPr="00A203C9">
        <w:rPr>
          <w:rFonts w:ascii="Calibri" w:hAnsi="Calibri"/>
          <w:b/>
          <w:bCs/>
          <w:color w:val="000000"/>
        </w:rPr>
        <w:t>48</w:t>
      </w:r>
      <w:r w:rsidR="000839A9">
        <w:rPr>
          <w:rFonts w:ascii="Calibri" w:hAnsi="Calibri"/>
          <w:color w:val="000000"/>
        </w:rPr>
        <w:tab/>
      </w:r>
      <w:r w:rsidR="000839A9">
        <w:rPr>
          <w:rFonts w:ascii="Calibri" w:hAnsi="Calibri"/>
          <w:color w:val="000000"/>
        </w:rPr>
        <w:tab/>
      </w:r>
    </w:p>
    <w:p w14:paraId="5E7ADB1B" w14:textId="77777777" w:rsidR="000839A9" w:rsidRPr="00173445" w:rsidRDefault="000839A9" w:rsidP="000839A9">
      <w:pPr>
        <w:rPr>
          <w:rFonts w:ascii="Calibri" w:hAnsi="Calibri"/>
          <w:lang w:val="en-US"/>
        </w:rPr>
      </w:pPr>
    </w:p>
    <w:p w14:paraId="2A347DDE" w14:textId="77777777" w:rsidR="000839A9" w:rsidRPr="00153C09" w:rsidRDefault="000839A9" w:rsidP="000839A9">
      <w:pPr>
        <w:rPr>
          <w:rFonts w:ascii="Calibri" w:hAnsi="Calibri" w:cs="Calibri"/>
          <w:lang w:val="en-US"/>
        </w:rPr>
      </w:pPr>
    </w:p>
    <w:p w14:paraId="3ACD6612" w14:textId="0CD27B22" w:rsidR="000839A9" w:rsidRPr="00153C09" w:rsidRDefault="00091CC2" w:rsidP="000839A9">
      <w:pPr>
        <w:rPr>
          <w:rFonts w:ascii="Calibri" w:hAnsi="Calibri" w:cs="Calibri"/>
          <w:b/>
          <w:lang w:val="en-US"/>
        </w:rPr>
      </w:pPr>
      <w:hyperlink w:anchor="_Appendix_1" w:history="1">
        <w:r w:rsidR="000839A9" w:rsidRPr="00153C09">
          <w:rPr>
            <w:rStyle w:val="Hyperlink"/>
            <w:rFonts w:ascii="Calibri" w:hAnsi="Calibri" w:cs="Calibri"/>
            <w:b/>
            <w:lang w:val="en-US"/>
          </w:rPr>
          <w:t>Appendix 1</w:t>
        </w:r>
        <w:r w:rsidR="000839A9" w:rsidRPr="00153C09">
          <w:rPr>
            <w:rStyle w:val="Hyperlink"/>
            <w:rFonts w:ascii="Calibri" w:hAnsi="Calibri" w:cs="Calibri"/>
            <w:b/>
            <w:lang w:val="en-US"/>
          </w:rPr>
          <w:tab/>
          <w:t>Search Strategy</w:t>
        </w:r>
      </w:hyperlink>
      <w:r w:rsidR="008467F1" w:rsidRPr="00153C09">
        <w:rPr>
          <w:rFonts w:ascii="Calibri" w:hAnsi="Calibri" w:cs="Calibri"/>
          <w:b/>
          <w:lang w:val="en-US"/>
        </w:rPr>
        <w:tab/>
      </w:r>
      <w:r w:rsidR="008467F1" w:rsidRPr="00153C09">
        <w:rPr>
          <w:rFonts w:ascii="Calibri" w:hAnsi="Calibri" w:cs="Calibri"/>
          <w:b/>
          <w:lang w:val="en-US"/>
        </w:rPr>
        <w:tab/>
      </w:r>
      <w:r w:rsidR="008467F1" w:rsidRPr="00153C09">
        <w:rPr>
          <w:rFonts w:ascii="Calibri" w:hAnsi="Calibri" w:cs="Calibri"/>
          <w:b/>
          <w:lang w:val="en-US"/>
        </w:rPr>
        <w:tab/>
      </w:r>
      <w:r w:rsidR="008467F1" w:rsidRPr="00153C09">
        <w:rPr>
          <w:rFonts w:ascii="Calibri" w:hAnsi="Calibri" w:cs="Calibri"/>
          <w:b/>
          <w:lang w:val="en-US"/>
        </w:rPr>
        <w:tab/>
      </w:r>
      <w:r w:rsidR="008467F1" w:rsidRPr="00153C09">
        <w:rPr>
          <w:rFonts w:ascii="Calibri" w:hAnsi="Calibri" w:cs="Calibri"/>
          <w:b/>
          <w:lang w:val="en-US"/>
        </w:rPr>
        <w:tab/>
      </w:r>
      <w:r w:rsidR="008467F1" w:rsidRPr="00153C09">
        <w:rPr>
          <w:rFonts w:ascii="Calibri" w:hAnsi="Calibri" w:cs="Calibri"/>
          <w:b/>
          <w:lang w:val="en-US"/>
        </w:rPr>
        <w:tab/>
        <w:t xml:space="preserve">      50</w:t>
      </w:r>
    </w:p>
    <w:p w14:paraId="74D191C2" w14:textId="7452A3D5" w:rsidR="000839A9" w:rsidRPr="00153C09" w:rsidRDefault="00091CC2" w:rsidP="000839A9">
      <w:pPr>
        <w:rPr>
          <w:rFonts w:ascii="Calibri" w:hAnsi="Calibri" w:cs="Calibri"/>
          <w:b/>
          <w:lang w:val="en-US"/>
        </w:rPr>
      </w:pPr>
      <w:hyperlink w:anchor="_Appendix_2" w:history="1">
        <w:r w:rsidR="000839A9" w:rsidRPr="00153C09">
          <w:rPr>
            <w:rStyle w:val="Hyperlink"/>
            <w:rFonts w:ascii="Calibri" w:hAnsi="Calibri" w:cs="Calibri"/>
            <w:b/>
            <w:lang w:val="en-US"/>
          </w:rPr>
          <w:t xml:space="preserve">Appendix 2 </w:t>
        </w:r>
        <w:r w:rsidR="000839A9" w:rsidRPr="00153C09">
          <w:rPr>
            <w:rStyle w:val="Hyperlink"/>
            <w:rFonts w:ascii="Calibri" w:hAnsi="Calibri" w:cs="Calibri"/>
            <w:b/>
            <w:lang w:val="en-US"/>
          </w:rPr>
          <w:tab/>
          <w:t>Review of evidence for carbamazepine</w:t>
        </w:r>
      </w:hyperlink>
      <w:r w:rsidR="000839A9" w:rsidRPr="00153C09">
        <w:rPr>
          <w:rFonts w:ascii="Calibri" w:hAnsi="Calibri" w:cs="Calibri"/>
          <w:b/>
          <w:lang w:val="en-US"/>
        </w:rPr>
        <w:t xml:space="preserve"> </w:t>
      </w:r>
      <w:r w:rsidR="008467F1" w:rsidRPr="00153C09">
        <w:rPr>
          <w:rFonts w:ascii="Calibri" w:hAnsi="Calibri" w:cs="Calibri"/>
          <w:b/>
          <w:lang w:val="en-US"/>
        </w:rPr>
        <w:tab/>
      </w:r>
      <w:r w:rsidR="008467F1" w:rsidRPr="00153C09">
        <w:rPr>
          <w:rFonts w:ascii="Calibri" w:hAnsi="Calibri" w:cs="Calibri"/>
          <w:b/>
          <w:lang w:val="en-US"/>
        </w:rPr>
        <w:tab/>
      </w:r>
      <w:r w:rsidR="008467F1" w:rsidRPr="00153C09">
        <w:rPr>
          <w:rFonts w:ascii="Calibri" w:hAnsi="Calibri" w:cs="Calibri"/>
          <w:b/>
          <w:lang w:val="en-US"/>
        </w:rPr>
        <w:tab/>
        <w:t xml:space="preserve">      52</w:t>
      </w:r>
    </w:p>
    <w:p w14:paraId="26D1BBC9" w14:textId="6414057E" w:rsidR="000839A9" w:rsidRPr="00153C09" w:rsidRDefault="00091CC2" w:rsidP="000839A9">
      <w:pPr>
        <w:rPr>
          <w:rFonts w:ascii="Calibri" w:hAnsi="Calibri" w:cs="Calibri"/>
          <w:b/>
          <w:lang w:val="en-US"/>
        </w:rPr>
      </w:pPr>
      <w:hyperlink w:anchor="_Appendix_3" w:history="1">
        <w:r w:rsidR="000839A9" w:rsidRPr="00153C09">
          <w:rPr>
            <w:rStyle w:val="Hyperlink"/>
            <w:rFonts w:ascii="Calibri" w:hAnsi="Calibri" w:cs="Calibri"/>
            <w:b/>
            <w:lang w:val="en-US"/>
          </w:rPr>
          <w:t xml:space="preserve">Appendix 3 </w:t>
        </w:r>
        <w:r w:rsidR="000839A9" w:rsidRPr="00153C09">
          <w:rPr>
            <w:rStyle w:val="Hyperlink"/>
            <w:rFonts w:ascii="Calibri" w:hAnsi="Calibri" w:cs="Calibri"/>
            <w:b/>
            <w:lang w:val="en-US"/>
          </w:rPr>
          <w:tab/>
          <w:t>Review of evidence for gabapentin</w:t>
        </w:r>
      </w:hyperlink>
      <w:r w:rsidR="003405F8" w:rsidRPr="00153C09">
        <w:rPr>
          <w:rFonts w:ascii="Calibri" w:hAnsi="Calibri" w:cs="Calibri"/>
          <w:b/>
          <w:lang w:val="en-US"/>
        </w:rPr>
        <w:tab/>
      </w:r>
      <w:r w:rsidR="003405F8" w:rsidRPr="00153C09">
        <w:rPr>
          <w:rFonts w:ascii="Calibri" w:hAnsi="Calibri" w:cs="Calibri"/>
          <w:b/>
          <w:lang w:val="en-US"/>
        </w:rPr>
        <w:tab/>
      </w:r>
      <w:r w:rsidR="003405F8" w:rsidRPr="00153C09">
        <w:rPr>
          <w:rFonts w:ascii="Calibri" w:hAnsi="Calibri" w:cs="Calibri"/>
          <w:b/>
          <w:lang w:val="en-US"/>
        </w:rPr>
        <w:tab/>
      </w:r>
      <w:r w:rsidR="003405F8" w:rsidRPr="00153C09">
        <w:rPr>
          <w:rFonts w:ascii="Calibri" w:hAnsi="Calibri" w:cs="Calibri"/>
          <w:b/>
          <w:lang w:val="en-US"/>
        </w:rPr>
        <w:tab/>
        <w:t xml:space="preserve">      59</w:t>
      </w:r>
    </w:p>
    <w:p w14:paraId="571DCEAE" w14:textId="41B6014B" w:rsidR="000839A9" w:rsidRPr="00153C09" w:rsidRDefault="00091CC2" w:rsidP="000839A9">
      <w:pPr>
        <w:rPr>
          <w:rFonts w:ascii="Calibri" w:hAnsi="Calibri" w:cs="Calibri"/>
          <w:b/>
          <w:lang w:val="en-US"/>
        </w:rPr>
      </w:pPr>
      <w:hyperlink w:anchor="_Appendix_4" w:history="1">
        <w:r w:rsidR="000839A9" w:rsidRPr="00153C09">
          <w:rPr>
            <w:rStyle w:val="Hyperlink"/>
            <w:rFonts w:ascii="Calibri" w:hAnsi="Calibri" w:cs="Calibri"/>
            <w:b/>
            <w:lang w:val="en-US"/>
          </w:rPr>
          <w:t xml:space="preserve">Appendix 4 </w:t>
        </w:r>
        <w:r w:rsidR="000839A9" w:rsidRPr="00153C09">
          <w:rPr>
            <w:rStyle w:val="Hyperlink"/>
            <w:rFonts w:ascii="Calibri" w:hAnsi="Calibri" w:cs="Calibri"/>
            <w:b/>
            <w:lang w:val="en-US"/>
          </w:rPr>
          <w:tab/>
          <w:t>Review of evidence for lamotrigine</w:t>
        </w:r>
      </w:hyperlink>
      <w:r w:rsidR="003405F8" w:rsidRPr="00153C09">
        <w:rPr>
          <w:rFonts w:ascii="Calibri" w:hAnsi="Calibri" w:cs="Calibri"/>
          <w:b/>
          <w:lang w:val="en-US"/>
        </w:rPr>
        <w:t xml:space="preserve"> </w:t>
      </w:r>
      <w:r w:rsidR="003405F8" w:rsidRPr="00153C09">
        <w:rPr>
          <w:rFonts w:ascii="Calibri" w:hAnsi="Calibri" w:cs="Calibri"/>
          <w:b/>
          <w:lang w:val="en-US"/>
        </w:rPr>
        <w:tab/>
      </w:r>
      <w:r w:rsidR="003405F8" w:rsidRPr="00153C09">
        <w:rPr>
          <w:rFonts w:ascii="Calibri" w:hAnsi="Calibri" w:cs="Calibri"/>
          <w:b/>
          <w:lang w:val="en-US"/>
        </w:rPr>
        <w:tab/>
      </w:r>
      <w:r w:rsidR="003405F8" w:rsidRPr="00153C09">
        <w:rPr>
          <w:rFonts w:ascii="Calibri" w:hAnsi="Calibri" w:cs="Calibri"/>
          <w:b/>
          <w:lang w:val="en-US"/>
        </w:rPr>
        <w:tab/>
        <w:t xml:space="preserve">     </w:t>
      </w:r>
      <w:r w:rsidR="006575D9">
        <w:rPr>
          <w:rFonts w:ascii="Calibri" w:hAnsi="Calibri" w:cs="Calibri"/>
          <w:b/>
          <w:lang w:val="en-US"/>
        </w:rPr>
        <w:tab/>
        <w:t xml:space="preserve">     </w:t>
      </w:r>
      <w:r w:rsidR="003405F8" w:rsidRPr="00153C09">
        <w:rPr>
          <w:rFonts w:ascii="Calibri" w:hAnsi="Calibri" w:cs="Calibri"/>
          <w:b/>
          <w:lang w:val="en-US"/>
        </w:rPr>
        <w:t xml:space="preserve"> 62</w:t>
      </w:r>
    </w:p>
    <w:p w14:paraId="2D8EE00C" w14:textId="3AEC60EE" w:rsidR="000839A9" w:rsidRPr="00153C09" w:rsidRDefault="00091CC2" w:rsidP="000839A9">
      <w:pPr>
        <w:rPr>
          <w:rFonts w:ascii="Calibri" w:hAnsi="Calibri" w:cs="Calibri"/>
          <w:b/>
          <w:lang w:val="en-US"/>
        </w:rPr>
      </w:pPr>
      <w:hyperlink w:anchor="_Appendix_5" w:history="1">
        <w:r w:rsidR="000839A9" w:rsidRPr="00153C09">
          <w:rPr>
            <w:rStyle w:val="Hyperlink"/>
            <w:rFonts w:ascii="Calibri" w:hAnsi="Calibri" w:cs="Calibri"/>
            <w:b/>
            <w:lang w:val="en-US"/>
          </w:rPr>
          <w:t xml:space="preserve">Appendix 5 </w:t>
        </w:r>
        <w:r w:rsidR="000839A9" w:rsidRPr="00153C09">
          <w:rPr>
            <w:rStyle w:val="Hyperlink"/>
            <w:rFonts w:ascii="Calibri" w:hAnsi="Calibri" w:cs="Calibri"/>
            <w:b/>
            <w:lang w:val="en-US"/>
          </w:rPr>
          <w:tab/>
          <w:t>Review of evidence for levetiracetam</w:t>
        </w:r>
      </w:hyperlink>
      <w:r w:rsidR="003405F8" w:rsidRPr="00153C09">
        <w:rPr>
          <w:rFonts w:ascii="Calibri" w:hAnsi="Calibri" w:cs="Calibri"/>
          <w:b/>
          <w:lang w:val="en-US"/>
        </w:rPr>
        <w:tab/>
      </w:r>
      <w:r w:rsidR="003405F8" w:rsidRPr="00153C09">
        <w:rPr>
          <w:rFonts w:ascii="Calibri" w:hAnsi="Calibri" w:cs="Calibri"/>
          <w:b/>
          <w:lang w:val="en-US"/>
        </w:rPr>
        <w:tab/>
      </w:r>
      <w:r w:rsidR="003405F8" w:rsidRPr="00153C09">
        <w:rPr>
          <w:rFonts w:ascii="Calibri" w:hAnsi="Calibri" w:cs="Calibri"/>
          <w:b/>
          <w:lang w:val="en-US"/>
        </w:rPr>
        <w:tab/>
        <w:t xml:space="preserve">      68</w:t>
      </w:r>
    </w:p>
    <w:p w14:paraId="5D360958" w14:textId="6F961F1F" w:rsidR="000839A9" w:rsidRPr="00153C09" w:rsidRDefault="00091CC2" w:rsidP="000839A9">
      <w:pPr>
        <w:rPr>
          <w:rFonts w:ascii="Calibri" w:hAnsi="Calibri" w:cs="Calibri"/>
          <w:b/>
          <w:lang w:val="en-US"/>
        </w:rPr>
      </w:pPr>
      <w:hyperlink w:anchor="_Appendix_6" w:history="1">
        <w:r w:rsidR="000839A9" w:rsidRPr="00153C09">
          <w:rPr>
            <w:rStyle w:val="Hyperlink"/>
            <w:rFonts w:ascii="Calibri" w:hAnsi="Calibri" w:cs="Calibri"/>
            <w:b/>
            <w:lang w:val="en-US"/>
          </w:rPr>
          <w:t>Appendix 6</w:t>
        </w:r>
        <w:r w:rsidR="000839A9" w:rsidRPr="00153C09">
          <w:rPr>
            <w:rStyle w:val="Hyperlink"/>
            <w:rFonts w:ascii="Calibri" w:hAnsi="Calibri" w:cs="Calibri"/>
            <w:b/>
            <w:lang w:val="en-US"/>
          </w:rPr>
          <w:tab/>
          <w:t>Review of evidence for phenytoin</w:t>
        </w:r>
      </w:hyperlink>
      <w:r w:rsidR="003405F8" w:rsidRPr="00153C09">
        <w:rPr>
          <w:rFonts w:ascii="Calibri" w:hAnsi="Calibri" w:cs="Calibri"/>
          <w:b/>
          <w:lang w:val="en-US"/>
        </w:rPr>
        <w:tab/>
      </w:r>
      <w:r w:rsidR="003405F8" w:rsidRPr="00153C09">
        <w:rPr>
          <w:rFonts w:ascii="Calibri" w:hAnsi="Calibri" w:cs="Calibri"/>
          <w:b/>
          <w:lang w:val="en-US"/>
        </w:rPr>
        <w:tab/>
      </w:r>
      <w:r w:rsidR="003405F8" w:rsidRPr="00153C09">
        <w:rPr>
          <w:rFonts w:ascii="Calibri" w:hAnsi="Calibri" w:cs="Calibri"/>
          <w:b/>
          <w:lang w:val="en-US"/>
        </w:rPr>
        <w:tab/>
      </w:r>
      <w:r w:rsidR="003405F8" w:rsidRPr="00153C09">
        <w:rPr>
          <w:rFonts w:ascii="Calibri" w:hAnsi="Calibri" w:cs="Calibri"/>
          <w:b/>
          <w:lang w:val="en-US"/>
        </w:rPr>
        <w:tab/>
        <w:t xml:space="preserve">      70</w:t>
      </w:r>
    </w:p>
    <w:p w14:paraId="7D115EC4" w14:textId="077F529B" w:rsidR="000839A9" w:rsidRPr="00153C09" w:rsidRDefault="00091CC2" w:rsidP="000839A9">
      <w:pPr>
        <w:rPr>
          <w:rFonts w:ascii="Calibri" w:hAnsi="Calibri" w:cs="Calibri"/>
          <w:b/>
          <w:lang w:val="en-US"/>
        </w:rPr>
      </w:pPr>
      <w:hyperlink w:anchor="_Appendix_7" w:history="1">
        <w:r w:rsidR="000839A9" w:rsidRPr="00153C09">
          <w:rPr>
            <w:rStyle w:val="Hyperlink"/>
            <w:rFonts w:ascii="Calibri" w:hAnsi="Calibri" w:cs="Calibri"/>
            <w:b/>
            <w:lang w:val="en-US"/>
          </w:rPr>
          <w:t xml:space="preserve">Appendix 7 </w:t>
        </w:r>
        <w:r w:rsidR="000839A9" w:rsidRPr="00153C09">
          <w:rPr>
            <w:rStyle w:val="Hyperlink"/>
            <w:rFonts w:ascii="Calibri" w:hAnsi="Calibri" w:cs="Calibri"/>
            <w:b/>
            <w:lang w:val="en-US"/>
          </w:rPr>
          <w:tab/>
          <w:t>Review of evidence for topiramate</w:t>
        </w:r>
      </w:hyperlink>
      <w:r w:rsidR="003405F8" w:rsidRPr="00153C09">
        <w:rPr>
          <w:rFonts w:ascii="Calibri" w:hAnsi="Calibri" w:cs="Calibri"/>
          <w:b/>
          <w:lang w:val="en-US"/>
        </w:rPr>
        <w:tab/>
      </w:r>
      <w:r w:rsidR="003405F8" w:rsidRPr="00153C09">
        <w:rPr>
          <w:rFonts w:ascii="Calibri" w:hAnsi="Calibri" w:cs="Calibri"/>
          <w:b/>
          <w:lang w:val="en-US"/>
        </w:rPr>
        <w:tab/>
      </w:r>
      <w:r w:rsidR="003405F8" w:rsidRPr="00153C09">
        <w:rPr>
          <w:rFonts w:ascii="Calibri" w:hAnsi="Calibri" w:cs="Calibri"/>
          <w:b/>
          <w:lang w:val="en-US"/>
        </w:rPr>
        <w:tab/>
      </w:r>
      <w:r w:rsidR="003405F8" w:rsidRPr="00153C09">
        <w:rPr>
          <w:rFonts w:ascii="Calibri" w:hAnsi="Calibri" w:cs="Calibri"/>
          <w:b/>
          <w:lang w:val="en-US"/>
        </w:rPr>
        <w:tab/>
        <w:t xml:space="preserve">      75</w:t>
      </w:r>
    </w:p>
    <w:p w14:paraId="4DA48A2E" w14:textId="5967DDD9" w:rsidR="000839A9" w:rsidRPr="00153C09" w:rsidRDefault="00091CC2" w:rsidP="000839A9">
      <w:pPr>
        <w:rPr>
          <w:rFonts w:ascii="Calibri" w:hAnsi="Calibri" w:cs="Calibri"/>
          <w:b/>
          <w:lang w:val="en-US"/>
        </w:rPr>
      </w:pPr>
      <w:hyperlink w:anchor="_Appendix_8" w:history="1">
        <w:r w:rsidR="000839A9" w:rsidRPr="00153C09">
          <w:rPr>
            <w:rStyle w:val="Hyperlink"/>
            <w:rFonts w:ascii="Calibri" w:hAnsi="Calibri" w:cs="Calibri"/>
            <w:b/>
            <w:lang w:val="en-US"/>
          </w:rPr>
          <w:t>Appendix 8</w:t>
        </w:r>
        <w:r w:rsidR="000839A9" w:rsidRPr="00153C09">
          <w:rPr>
            <w:rStyle w:val="Hyperlink"/>
            <w:rFonts w:ascii="Calibri" w:hAnsi="Calibri" w:cs="Calibri"/>
            <w:b/>
            <w:lang w:val="en-US"/>
          </w:rPr>
          <w:tab/>
          <w:t>Review of evidence for sodium valproate (and salts)</w:t>
        </w:r>
      </w:hyperlink>
      <w:r w:rsidR="000839A9" w:rsidRPr="00153C09">
        <w:rPr>
          <w:rFonts w:ascii="Calibri" w:hAnsi="Calibri" w:cs="Calibri"/>
          <w:b/>
          <w:lang w:val="fr-FR"/>
        </w:rPr>
        <w:tab/>
      </w:r>
      <w:r w:rsidR="003405F8" w:rsidRPr="00153C09">
        <w:rPr>
          <w:rFonts w:ascii="Calibri" w:hAnsi="Calibri" w:cs="Calibri"/>
          <w:b/>
          <w:lang w:val="fr-FR"/>
        </w:rPr>
        <w:t xml:space="preserve">      78</w:t>
      </w:r>
      <w:r w:rsidR="000839A9" w:rsidRPr="00153C09">
        <w:rPr>
          <w:rFonts w:ascii="Calibri" w:hAnsi="Calibri" w:cs="Calibri"/>
          <w:b/>
          <w:lang w:val="fr-FR"/>
        </w:rPr>
        <w:tab/>
      </w:r>
      <w:r w:rsidR="000839A9" w:rsidRPr="00153C09">
        <w:rPr>
          <w:rFonts w:ascii="Calibri" w:hAnsi="Calibri" w:cs="Calibri"/>
          <w:b/>
          <w:lang w:val="fr-FR"/>
        </w:rPr>
        <w:tab/>
      </w:r>
    </w:p>
    <w:p w14:paraId="4AC2403C" w14:textId="77777777" w:rsidR="00AC0184" w:rsidRPr="00153C09" w:rsidRDefault="00091CC2" w:rsidP="00194208">
      <w:pPr>
        <w:rPr>
          <w:rFonts w:ascii="Calibri" w:hAnsi="Calibri" w:cs="Calibri"/>
          <w:b/>
          <w:lang w:val="fr-FR"/>
        </w:rPr>
      </w:pPr>
      <w:hyperlink w:anchor="_References" w:history="1">
        <w:r w:rsidR="000839A9" w:rsidRPr="00153C09">
          <w:rPr>
            <w:rStyle w:val="Hyperlink"/>
            <w:rFonts w:ascii="Calibri" w:hAnsi="Calibri" w:cs="Calibri"/>
            <w:b/>
            <w:lang w:val="fr-FR"/>
          </w:rPr>
          <w:t>References</w:t>
        </w:r>
      </w:hyperlink>
      <w:r w:rsidR="000839A9" w:rsidRPr="00153C09">
        <w:rPr>
          <w:rFonts w:ascii="Calibri" w:hAnsi="Calibri" w:cs="Calibri"/>
          <w:b/>
          <w:lang w:val="fr-FR"/>
        </w:rPr>
        <w:tab/>
      </w:r>
      <w:r w:rsidR="000839A9" w:rsidRPr="00153C09">
        <w:rPr>
          <w:rFonts w:ascii="Calibri" w:hAnsi="Calibri" w:cs="Calibri"/>
          <w:b/>
          <w:lang w:val="fr-FR"/>
        </w:rPr>
        <w:tab/>
      </w:r>
      <w:r w:rsidR="000839A9" w:rsidRPr="00153C09">
        <w:rPr>
          <w:rFonts w:ascii="Calibri" w:hAnsi="Calibri" w:cs="Calibri"/>
          <w:b/>
          <w:lang w:val="fr-FR"/>
        </w:rPr>
        <w:tab/>
      </w:r>
      <w:r w:rsidR="000839A9" w:rsidRPr="00153C09">
        <w:rPr>
          <w:rFonts w:ascii="Calibri" w:hAnsi="Calibri" w:cs="Calibri"/>
          <w:b/>
          <w:lang w:val="fr-FR"/>
        </w:rPr>
        <w:tab/>
      </w:r>
      <w:r w:rsidR="000839A9" w:rsidRPr="00153C09">
        <w:rPr>
          <w:rFonts w:ascii="Calibri" w:hAnsi="Calibri" w:cs="Calibri"/>
          <w:b/>
          <w:lang w:val="fr-FR"/>
        </w:rPr>
        <w:tab/>
      </w:r>
      <w:r w:rsidR="003405F8" w:rsidRPr="00153C09">
        <w:rPr>
          <w:rFonts w:ascii="Calibri" w:hAnsi="Calibri" w:cs="Calibri"/>
          <w:b/>
          <w:lang w:val="fr-FR"/>
        </w:rPr>
        <w:tab/>
      </w:r>
      <w:r w:rsidR="003405F8" w:rsidRPr="00153C09">
        <w:rPr>
          <w:rFonts w:ascii="Calibri" w:hAnsi="Calibri" w:cs="Calibri"/>
          <w:b/>
          <w:lang w:val="fr-FR"/>
        </w:rPr>
        <w:tab/>
      </w:r>
      <w:r w:rsidR="003405F8" w:rsidRPr="00153C09">
        <w:rPr>
          <w:rFonts w:ascii="Calibri" w:hAnsi="Calibri" w:cs="Calibri"/>
          <w:b/>
          <w:lang w:val="fr-FR"/>
        </w:rPr>
        <w:tab/>
      </w:r>
      <w:r w:rsidR="003405F8" w:rsidRPr="00153C09">
        <w:rPr>
          <w:rFonts w:ascii="Calibri" w:hAnsi="Calibri" w:cs="Calibri"/>
          <w:b/>
          <w:lang w:val="fr-FR"/>
        </w:rPr>
        <w:tab/>
        <w:t xml:space="preserve">      80   </w:t>
      </w:r>
    </w:p>
    <w:p w14:paraId="29415454" w14:textId="77777777" w:rsidR="00524125" w:rsidRPr="00153C09" w:rsidRDefault="00524125" w:rsidP="00194208">
      <w:pPr>
        <w:rPr>
          <w:rFonts w:ascii="Calibri" w:hAnsi="Calibri" w:cs="Calibri"/>
          <w:b/>
          <w:lang w:val="fr-FR"/>
        </w:rPr>
      </w:pPr>
    </w:p>
    <w:p w14:paraId="7991C365" w14:textId="7BAC826A" w:rsidR="00A97F9A" w:rsidRPr="00153C09" w:rsidRDefault="00A97F9A" w:rsidP="00194208">
      <w:pPr>
        <w:rPr>
          <w:rFonts w:ascii="Calibri" w:hAnsi="Calibri" w:cs="Calibri"/>
          <w:sz w:val="28"/>
          <w:szCs w:val="28"/>
        </w:rPr>
      </w:pPr>
      <w:r w:rsidRPr="00153C09">
        <w:rPr>
          <w:rFonts w:ascii="Calibri" w:hAnsi="Calibri" w:cs="Calibri"/>
          <w:sz w:val="28"/>
          <w:szCs w:val="28"/>
        </w:rPr>
        <w:br w:type="page"/>
      </w:r>
    </w:p>
    <w:p w14:paraId="6801EF7A" w14:textId="4C646F19" w:rsidR="00523B5D" w:rsidRPr="00925812" w:rsidRDefault="00523B5D">
      <w:pPr>
        <w:rPr>
          <w:rFonts w:ascii="Calibri" w:hAnsi="Calibri"/>
          <w:sz w:val="28"/>
          <w:szCs w:val="28"/>
        </w:rPr>
      </w:pPr>
      <w:r w:rsidRPr="0018137D">
        <w:rPr>
          <w:rFonts w:ascii="Calibri" w:hAnsi="Calibri"/>
          <w:b/>
          <w:u w:val="single"/>
        </w:rPr>
        <w:lastRenderedPageBreak/>
        <w:t>Introduction</w:t>
      </w:r>
    </w:p>
    <w:p w14:paraId="2D4D09D7" w14:textId="77777777" w:rsidR="00AC0184" w:rsidRDefault="00AC0184">
      <w:pPr>
        <w:rPr>
          <w:rFonts w:ascii="Calibri" w:hAnsi="Calibri"/>
          <w:u w:val="single"/>
        </w:rPr>
      </w:pPr>
    </w:p>
    <w:p w14:paraId="7F7F53DE" w14:textId="4406EEC5" w:rsidR="007578FB" w:rsidRPr="00925812" w:rsidRDefault="007578FB">
      <w:pPr>
        <w:rPr>
          <w:rFonts w:ascii="Calibri" w:hAnsi="Calibri"/>
          <w:b/>
        </w:rPr>
      </w:pPr>
      <w:r w:rsidRPr="00925812">
        <w:rPr>
          <w:rFonts w:ascii="Calibri" w:hAnsi="Calibri"/>
          <w:b/>
        </w:rPr>
        <w:t>Epilepsy</w:t>
      </w:r>
    </w:p>
    <w:p w14:paraId="5902C97E" w14:textId="77777777" w:rsidR="00925812" w:rsidRPr="007578FB" w:rsidRDefault="00925812">
      <w:pPr>
        <w:rPr>
          <w:rFonts w:ascii="Calibri" w:hAnsi="Calibri"/>
          <w:b/>
          <w:u w:val="single"/>
        </w:rPr>
      </w:pPr>
    </w:p>
    <w:p w14:paraId="52C178E3" w14:textId="3AC0B852" w:rsidR="00E50C1F" w:rsidRPr="00F01116" w:rsidRDefault="00A83A77" w:rsidP="00F01116">
      <w:pPr>
        <w:pStyle w:val="Default"/>
        <w:jc w:val="both"/>
        <w:rPr>
          <w:rFonts w:cs="Arial"/>
        </w:rPr>
      </w:pPr>
      <w:r w:rsidRPr="0067581A">
        <w:t>Epilepsy is a c</w:t>
      </w:r>
      <w:r w:rsidR="00D47D04" w:rsidRPr="0067581A">
        <w:t>ommon c</w:t>
      </w:r>
      <w:r w:rsidRPr="0067581A">
        <w:t>ondition</w:t>
      </w:r>
      <w:r w:rsidR="00BF7320">
        <w:t xml:space="preserve"> with </w:t>
      </w:r>
      <w:r w:rsidR="0037031E" w:rsidRPr="0067581A">
        <w:t xml:space="preserve">up to 50 cases of new-onset epilepsy </w:t>
      </w:r>
      <w:r w:rsidR="00D47D04" w:rsidRPr="0067581A">
        <w:t xml:space="preserve">per 100,000 people each year </w:t>
      </w:r>
      <w:r w:rsidR="0037031E" w:rsidRPr="00F01116">
        <w:t>(</w:t>
      </w:r>
      <w:r w:rsidR="00BC1051">
        <w:t>NICE CG137</w:t>
      </w:r>
      <w:r w:rsidR="0037031E" w:rsidRPr="00F01116">
        <w:t xml:space="preserve">).  </w:t>
      </w:r>
      <w:r w:rsidR="00B70C5C" w:rsidRPr="00F01116">
        <w:t>Seizures, of which there are many clinical manifestations, characterise epilepsy</w:t>
      </w:r>
      <w:r w:rsidR="000C0595">
        <w:t xml:space="preserve"> and are caused by excessive electrical activity within networks of neurons in the brain</w:t>
      </w:r>
      <w:r w:rsidR="00B70C5C" w:rsidRPr="00F01116">
        <w:t xml:space="preserve">.  The </w:t>
      </w:r>
      <w:r w:rsidR="00D47D04" w:rsidRPr="00F01116">
        <w:t xml:space="preserve">underlying </w:t>
      </w:r>
      <w:r w:rsidR="00B70C5C" w:rsidRPr="00F01116">
        <w:t xml:space="preserve">cause may be </w:t>
      </w:r>
      <w:r w:rsidR="00D47D04" w:rsidRPr="00F01116">
        <w:t xml:space="preserve">neurological, neurovascular, </w:t>
      </w:r>
      <w:r w:rsidR="00B70C5C" w:rsidRPr="00F01116">
        <w:t xml:space="preserve">neuroanatomical, </w:t>
      </w:r>
      <w:r w:rsidR="00D47D04" w:rsidRPr="00F01116">
        <w:t>metabolic, auto-immune or psychogenic</w:t>
      </w:r>
      <w:r w:rsidR="00BF7320" w:rsidRPr="00F01116">
        <w:t xml:space="preserve"> so classifications can be </w:t>
      </w:r>
      <w:r w:rsidR="00425F62">
        <w:t>difficult</w:t>
      </w:r>
      <w:r w:rsidR="00B25680">
        <w:t>,</w:t>
      </w:r>
      <w:r w:rsidR="00425F62" w:rsidRPr="00F01116">
        <w:t xml:space="preserve"> </w:t>
      </w:r>
      <w:r w:rsidR="002C0A0D" w:rsidRPr="00F01116">
        <w:t>and misdiagnoses are common</w:t>
      </w:r>
      <w:r w:rsidR="00D47D04" w:rsidRPr="00F01116">
        <w:t xml:space="preserve">.  Of those who are diagnosed with epilepsy, </w:t>
      </w:r>
      <w:r w:rsidR="00F07B04">
        <w:t>approximately 70% can become seizure-free once the most effective medication regimen is followed (Eatock 2007)</w:t>
      </w:r>
      <w:r w:rsidR="00D47D04" w:rsidRPr="00F01116">
        <w:t xml:space="preserve">.  </w:t>
      </w:r>
      <w:r w:rsidR="0037031E" w:rsidRPr="00F01116">
        <w:t>Around 20</w:t>
      </w:r>
      <w:r w:rsidR="00B70C5C" w:rsidRPr="00F01116">
        <w:t>-30</w:t>
      </w:r>
      <w:r w:rsidR="0037031E" w:rsidRPr="00F01116">
        <w:t xml:space="preserve">% of </w:t>
      </w:r>
      <w:r w:rsidR="00433547" w:rsidRPr="00F01116">
        <w:t>epilepsy patients</w:t>
      </w:r>
      <w:r w:rsidR="0037031E" w:rsidRPr="00F01116">
        <w:t xml:space="preserve"> will </w:t>
      </w:r>
      <w:r w:rsidR="00B70C5C" w:rsidRPr="00F01116">
        <w:t>develop</w:t>
      </w:r>
      <w:r w:rsidR="0037031E" w:rsidRPr="00F01116">
        <w:t xml:space="preserve"> drug-resistant epilepsy (</w:t>
      </w:r>
      <w:r w:rsidR="00A4045F" w:rsidRPr="00F01116">
        <w:t xml:space="preserve">Kwan </w:t>
      </w:r>
      <w:r w:rsidR="00824EFB" w:rsidRPr="00F01116">
        <w:t>2011</w:t>
      </w:r>
      <w:r w:rsidR="00433547" w:rsidRPr="00F01116">
        <w:t>,</w:t>
      </w:r>
      <w:r w:rsidR="00A4045F" w:rsidRPr="00F01116">
        <w:t xml:space="preserve"> </w:t>
      </w:r>
      <w:r w:rsidR="0037031E" w:rsidRPr="00F01116">
        <w:t>Picot</w:t>
      </w:r>
      <w:r w:rsidR="00F673D8" w:rsidRPr="00F01116">
        <w:t xml:space="preserve"> 2008</w:t>
      </w:r>
      <w:r w:rsidR="0037031E" w:rsidRPr="00F01116">
        <w:t xml:space="preserve">, </w:t>
      </w:r>
      <w:r w:rsidR="009B088D" w:rsidRPr="00F01116">
        <w:t xml:space="preserve">NICE </w:t>
      </w:r>
      <w:r w:rsidR="00FE239D" w:rsidRPr="00F01116">
        <w:rPr>
          <w:rFonts w:cs="Arial"/>
        </w:rPr>
        <w:t>CG</w:t>
      </w:r>
      <w:r w:rsidR="00FE239D" w:rsidRPr="00F01116">
        <w:rPr>
          <w:rFonts w:cs="Arial"/>
          <w:bCs/>
        </w:rPr>
        <w:t>137</w:t>
      </w:r>
      <w:r w:rsidR="00B70C5C" w:rsidRPr="00F01116">
        <w:t xml:space="preserve">) </w:t>
      </w:r>
      <w:r w:rsidRPr="00F01116">
        <w:t xml:space="preserve">often requiring multiple therapies to reduce the seizure </w:t>
      </w:r>
      <w:r w:rsidR="008D0B19" w:rsidRPr="00F01116">
        <w:t>frequency.</w:t>
      </w:r>
    </w:p>
    <w:p w14:paraId="49D705E2" w14:textId="77777777" w:rsidR="00CD5823" w:rsidRDefault="00CD5823" w:rsidP="00CD5823">
      <w:pPr>
        <w:rPr>
          <w:rFonts w:ascii="Calibri" w:hAnsi="Calibri"/>
          <w:u w:val="single"/>
        </w:rPr>
      </w:pPr>
    </w:p>
    <w:p w14:paraId="59099407" w14:textId="5AF8BD04" w:rsidR="00F147BC" w:rsidRPr="00925812" w:rsidRDefault="00F147BC" w:rsidP="00D61D2A">
      <w:pPr>
        <w:jc w:val="both"/>
        <w:rPr>
          <w:rFonts w:ascii="Calibri" w:hAnsi="Calibri"/>
          <w:b/>
        </w:rPr>
      </w:pPr>
      <w:r w:rsidRPr="00925812">
        <w:rPr>
          <w:rFonts w:ascii="Calibri" w:hAnsi="Calibri"/>
          <w:b/>
        </w:rPr>
        <w:t xml:space="preserve">Use </w:t>
      </w:r>
      <w:r w:rsidR="00433547" w:rsidRPr="00925812">
        <w:rPr>
          <w:rFonts w:ascii="Calibri" w:hAnsi="Calibri"/>
          <w:b/>
        </w:rPr>
        <w:t>of Generic AEDs</w:t>
      </w:r>
    </w:p>
    <w:p w14:paraId="13781EEB" w14:textId="77777777" w:rsidR="00925812" w:rsidRPr="00AA7A4C" w:rsidRDefault="00925812" w:rsidP="00D61D2A">
      <w:pPr>
        <w:jc w:val="both"/>
        <w:rPr>
          <w:rFonts w:ascii="Calibri" w:hAnsi="Calibri"/>
          <w:b/>
          <w:u w:val="single"/>
          <w:lang w:val="en-US"/>
        </w:rPr>
      </w:pPr>
    </w:p>
    <w:p w14:paraId="5F80C415" w14:textId="141C2E7A" w:rsidR="002C0A0D" w:rsidRDefault="00A83A77" w:rsidP="00F01116">
      <w:pPr>
        <w:autoSpaceDE w:val="0"/>
        <w:autoSpaceDN w:val="0"/>
        <w:adjustRightInd w:val="0"/>
        <w:jc w:val="both"/>
        <w:rPr>
          <w:rFonts w:ascii="Calibri" w:hAnsi="Calibri"/>
        </w:rPr>
      </w:pPr>
      <w:r w:rsidRPr="007E20F2">
        <w:rPr>
          <w:rFonts w:ascii="Calibri" w:hAnsi="Calibri"/>
        </w:rPr>
        <w:t xml:space="preserve">The majority of the </w:t>
      </w:r>
      <w:r w:rsidR="00722911">
        <w:rPr>
          <w:rFonts w:ascii="Calibri" w:hAnsi="Calibri"/>
        </w:rPr>
        <w:t xml:space="preserve">older </w:t>
      </w:r>
      <w:r w:rsidRPr="007E20F2">
        <w:rPr>
          <w:rFonts w:ascii="Calibri" w:hAnsi="Calibri"/>
        </w:rPr>
        <w:t xml:space="preserve">therapies in epilepsy are available </w:t>
      </w:r>
      <w:r w:rsidR="00B70C5C" w:rsidRPr="007E20F2">
        <w:rPr>
          <w:rFonts w:ascii="Calibri" w:hAnsi="Calibri"/>
        </w:rPr>
        <w:t xml:space="preserve">from multiple manufacturers </w:t>
      </w:r>
      <w:r w:rsidRPr="007E20F2">
        <w:rPr>
          <w:rFonts w:ascii="Calibri" w:hAnsi="Calibri"/>
        </w:rPr>
        <w:t xml:space="preserve">as </w:t>
      </w:r>
      <w:r w:rsidR="0037790E">
        <w:rPr>
          <w:rFonts w:ascii="Calibri" w:hAnsi="Calibri"/>
        </w:rPr>
        <w:t>brands and g</w:t>
      </w:r>
      <w:r w:rsidR="00B70C5C" w:rsidRPr="007E20F2">
        <w:rPr>
          <w:rFonts w:ascii="Calibri" w:hAnsi="Calibri"/>
        </w:rPr>
        <w:t xml:space="preserve">eneric </w:t>
      </w:r>
      <w:r w:rsidRPr="007E20F2">
        <w:rPr>
          <w:rFonts w:ascii="Calibri" w:hAnsi="Calibri"/>
        </w:rPr>
        <w:t>products</w:t>
      </w:r>
      <w:r w:rsidR="00D47D04" w:rsidRPr="007E20F2">
        <w:rPr>
          <w:rFonts w:ascii="Calibri" w:hAnsi="Calibri"/>
        </w:rPr>
        <w:t xml:space="preserve"> (phenytoin, carbamazepine, sodium valproate, phenobarbital).  </w:t>
      </w:r>
      <w:r w:rsidR="00D47D04" w:rsidRPr="00CE5898">
        <w:rPr>
          <w:rFonts w:ascii="Calibri" w:hAnsi="Calibri"/>
        </w:rPr>
        <w:t>S</w:t>
      </w:r>
      <w:r w:rsidRPr="00CE5898">
        <w:rPr>
          <w:rFonts w:ascii="Calibri" w:hAnsi="Calibri"/>
        </w:rPr>
        <w:t xml:space="preserve">ome of the second generation anti-epileptic drugs (AED) </w:t>
      </w:r>
      <w:r w:rsidR="005C47F2">
        <w:rPr>
          <w:rFonts w:ascii="Calibri" w:hAnsi="Calibri"/>
        </w:rPr>
        <w:t xml:space="preserve">also </w:t>
      </w:r>
      <w:r w:rsidRPr="00CE5898">
        <w:rPr>
          <w:rFonts w:ascii="Calibri" w:hAnsi="Calibri"/>
        </w:rPr>
        <w:t>have generic versions available</w:t>
      </w:r>
      <w:r w:rsidRPr="007E20F2">
        <w:rPr>
          <w:rFonts w:ascii="Calibri" w:hAnsi="Calibri"/>
        </w:rPr>
        <w:t xml:space="preserve">.  </w:t>
      </w:r>
      <w:r w:rsidR="00523B5D" w:rsidRPr="007E20F2">
        <w:rPr>
          <w:rFonts w:ascii="Calibri" w:hAnsi="Calibri"/>
        </w:rPr>
        <w:t xml:space="preserve">The awarding of generic </w:t>
      </w:r>
      <w:r w:rsidR="00076146" w:rsidRPr="007E20F2">
        <w:rPr>
          <w:rFonts w:ascii="Calibri" w:hAnsi="Calibri"/>
        </w:rPr>
        <w:t xml:space="preserve">AED </w:t>
      </w:r>
      <w:r w:rsidR="00523B5D" w:rsidRPr="007E20F2">
        <w:rPr>
          <w:rFonts w:ascii="Calibri" w:hAnsi="Calibri"/>
        </w:rPr>
        <w:t xml:space="preserve">medicines contracts </w:t>
      </w:r>
      <w:r w:rsidRPr="007E20F2">
        <w:rPr>
          <w:rFonts w:ascii="Calibri" w:hAnsi="Calibri"/>
        </w:rPr>
        <w:t xml:space="preserve">for </w:t>
      </w:r>
      <w:r w:rsidR="00523B5D" w:rsidRPr="007E20F2">
        <w:rPr>
          <w:rFonts w:ascii="Calibri" w:hAnsi="Calibri"/>
        </w:rPr>
        <w:t>secondary and tertiary care in the NHS has been problematic for some time</w:t>
      </w:r>
      <w:r w:rsidR="002C0A0D">
        <w:rPr>
          <w:rFonts w:ascii="Calibri" w:hAnsi="Calibri"/>
        </w:rPr>
        <w:t xml:space="preserve"> because of concerns about the benefits versus risks of using generic AED</w:t>
      </w:r>
      <w:r w:rsidR="00191090">
        <w:rPr>
          <w:rFonts w:ascii="Calibri" w:hAnsi="Calibri"/>
        </w:rPr>
        <w:t>s</w:t>
      </w:r>
      <w:r w:rsidR="002C0A0D">
        <w:rPr>
          <w:rFonts w:ascii="Calibri" w:hAnsi="Calibri"/>
        </w:rPr>
        <w:t xml:space="preserve"> to treat epilepsy</w:t>
      </w:r>
      <w:r w:rsidR="00E26DDC">
        <w:rPr>
          <w:rFonts w:ascii="Calibri" w:hAnsi="Calibri"/>
        </w:rPr>
        <w:t xml:space="preserve">.  </w:t>
      </w:r>
      <w:r w:rsidR="002C0A0D">
        <w:rPr>
          <w:rFonts w:ascii="Calibri" w:hAnsi="Calibri"/>
        </w:rPr>
        <w:t xml:space="preserve"> </w:t>
      </w:r>
    </w:p>
    <w:p w14:paraId="69EF36EA" w14:textId="77777777" w:rsidR="002C0A0D" w:rsidRDefault="002C0A0D" w:rsidP="002C0A0D">
      <w:pPr>
        <w:rPr>
          <w:rFonts w:ascii="Calibri" w:hAnsi="Calibri"/>
        </w:rPr>
      </w:pPr>
    </w:p>
    <w:p w14:paraId="191A8E52" w14:textId="0246D665" w:rsidR="00433547" w:rsidRPr="00925812" w:rsidRDefault="00433547" w:rsidP="002C0A0D">
      <w:pPr>
        <w:rPr>
          <w:rFonts w:ascii="Calibri" w:hAnsi="Calibri"/>
          <w:b/>
        </w:rPr>
      </w:pPr>
      <w:r w:rsidRPr="00925812">
        <w:rPr>
          <w:rFonts w:ascii="Calibri" w:hAnsi="Calibri"/>
          <w:b/>
        </w:rPr>
        <w:t>Con</w:t>
      </w:r>
      <w:r w:rsidR="00E26DDC" w:rsidRPr="00925812">
        <w:rPr>
          <w:rFonts w:ascii="Calibri" w:hAnsi="Calibri"/>
          <w:b/>
        </w:rPr>
        <w:t>troversy around</w:t>
      </w:r>
      <w:r w:rsidRPr="00925812">
        <w:rPr>
          <w:rFonts w:ascii="Calibri" w:hAnsi="Calibri"/>
          <w:b/>
        </w:rPr>
        <w:t xml:space="preserve"> switching</w:t>
      </w:r>
    </w:p>
    <w:p w14:paraId="729B9CEE" w14:textId="77777777" w:rsidR="00925812" w:rsidRPr="007578FB" w:rsidRDefault="00925812" w:rsidP="002C0A0D">
      <w:pPr>
        <w:rPr>
          <w:rFonts w:ascii="Calibri" w:hAnsi="Calibri"/>
          <w:b/>
          <w:u w:val="single"/>
        </w:rPr>
      </w:pPr>
    </w:p>
    <w:p w14:paraId="1EFCDE5D" w14:textId="76297EE6" w:rsidR="003D047C" w:rsidRDefault="003D047C" w:rsidP="00F01116">
      <w:pPr>
        <w:jc w:val="both"/>
        <w:rPr>
          <w:rFonts w:ascii="Calibri" w:hAnsi="Calibri"/>
        </w:rPr>
      </w:pPr>
      <w:r>
        <w:rPr>
          <w:rFonts w:ascii="Calibri" w:hAnsi="Calibri"/>
        </w:rPr>
        <w:t>Reasons for switching</w:t>
      </w:r>
    </w:p>
    <w:p w14:paraId="376C2219" w14:textId="77777777" w:rsidR="003D047C" w:rsidRDefault="002C0A0D" w:rsidP="003D047C">
      <w:pPr>
        <w:numPr>
          <w:ilvl w:val="0"/>
          <w:numId w:val="34"/>
        </w:numPr>
        <w:jc w:val="both"/>
        <w:rPr>
          <w:rFonts w:ascii="Calibri" w:hAnsi="Calibri"/>
        </w:rPr>
      </w:pPr>
      <w:r>
        <w:rPr>
          <w:rFonts w:ascii="Calibri" w:hAnsi="Calibri"/>
        </w:rPr>
        <w:t>The financial benefits of switching to less costly treatments are the mo</w:t>
      </w:r>
      <w:r w:rsidR="00E26DDC">
        <w:rPr>
          <w:rFonts w:ascii="Calibri" w:hAnsi="Calibri"/>
        </w:rPr>
        <w:t>st obvious drivers for changing</w:t>
      </w:r>
      <w:r>
        <w:rPr>
          <w:rFonts w:ascii="Calibri" w:hAnsi="Calibri"/>
        </w:rPr>
        <w:t xml:space="preserve"> patients’ AED products.  </w:t>
      </w:r>
    </w:p>
    <w:p w14:paraId="1CF922B8" w14:textId="77777777" w:rsidR="003D047C" w:rsidRDefault="00433547" w:rsidP="003D047C">
      <w:pPr>
        <w:numPr>
          <w:ilvl w:val="0"/>
          <w:numId w:val="34"/>
        </w:numPr>
        <w:jc w:val="both"/>
        <w:rPr>
          <w:rFonts w:ascii="Calibri" w:hAnsi="Calibri"/>
        </w:rPr>
      </w:pPr>
      <w:r>
        <w:rPr>
          <w:rFonts w:ascii="Calibri" w:hAnsi="Calibri"/>
        </w:rPr>
        <w:t xml:space="preserve">Generic drug prescribing can improve medication safety because consistency in prescribing the same drug name avoids confusion of multiple brand names.  </w:t>
      </w:r>
    </w:p>
    <w:p w14:paraId="02FBCB9D" w14:textId="77777777" w:rsidR="003D047C" w:rsidRDefault="00191090" w:rsidP="003D047C">
      <w:pPr>
        <w:numPr>
          <w:ilvl w:val="0"/>
          <w:numId w:val="34"/>
        </w:numPr>
        <w:jc w:val="both"/>
        <w:rPr>
          <w:rFonts w:ascii="Calibri" w:hAnsi="Calibri"/>
        </w:rPr>
      </w:pPr>
      <w:r>
        <w:rPr>
          <w:rFonts w:ascii="Calibri" w:hAnsi="Calibri"/>
        </w:rPr>
        <w:t>H</w:t>
      </w:r>
      <w:r w:rsidR="002C0A0D" w:rsidRPr="0018137D">
        <w:rPr>
          <w:rFonts w:ascii="Calibri" w:hAnsi="Calibri"/>
        </w:rPr>
        <w:t>ospital contracts change infrequently so patients would seldom be exposed to a change of manufacturer in secondary care.</w:t>
      </w:r>
      <w:r w:rsidR="002C0A0D">
        <w:rPr>
          <w:rFonts w:ascii="Calibri" w:hAnsi="Calibri"/>
        </w:rPr>
        <w:t xml:space="preserve">  </w:t>
      </w:r>
    </w:p>
    <w:p w14:paraId="2AD29511" w14:textId="4F14EDB1" w:rsidR="006536F1" w:rsidRDefault="002C0A0D" w:rsidP="00355656">
      <w:pPr>
        <w:numPr>
          <w:ilvl w:val="0"/>
          <w:numId w:val="34"/>
        </w:numPr>
        <w:jc w:val="both"/>
        <w:rPr>
          <w:rFonts w:ascii="Calibri" w:hAnsi="Calibri"/>
        </w:rPr>
      </w:pPr>
      <w:r>
        <w:rPr>
          <w:rFonts w:ascii="Calibri" w:hAnsi="Calibri"/>
        </w:rPr>
        <w:t>M</w:t>
      </w:r>
      <w:r w:rsidRPr="0018137D">
        <w:rPr>
          <w:rFonts w:ascii="Calibri" w:hAnsi="Calibri"/>
        </w:rPr>
        <w:t xml:space="preserve">any medicines licensed for the control of seizures are </w:t>
      </w:r>
      <w:r>
        <w:rPr>
          <w:rFonts w:ascii="Calibri" w:hAnsi="Calibri"/>
        </w:rPr>
        <w:t xml:space="preserve">also </w:t>
      </w:r>
      <w:r w:rsidR="00191090">
        <w:rPr>
          <w:rFonts w:ascii="Calibri" w:hAnsi="Calibri"/>
        </w:rPr>
        <w:t>used for other</w:t>
      </w:r>
      <w:r w:rsidR="00E26DDC">
        <w:rPr>
          <w:rFonts w:ascii="Calibri" w:hAnsi="Calibri"/>
        </w:rPr>
        <w:t xml:space="preserve"> indications.  </w:t>
      </w:r>
      <w:r w:rsidRPr="0018137D">
        <w:rPr>
          <w:rFonts w:ascii="Calibri" w:hAnsi="Calibri"/>
        </w:rPr>
        <w:t>In prac</w:t>
      </w:r>
      <w:r w:rsidR="00191090">
        <w:rPr>
          <w:rFonts w:ascii="Calibri" w:hAnsi="Calibri"/>
        </w:rPr>
        <w:t>tice it would be</w:t>
      </w:r>
      <w:r>
        <w:rPr>
          <w:rFonts w:ascii="Calibri" w:hAnsi="Calibri"/>
        </w:rPr>
        <w:t xml:space="preserve"> difficult </w:t>
      </w:r>
      <w:r w:rsidRPr="0018137D">
        <w:rPr>
          <w:rFonts w:ascii="Calibri" w:hAnsi="Calibri"/>
        </w:rPr>
        <w:t xml:space="preserve">to manage </w:t>
      </w:r>
      <w:r>
        <w:rPr>
          <w:rFonts w:ascii="Calibri" w:hAnsi="Calibri"/>
        </w:rPr>
        <w:t xml:space="preserve">the use of </w:t>
      </w:r>
      <w:r w:rsidRPr="0018137D">
        <w:rPr>
          <w:rFonts w:ascii="Calibri" w:hAnsi="Calibri"/>
        </w:rPr>
        <w:t xml:space="preserve">two products; a generic for non-epilepsy </w:t>
      </w:r>
      <w:r>
        <w:rPr>
          <w:rFonts w:ascii="Calibri" w:hAnsi="Calibri"/>
        </w:rPr>
        <w:t>indications and the brand</w:t>
      </w:r>
      <w:r w:rsidRPr="0018137D">
        <w:rPr>
          <w:rFonts w:ascii="Calibri" w:hAnsi="Calibri"/>
        </w:rPr>
        <w:t xml:space="preserve"> for epilepsy. </w:t>
      </w:r>
      <w:r w:rsidR="00191090">
        <w:rPr>
          <w:rFonts w:ascii="Calibri" w:hAnsi="Calibri"/>
        </w:rPr>
        <w:t xml:space="preserve">  </w:t>
      </w:r>
    </w:p>
    <w:p w14:paraId="6BAD6645" w14:textId="451ED083" w:rsidR="006536F1" w:rsidRDefault="00373E47" w:rsidP="000839A9">
      <w:pPr>
        <w:numPr>
          <w:ilvl w:val="0"/>
          <w:numId w:val="34"/>
        </w:numPr>
        <w:jc w:val="both"/>
        <w:rPr>
          <w:rFonts w:ascii="Calibri" w:hAnsi="Calibri"/>
        </w:rPr>
      </w:pPr>
      <w:r>
        <w:rPr>
          <w:rFonts w:ascii="Calibri" w:hAnsi="Calibri"/>
        </w:rPr>
        <w:t>The ability to switch</w:t>
      </w:r>
      <w:r w:rsidR="00FF66D1" w:rsidRPr="00F65579">
        <w:rPr>
          <w:rFonts w:ascii="Calibri" w:hAnsi="Calibri"/>
        </w:rPr>
        <w:t xml:space="preserve"> between brands and generics reduces the impact of drug shortages</w:t>
      </w:r>
      <w:r w:rsidR="008F5D26" w:rsidRPr="00F65579">
        <w:rPr>
          <w:rFonts w:ascii="Calibri" w:hAnsi="Calibri"/>
        </w:rPr>
        <w:t xml:space="preserve"> and the risks to supply chains</w:t>
      </w:r>
      <w:r w:rsidR="00A64502">
        <w:rPr>
          <w:rFonts w:ascii="Calibri" w:hAnsi="Calibri"/>
        </w:rPr>
        <w:t>.</w:t>
      </w:r>
    </w:p>
    <w:p w14:paraId="47C1EA73" w14:textId="77777777" w:rsidR="00F65579" w:rsidRPr="00F65579" w:rsidRDefault="00F65579" w:rsidP="00F65579">
      <w:pPr>
        <w:ind w:left="720"/>
        <w:jc w:val="both"/>
        <w:rPr>
          <w:rFonts w:ascii="Calibri" w:hAnsi="Calibri"/>
        </w:rPr>
      </w:pPr>
    </w:p>
    <w:p w14:paraId="76394EA3" w14:textId="0B510ABA" w:rsidR="007E20F2" w:rsidRDefault="006536F1" w:rsidP="00F01116">
      <w:pPr>
        <w:autoSpaceDE w:val="0"/>
        <w:autoSpaceDN w:val="0"/>
        <w:adjustRightInd w:val="0"/>
        <w:jc w:val="both"/>
        <w:rPr>
          <w:rFonts w:ascii="Calibri" w:hAnsi="Calibri"/>
        </w:rPr>
      </w:pPr>
      <w:r>
        <w:rPr>
          <w:rFonts w:ascii="Calibri" w:hAnsi="Calibri"/>
        </w:rPr>
        <w:t xml:space="preserve">There is some opposition to switching AEDs to generic versions because of concerns of inequivalence between the brands and generics.  </w:t>
      </w:r>
      <w:r w:rsidR="00523B5D" w:rsidRPr="007E20F2">
        <w:rPr>
          <w:rFonts w:ascii="Calibri" w:hAnsi="Calibri"/>
        </w:rPr>
        <w:t>The</w:t>
      </w:r>
      <w:r w:rsidR="00D00A32" w:rsidRPr="007E20F2">
        <w:rPr>
          <w:rFonts w:ascii="Calibri" w:hAnsi="Calibri"/>
        </w:rPr>
        <w:t>re are limite</w:t>
      </w:r>
      <w:r w:rsidR="00A83A77" w:rsidRPr="007E20F2">
        <w:rPr>
          <w:rFonts w:ascii="Calibri" w:hAnsi="Calibri"/>
        </w:rPr>
        <w:t>d published papers investigating</w:t>
      </w:r>
      <w:r w:rsidR="00E26DDC">
        <w:rPr>
          <w:rFonts w:ascii="Calibri" w:hAnsi="Calibri"/>
        </w:rPr>
        <w:t xml:space="preserve"> the risks of brand</w:t>
      </w:r>
      <w:r w:rsidR="00D00A32" w:rsidRPr="007E20F2">
        <w:rPr>
          <w:rFonts w:ascii="Calibri" w:hAnsi="Calibri"/>
        </w:rPr>
        <w:t xml:space="preserve"> to generic prescribing with a wide </w:t>
      </w:r>
      <w:r w:rsidR="00A83A77" w:rsidRPr="007E20F2">
        <w:rPr>
          <w:rFonts w:ascii="Calibri" w:hAnsi="Calibri"/>
        </w:rPr>
        <w:t>range of findings</w:t>
      </w:r>
      <w:r w:rsidR="00D00A32" w:rsidRPr="007E20F2">
        <w:rPr>
          <w:rFonts w:ascii="Calibri" w:hAnsi="Calibri"/>
        </w:rPr>
        <w:t xml:space="preserve">. </w:t>
      </w:r>
      <w:r w:rsidR="00523B5D" w:rsidRPr="007E20F2">
        <w:rPr>
          <w:rFonts w:ascii="Calibri" w:hAnsi="Calibri"/>
        </w:rPr>
        <w:t xml:space="preserve"> </w:t>
      </w:r>
      <w:r w:rsidR="007E20F2" w:rsidRPr="00FA1E5B">
        <w:rPr>
          <w:rFonts w:ascii="Calibri" w:hAnsi="Calibri"/>
        </w:rPr>
        <w:t xml:space="preserve">Increase in seizure frequency has been linked to </w:t>
      </w:r>
      <w:r w:rsidR="005C403C">
        <w:rPr>
          <w:rFonts w:ascii="Calibri" w:hAnsi="Calibri"/>
        </w:rPr>
        <w:t xml:space="preserve">factors such as </w:t>
      </w:r>
      <w:r w:rsidR="007E20F2" w:rsidRPr="00FA1E5B">
        <w:rPr>
          <w:rFonts w:ascii="Calibri" w:hAnsi="Calibri"/>
        </w:rPr>
        <w:t xml:space="preserve">natural variation in disease, infection, nutrition status, hydration status, tiredness, and </w:t>
      </w:r>
      <w:r w:rsidR="007E20F2" w:rsidRPr="00FA1E5B">
        <w:rPr>
          <w:rFonts w:ascii="Calibri" w:hAnsi="Calibri"/>
        </w:rPr>
        <w:lastRenderedPageBreak/>
        <w:t>stress</w:t>
      </w:r>
      <w:r w:rsidR="005C403C">
        <w:rPr>
          <w:rFonts w:ascii="Calibri" w:hAnsi="Calibri"/>
        </w:rPr>
        <w:t>.</w:t>
      </w:r>
      <w:r w:rsidR="008F2F2A">
        <w:rPr>
          <w:rFonts w:ascii="Calibri" w:hAnsi="Calibri"/>
        </w:rPr>
        <w:t xml:space="preserve"> </w:t>
      </w:r>
      <w:r w:rsidR="007E20F2" w:rsidRPr="00F01116">
        <w:rPr>
          <w:rFonts w:ascii="Calibri" w:hAnsi="Calibri"/>
        </w:rPr>
        <w:t>(National Society for Epilepsy</w:t>
      </w:r>
      <w:r w:rsidR="00F673D8" w:rsidRPr="00F01116">
        <w:rPr>
          <w:rFonts w:ascii="Calibri" w:hAnsi="Calibri"/>
        </w:rPr>
        <w:t xml:space="preserve"> 201</w:t>
      </w:r>
      <w:r w:rsidR="00E14912">
        <w:rPr>
          <w:rFonts w:ascii="Calibri" w:hAnsi="Calibri"/>
        </w:rPr>
        <w:t>6</w:t>
      </w:r>
      <w:r w:rsidR="00F673D8" w:rsidRPr="00F01116">
        <w:rPr>
          <w:rFonts w:ascii="Calibri" w:hAnsi="Calibri"/>
        </w:rPr>
        <w:t xml:space="preserve">, </w:t>
      </w:r>
      <w:r w:rsidR="007E20F2" w:rsidRPr="00F01116">
        <w:rPr>
          <w:rFonts w:ascii="Calibri" w:hAnsi="Calibri"/>
        </w:rPr>
        <w:t>Brain and Spine Foundation</w:t>
      </w:r>
      <w:r w:rsidR="00F673D8" w:rsidRPr="00F01116">
        <w:rPr>
          <w:rFonts w:ascii="Calibri" w:hAnsi="Calibri"/>
        </w:rPr>
        <w:t xml:space="preserve"> 201</w:t>
      </w:r>
      <w:r w:rsidR="00596C3B">
        <w:rPr>
          <w:rFonts w:ascii="Calibri" w:hAnsi="Calibri"/>
        </w:rPr>
        <w:t>6</w:t>
      </w:r>
      <w:r w:rsidR="00143BF5" w:rsidRPr="00F01116">
        <w:rPr>
          <w:rFonts w:ascii="Calibri" w:hAnsi="Calibri"/>
        </w:rPr>
        <w:t>, Sperling 2008</w:t>
      </w:r>
      <w:r w:rsidR="007E20F2" w:rsidRPr="00F01116">
        <w:rPr>
          <w:rFonts w:ascii="Calibri" w:hAnsi="Calibri"/>
        </w:rPr>
        <w:t>).  Existing evidence is unable to stratify these risks in order of importance.</w:t>
      </w:r>
      <w:r w:rsidR="00433547" w:rsidRPr="00F01116">
        <w:rPr>
          <w:rFonts w:ascii="Calibri" w:hAnsi="Calibri"/>
        </w:rPr>
        <w:t xml:space="preserve"> </w:t>
      </w:r>
      <w:r w:rsidR="007E20F2" w:rsidRPr="00F01116">
        <w:rPr>
          <w:rFonts w:ascii="Calibri" w:hAnsi="Calibri"/>
        </w:rPr>
        <w:t xml:space="preserve"> </w:t>
      </w:r>
      <w:r w:rsidR="001A723D">
        <w:rPr>
          <w:rFonts w:ascii="Calibri" w:hAnsi="Calibri"/>
        </w:rPr>
        <w:t>Poor</w:t>
      </w:r>
      <w:r w:rsidR="009D29E9" w:rsidRPr="00FA1E5B">
        <w:rPr>
          <w:rFonts w:ascii="Calibri" w:hAnsi="Calibri"/>
        </w:rPr>
        <w:t xml:space="preserve"> medication </w:t>
      </w:r>
      <w:r w:rsidR="009D29E9">
        <w:rPr>
          <w:rFonts w:ascii="Calibri" w:hAnsi="Calibri"/>
        </w:rPr>
        <w:t>adherence</w:t>
      </w:r>
      <w:r w:rsidR="009D29E9" w:rsidRPr="00F01116">
        <w:rPr>
          <w:rFonts w:ascii="Calibri" w:hAnsi="Calibri"/>
        </w:rPr>
        <w:t xml:space="preserve"> </w:t>
      </w:r>
      <w:r w:rsidR="001A723D">
        <w:rPr>
          <w:rFonts w:ascii="Calibri" w:hAnsi="Calibri"/>
        </w:rPr>
        <w:t>is associated with increased mortality, emergency department visits</w:t>
      </w:r>
      <w:r w:rsidR="006E1F62">
        <w:rPr>
          <w:rFonts w:ascii="Calibri" w:hAnsi="Calibri"/>
        </w:rPr>
        <w:t>, hospitalisations, fractures and head injuries (</w:t>
      </w:r>
      <w:r w:rsidR="00E44C18">
        <w:rPr>
          <w:rFonts w:ascii="Calibri" w:hAnsi="Calibri"/>
        </w:rPr>
        <w:t>Al-aqeel</w:t>
      </w:r>
      <w:r w:rsidR="006E1F62">
        <w:rPr>
          <w:rFonts w:ascii="Calibri" w:hAnsi="Calibri"/>
        </w:rPr>
        <w:t xml:space="preserve"> 2017</w:t>
      </w:r>
      <w:r w:rsidR="004A3B9A">
        <w:rPr>
          <w:rFonts w:ascii="Calibri" w:hAnsi="Calibri"/>
        </w:rPr>
        <w:t xml:space="preserve">) </w:t>
      </w:r>
      <w:r w:rsidR="0051610D" w:rsidRPr="00F01116">
        <w:rPr>
          <w:rFonts w:ascii="Calibri" w:hAnsi="Calibri"/>
        </w:rPr>
        <w:t>The incidence of seizure recurrence in previously seizure-free patients has been reported to be 30% with no known cause and another 10% with an identifiable cause such as omission of dos</w:t>
      </w:r>
      <w:r w:rsidR="00433547" w:rsidRPr="00F01116">
        <w:rPr>
          <w:rFonts w:ascii="Calibri" w:hAnsi="Calibri"/>
        </w:rPr>
        <w:t xml:space="preserve">es, sleep deprivation or fever </w:t>
      </w:r>
      <w:r w:rsidR="0051610D" w:rsidRPr="00F01116">
        <w:rPr>
          <w:rFonts w:ascii="Calibri" w:hAnsi="Calibri"/>
        </w:rPr>
        <w:t>(Schiller</w:t>
      </w:r>
      <w:r w:rsidR="00F673D8" w:rsidRPr="00F01116">
        <w:rPr>
          <w:rFonts w:ascii="Calibri" w:hAnsi="Calibri"/>
        </w:rPr>
        <w:t xml:space="preserve"> 2009</w:t>
      </w:r>
      <w:r w:rsidR="00B70C5C" w:rsidRPr="00F01116">
        <w:rPr>
          <w:rFonts w:ascii="Calibri" w:hAnsi="Calibri"/>
        </w:rPr>
        <w:t>)</w:t>
      </w:r>
      <w:r w:rsidR="0051610D" w:rsidRPr="00F01116">
        <w:rPr>
          <w:rFonts w:ascii="Calibri" w:hAnsi="Calibri"/>
        </w:rPr>
        <w:t>.  T</w:t>
      </w:r>
      <w:r w:rsidR="00F87A2C" w:rsidRPr="00F01116">
        <w:rPr>
          <w:rFonts w:ascii="Calibri" w:hAnsi="Calibri"/>
        </w:rPr>
        <w:t>his confounds</w:t>
      </w:r>
      <w:r w:rsidR="00F87A2C" w:rsidRPr="007E20F2">
        <w:rPr>
          <w:rFonts w:ascii="Calibri" w:hAnsi="Calibri"/>
        </w:rPr>
        <w:t xml:space="preserve"> the </w:t>
      </w:r>
      <w:r>
        <w:rPr>
          <w:rFonts w:ascii="Calibri" w:hAnsi="Calibri"/>
        </w:rPr>
        <w:t xml:space="preserve">determination of the </w:t>
      </w:r>
      <w:r w:rsidR="0051610D" w:rsidRPr="007E20F2">
        <w:rPr>
          <w:rFonts w:ascii="Calibri" w:hAnsi="Calibri"/>
        </w:rPr>
        <w:t>impact of brand to generic switching and makes</w:t>
      </w:r>
      <w:r w:rsidR="00523B5D" w:rsidRPr="007E20F2">
        <w:rPr>
          <w:rFonts w:ascii="Calibri" w:hAnsi="Calibri"/>
        </w:rPr>
        <w:t xml:space="preserve"> </w:t>
      </w:r>
      <w:r w:rsidR="00CA0B2D" w:rsidRPr="007E20F2">
        <w:rPr>
          <w:rFonts w:ascii="Calibri" w:hAnsi="Calibri"/>
        </w:rPr>
        <w:t>recommen</w:t>
      </w:r>
      <w:r w:rsidR="00523B5D" w:rsidRPr="007E20F2">
        <w:rPr>
          <w:rFonts w:ascii="Calibri" w:hAnsi="Calibri"/>
        </w:rPr>
        <w:t>dations problematic.</w:t>
      </w:r>
      <w:r w:rsidR="007E20F2" w:rsidRPr="00FA1E5B">
        <w:rPr>
          <w:rFonts w:ascii="Calibri" w:hAnsi="Calibri"/>
        </w:rPr>
        <w:t xml:space="preserve"> </w:t>
      </w:r>
    </w:p>
    <w:p w14:paraId="0F322F7A" w14:textId="77777777" w:rsidR="003850DA" w:rsidRPr="00FA1E5B" w:rsidRDefault="003850DA" w:rsidP="00F01116">
      <w:pPr>
        <w:autoSpaceDE w:val="0"/>
        <w:autoSpaceDN w:val="0"/>
        <w:adjustRightInd w:val="0"/>
        <w:jc w:val="both"/>
        <w:rPr>
          <w:rFonts w:ascii="Calibri" w:hAnsi="Calibri"/>
        </w:rPr>
      </w:pPr>
    </w:p>
    <w:p w14:paraId="0F8AC0DF" w14:textId="25B32C7C" w:rsidR="00F87A2C" w:rsidRDefault="005A5D02" w:rsidP="0051610D">
      <w:pPr>
        <w:spacing w:before="60" w:after="60"/>
        <w:rPr>
          <w:rFonts w:ascii="Calibri" w:hAnsi="Calibri"/>
          <w:b/>
          <w:bCs/>
        </w:rPr>
      </w:pPr>
      <w:r w:rsidRPr="00A7364C">
        <w:rPr>
          <w:rFonts w:ascii="Calibri" w:hAnsi="Calibri"/>
          <w:b/>
          <w:bCs/>
        </w:rPr>
        <w:t>MHRA Guidance</w:t>
      </w:r>
    </w:p>
    <w:p w14:paraId="65BE6890" w14:textId="77777777" w:rsidR="006D1F51" w:rsidRPr="00A7364C" w:rsidRDefault="006D1F51" w:rsidP="0051610D">
      <w:pPr>
        <w:spacing w:before="60" w:after="60"/>
        <w:rPr>
          <w:rFonts w:ascii="Calibri" w:hAnsi="Calibri"/>
          <w:b/>
          <w:bCs/>
        </w:rPr>
      </w:pPr>
    </w:p>
    <w:p w14:paraId="7B14F408" w14:textId="225086B6" w:rsidR="00093E52" w:rsidRDefault="00CF4058" w:rsidP="00BD0A05">
      <w:pPr>
        <w:spacing w:before="60" w:after="60"/>
        <w:jc w:val="both"/>
        <w:rPr>
          <w:rFonts w:ascii="Calibri" w:hAnsi="Calibri"/>
        </w:rPr>
      </w:pPr>
      <w:r>
        <w:rPr>
          <w:rFonts w:ascii="Calibri" w:hAnsi="Calibri"/>
        </w:rPr>
        <w:t>The MHRA has provided guidance on</w:t>
      </w:r>
      <w:r w:rsidR="00562483">
        <w:rPr>
          <w:rFonts w:ascii="Calibri" w:hAnsi="Calibri"/>
        </w:rPr>
        <w:t xml:space="preserve"> switching between different manufacturer’s products for antiepileptic drugs.</w:t>
      </w:r>
      <w:r w:rsidR="001338D5">
        <w:rPr>
          <w:rFonts w:ascii="Calibri" w:hAnsi="Calibri"/>
        </w:rPr>
        <w:t xml:space="preserve">  </w:t>
      </w:r>
      <w:r w:rsidR="00970C38" w:rsidRPr="00DB6DAE">
        <w:rPr>
          <w:rFonts w:ascii="Calibri" w:hAnsi="Calibri" w:cs="Arial"/>
          <w:color w:val="0B0C0C"/>
          <w:shd w:val="clear" w:color="auto" w:fill="FFFFFF"/>
        </w:rPr>
        <w:t>The Commission on Human Medicines (CHM) reviewed spontaneous adverse reactions received by MHRA and publications that reported potential harm arising from switching of AEDs in patients previously stabilised on a branded product to a generic. Following this review, CHM concluded that reports of loss of seizure control and/or worsening of side effects around the time of switching between products could be explained as chance associations, but that a causal role of switching could not be ruled out in all cases.</w:t>
      </w:r>
      <w:r w:rsidR="000327D2">
        <w:rPr>
          <w:rFonts w:ascii="Calibri" w:hAnsi="Calibri" w:cs="Arial"/>
          <w:color w:val="0B0C0C"/>
          <w:shd w:val="clear" w:color="auto" w:fill="FFFFFF"/>
        </w:rPr>
        <w:t xml:space="preserve"> (MHRA 2017)</w:t>
      </w:r>
    </w:p>
    <w:p w14:paraId="2EF9463C" w14:textId="77777777" w:rsidR="00093E52" w:rsidRDefault="00093E52" w:rsidP="00093E52">
      <w:pPr>
        <w:spacing w:before="60" w:after="60"/>
        <w:rPr>
          <w:rFonts w:ascii="Calibri" w:hAnsi="Calibri"/>
        </w:rPr>
      </w:pPr>
    </w:p>
    <w:p w14:paraId="7ECD019F" w14:textId="56E0582A" w:rsidR="000E7A7E" w:rsidRDefault="000E7A7E" w:rsidP="009E28EC">
      <w:pPr>
        <w:pStyle w:val="NoSpacing"/>
        <w:jc w:val="both"/>
        <w:rPr>
          <w:rFonts w:ascii="Calibri" w:hAnsi="Calibri" w:cs="Calibri"/>
          <w:b/>
          <w:bCs/>
          <w:lang w:val="en-US" w:eastAsia="en-US"/>
        </w:rPr>
      </w:pPr>
      <w:r w:rsidRPr="00DD1A0D">
        <w:rPr>
          <w:rFonts w:ascii="Calibri" w:hAnsi="Calibri" w:cs="Calibri"/>
          <w:b/>
          <w:bCs/>
          <w:lang w:val="en-US" w:eastAsia="en-US"/>
        </w:rPr>
        <w:t xml:space="preserve">New </w:t>
      </w:r>
      <w:r w:rsidRPr="00DD1A0D">
        <w:rPr>
          <w:rFonts w:ascii="Calibri" w:hAnsi="Calibri" w:cs="Calibri"/>
          <w:b/>
          <w:bCs/>
          <w:lang w:eastAsia="en-US"/>
        </w:rPr>
        <w:t>categorisation</w:t>
      </w:r>
      <w:r w:rsidRPr="00DD1A0D">
        <w:rPr>
          <w:rFonts w:ascii="Calibri" w:hAnsi="Calibri" w:cs="Calibri"/>
          <w:b/>
          <w:bCs/>
          <w:lang w:val="en-US" w:eastAsia="en-US"/>
        </w:rPr>
        <w:t xml:space="preserve"> to help </w:t>
      </w:r>
      <w:r w:rsidRPr="00DD1A0D">
        <w:rPr>
          <w:rFonts w:ascii="Calibri" w:hAnsi="Calibri" w:cs="Calibri"/>
          <w:b/>
          <w:bCs/>
          <w:lang w:eastAsia="en-US"/>
        </w:rPr>
        <w:t>minimise</w:t>
      </w:r>
      <w:r w:rsidRPr="00DD1A0D">
        <w:rPr>
          <w:rFonts w:ascii="Calibri" w:hAnsi="Calibri" w:cs="Calibri"/>
          <w:b/>
          <w:bCs/>
          <w:lang w:val="en-US" w:eastAsia="en-US"/>
        </w:rPr>
        <w:t xml:space="preserve"> risk</w:t>
      </w:r>
    </w:p>
    <w:p w14:paraId="77A31DD8" w14:textId="77777777" w:rsidR="00925812" w:rsidRPr="00DD1A0D" w:rsidRDefault="00925812" w:rsidP="009E28EC">
      <w:pPr>
        <w:pStyle w:val="NoSpacing"/>
        <w:jc w:val="both"/>
        <w:rPr>
          <w:rFonts w:ascii="Calibri" w:hAnsi="Calibri" w:cs="Calibri"/>
          <w:b/>
          <w:bCs/>
        </w:rPr>
      </w:pPr>
    </w:p>
    <w:p w14:paraId="19C42893" w14:textId="77777777" w:rsidR="000E7A7E" w:rsidRPr="00DD1A0D" w:rsidRDefault="000E7A7E" w:rsidP="009E28EC">
      <w:pPr>
        <w:pStyle w:val="NoSpacing"/>
        <w:jc w:val="both"/>
        <w:rPr>
          <w:rFonts w:ascii="Calibri" w:hAnsi="Calibri" w:cs="Calibri"/>
          <w:lang w:val="en-US" w:eastAsia="en-US"/>
        </w:rPr>
      </w:pPr>
      <w:r w:rsidRPr="00DD1A0D">
        <w:rPr>
          <w:rFonts w:ascii="Calibri" w:hAnsi="Calibri" w:cs="Calibri"/>
          <w:lang w:val="en-US" w:eastAsia="en-US"/>
        </w:rPr>
        <w:t>The CHM considered the characteristics of AEDs and advised that they could be classified into three categories based on therapeutic index, solubility, and absorption to help prescribers and patients decide whether it was necessary to maintain continuity of supply of a specific manufacturer’s product. These categories are listed below:</w:t>
      </w:r>
    </w:p>
    <w:p w14:paraId="155553F7" w14:textId="1014023B" w:rsidR="000E7A7E" w:rsidRPr="00DD1A0D" w:rsidRDefault="000E7A7E" w:rsidP="00BD0A05">
      <w:pPr>
        <w:numPr>
          <w:ilvl w:val="0"/>
          <w:numId w:val="33"/>
        </w:numPr>
        <w:shd w:val="clear" w:color="auto" w:fill="FFFFFF"/>
        <w:ind w:left="300"/>
        <w:rPr>
          <w:rFonts w:ascii="Calibri" w:hAnsi="Calibri" w:cs="Calibri"/>
          <w:color w:val="0B0C0C"/>
          <w:lang w:val="en-US" w:eastAsia="en-US"/>
        </w:rPr>
      </w:pPr>
      <w:r w:rsidRPr="00DD1A0D">
        <w:rPr>
          <w:rFonts w:ascii="Calibri" w:hAnsi="Calibri" w:cs="Calibri"/>
          <w:color w:val="0B0C0C"/>
          <w:lang w:val="en-US" w:eastAsia="en-US"/>
        </w:rPr>
        <w:t>Category 1 – phenytoin, carbamazepine, phenobarbital, primidone</w:t>
      </w:r>
      <w:r w:rsidR="00BD0A05" w:rsidRPr="00DD1A0D">
        <w:rPr>
          <w:rFonts w:ascii="Calibri" w:hAnsi="Calibri" w:cs="Calibri"/>
          <w:color w:val="0B0C0C"/>
          <w:lang w:val="en-US" w:eastAsia="en-US"/>
        </w:rPr>
        <w:t>.</w:t>
      </w:r>
      <w:r w:rsidRPr="00DD1A0D">
        <w:rPr>
          <w:rFonts w:ascii="Calibri" w:hAnsi="Calibri" w:cs="Calibri"/>
          <w:color w:val="0B0C0C"/>
          <w:lang w:val="en-US" w:eastAsia="en-US"/>
        </w:rPr>
        <w:br/>
        <w:t>For these drugs, doctors are advised to ensure that their patient is maintained on a specific manufacturer’s product</w:t>
      </w:r>
      <w:r w:rsidR="00BD0A05" w:rsidRPr="00DD1A0D">
        <w:rPr>
          <w:rFonts w:ascii="Calibri" w:hAnsi="Calibri" w:cs="Calibri"/>
          <w:color w:val="0B0C0C"/>
          <w:lang w:val="en-US" w:eastAsia="en-US"/>
        </w:rPr>
        <w:t>.</w:t>
      </w:r>
    </w:p>
    <w:p w14:paraId="0582E5ED" w14:textId="6AA6426F" w:rsidR="000E7A7E" w:rsidRPr="00DD1A0D" w:rsidRDefault="000E7A7E" w:rsidP="00BD0A05">
      <w:pPr>
        <w:numPr>
          <w:ilvl w:val="0"/>
          <w:numId w:val="33"/>
        </w:numPr>
        <w:shd w:val="clear" w:color="auto" w:fill="FFFFFF"/>
        <w:ind w:left="300"/>
        <w:rPr>
          <w:rFonts w:ascii="Calibri" w:hAnsi="Calibri" w:cs="Calibri"/>
          <w:color w:val="0B0C0C"/>
          <w:lang w:val="en-US" w:eastAsia="en-US"/>
        </w:rPr>
      </w:pPr>
      <w:r w:rsidRPr="00DD1A0D">
        <w:rPr>
          <w:rFonts w:ascii="Calibri" w:hAnsi="Calibri" w:cs="Calibri"/>
          <w:color w:val="0B0C0C"/>
          <w:lang w:val="en-US" w:eastAsia="en-US"/>
        </w:rPr>
        <w:t>Category 2 – valproate, lamotrigine, perampanel, retigabine, rufinamide, clobazam, clonazepam, oxcarbazepine, eslicarbazepine, zonisamide, topiramate</w:t>
      </w:r>
      <w:r w:rsidR="00BD0A05" w:rsidRPr="00DD1A0D">
        <w:rPr>
          <w:rFonts w:ascii="Calibri" w:hAnsi="Calibri" w:cs="Calibri"/>
          <w:color w:val="0B0C0C"/>
          <w:lang w:val="en-US" w:eastAsia="en-US"/>
        </w:rPr>
        <w:t>.</w:t>
      </w:r>
      <w:r w:rsidRPr="00DD1A0D">
        <w:rPr>
          <w:rFonts w:ascii="Calibri" w:hAnsi="Calibri" w:cs="Calibri"/>
          <w:color w:val="0B0C0C"/>
          <w:lang w:val="en-US" w:eastAsia="en-US"/>
        </w:rPr>
        <w:br/>
        <w:t>For these drugs, the need for continued supply of a particular manufacturer’s product should be based on clinical judgement and consultation with patient and/or carer, taking into account factors such as seizure frequency and treatment history</w:t>
      </w:r>
      <w:r w:rsidR="00BD0A05" w:rsidRPr="00DD1A0D">
        <w:rPr>
          <w:rFonts w:ascii="Calibri" w:hAnsi="Calibri" w:cs="Calibri"/>
          <w:color w:val="0B0C0C"/>
          <w:lang w:val="en-US" w:eastAsia="en-US"/>
        </w:rPr>
        <w:t>.</w:t>
      </w:r>
    </w:p>
    <w:p w14:paraId="09BB7B9C" w14:textId="488AF28A" w:rsidR="000E7A7E" w:rsidRPr="00DD1A0D" w:rsidRDefault="000E7A7E" w:rsidP="00BD0A05">
      <w:pPr>
        <w:numPr>
          <w:ilvl w:val="0"/>
          <w:numId w:val="33"/>
        </w:numPr>
        <w:shd w:val="clear" w:color="auto" w:fill="FFFFFF"/>
        <w:ind w:left="300"/>
        <w:rPr>
          <w:rFonts w:ascii="Calibri" w:hAnsi="Calibri" w:cs="Calibri"/>
          <w:color w:val="0B0C0C"/>
          <w:lang w:val="en-US" w:eastAsia="en-US"/>
        </w:rPr>
      </w:pPr>
      <w:r w:rsidRPr="00DD1A0D">
        <w:rPr>
          <w:rFonts w:ascii="Calibri" w:hAnsi="Calibri" w:cs="Calibri"/>
          <w:color w:val="0B0C0C"/>
          <w:lang w:val="en-US" w:eastAsia="en-US"/>
        </w:rPr>
        <w:t>Category 3 - levetiracetam, lacosamide, tiagabine, gabapentin, pregabalin, ethosuximide, vigabatrin</w:t>
      </w:r>
      <w:r w:rsidR="00BD0A05" w:rsidRPr="00DD1A0D">
        <w:rPr>
          <w:rFonts w:ascii="Calibri" w:hAnsi="Calibri" w:cs="Calibri"/>
          <w:color w:val="0B0C0C"/>
          <w:lang w:val="en-US" w:eastAsia="en-US"/>
        </w:rPr>
        <w:t>.</w:t>
      </w:r>
      <w:r w:rsidRPr="00DD1A0D">
        <w:rPr>
          <w:rFonts w:ascii="Calibri" w:hAnsi="Calibri" w:cs="Calibri"/>
          <w:color w:val="0B0C0C"/>
          <w:lang w:val="en-US" w:eastAsia="en-US"/>
        </w:rPr>
        <w:t xml:space="preserve">  For these drugs, it is usually unnecessary to ensure that patients are maintained on a specific manufacturer’s product unless there are specific reasons such as patient anxiety and risk of confusion or dosing errors</w:t>
      </w:r>
      <w:r w:rsidR="00BD0A05" w:rsidRPr="00DD1A0D">
        <w:rPr>
          <w:rFonts w:ascii="Calibri" w:hAnsi="Calibri" w:cs="Calibri"/>
          <w:color w:val="0B0C0C"/>
          <w:lang w:val="en-US" w:eastAsia="en-US"/>
        </w:rPr>
        <w:t>.</w:t>
      </w:r>
    </w:p>
    <w:p w14:paraId="0BD7E027" w14:textId="77777777" w:rsidR="005A5D02" w:rsidRPr="00DD1A0D" w:rsidRDefault="005A5D02" w:rsidP="0051610D">
      <w:pPr>
        <w:spacing w:before="60" w:after="60"/>
        <w:rPr>
          <w:rFonts w:ascii="Calibri" w:hAnsi="Calibri" w:cs="Calibri"/>
          <w:lang w:val="en-US"/>
        </w:rPr>
      </w:pPr>
    </w:p>
    <w:p w14:paraId="720D9BB5" w14:textId="77777777" w:rsidR="00657569" w:rsidRPr="00A7364C" w:rsidRDefault="00523B5D" w:rsidP="00F01116">
      <w:pPr>
        <w:spacing w:before="60" w:after="60"/>
        <w:jc w:val="both"/>
        <w:rPr>
          <w:rFonts w:ascii="Calibri" w:hAnsi="Calibri" w:cs="Arial"/>
          <w:b/>
          <w:bCs/>
        </w:rPr>
      </w:pPr>
      <w:r w:rsidRPr="00F01116">
        <w:rPr>
          <w:rFonts w:ascii="Calibri" w:hAnsi="Calibri"/>
        </w:rPr>
        <w:t xml:space="preserve"> </w:t>
      </w:r>
      <w:r w:rsidR="00657569" w:rsidRPr="00A7364C">
        <w:rPr>
          <w:rFonts w:ascii="Calibri" w:hAnsi="Calibri"/>
          <w:b/>
          <w:bCs/>
        </w:rPr>
        <w:t xml:space="preserve">NICE </w:t>
      </w:r>
      <w:r w:rsidR="00D95FC6" w:rsidRPr="00A7364C">
        <w:rPr>
          <w:rFonts w:ascii="Calibri" w:hAnsi="Calibri"/>
          <w:b/>
          <w:bCs/>
        </w:rPr>
        <w:t>(</w:t>
      </w:r>
      <w:r w:rsidR="00F87A2C" w:rsidRPr="00A7364C">
        <w:rPr>
          <w:rFonts w:ascii="Calibri" w:hAnsi="Calibri"/>
          <w:b/>
          <w:bCs/>
        </w:rPr>
        <w:t>NICE CG137</w:t>
      </w:r>
      <w:r w:rsidR="00D95FC6" w:rsidRPr="00A7364C">
        <w:rPr>
          <w:rFonts w:ascii="Calibri" w:hAnsi="Calibri"/>
          <w:b/>
          <w:bCs/>
        </w:rPr>
        <w:t xml:space="preserve">) </w:t>
      </w:r>
      <w:r w:rsidR="00657569" w:rsidRPr="00A7364C">
        <w:rPr>
          <w:rFonts w:ascii="Calibri" w:hAnsi="Calibri"/>
          <w:b/>
          <w:bCs/>
          <w:color w:val="000000"/>
        </w:rPr>
        <w:t xml:space="preserve">has published a </w:t>
      </w:r>
      <w:r w:rsidR="00657569" w:rsidRPr="00A7364C">
        <w:rPr>
          <w:rFonts w:ascii="Calibri" w:hAnsi="Calibri" w:cs="Arial"/>
          <w:b/>
          <w:bCs/>
          <w:color w:val="000000"/>
        </w:rPr>
        <w:t>statement</w:t>
      </w:r>
      <w:r w:rsidR="00657569" w:rsidRPr="00A7364C">
        <w:rPr>
          <w:rFonts w:ascii="Calibri" w:hAnsi="Calibri" w:cs="Arial"/>
          <w:b/>
          <w:bCs/>
          <w:color w:val="FF9900"/>
        </w:rPr>
        <w:t xml:space="preserve"> </w:t>
      </w:r>
      <w:r w:rsidR="00657569" w:rsidRPr="00A7364C">
        <w:rPr>
          <w:rFonts w:ascii="Calibri" w:hAnsi="Calibri" w:cs="Arial"/>
          <w:b/>
          <w:bCs/>
          <w:color w:val="000000"/>
        </w:rPr>
        <w:t>on AEDs</w:t>
      </w:r>
      <w:r w:rsidR="002B7AFC" w:rsidRPr="00A7364C">
        <w:rPr>
          <w:rFonts w:ascii="Calibri" w:hAnsi="Calibri" w:cs="Arial"/>
          <w:b/>
          <w:bCs/>
          <w:color w:val="000000"/>
        </w:rPr>
        <w:t xml:space="preserve"> which</w:t>
      </w:r>
      <w:r w:rsidR="00657569" w:rsidRPr="00A7364C">
        <w:rPr>
          <w:rFonts w:ascii="Calibri" w:hAnsi="Calibri" w:cs="Arial"/>
          <w:b/>
          <w:bCs/>
        </w:rPr>
        <w:t xml:space="preserve"> states</w:t>
      </w:r>
      <w:r w:rsidR="00AC0184" w:rsidRPr="00A7364C">
        <w:rPr>
          <w:rFonts w:ascii="Calibri" w:hAnsi="Calibri" w:cs="Arial"/>
          <w:b/>
          <w:bCs/>
        </w:rPr>
        <w:t>:</w:t>
      </w:r>
    </w:p>
    <w:p w14:paraId="4A3C475B" w14:textId="47BCD876" w:rsidR="00AD2ECF" w:rsidRDefault="008753D7" w:rsidP="00F01116">
      <w:pPr>
        <w:autoSpaceDE w:val="0"/>
        <w:autoSpaceDN w:val="0"/>
        <w:adjustRightInd w:val="0"/>
        <w:jc w:val="both"/>
        <w:rPr>
          <w:rFonts w:ascii="Calibri" w:hAnsi="Calibri" w:cs="Calibri"/>
        </w:rPr>
      </w:pPr>
      <w:r w:rsidRPr="00763112">
        <w:rPr>
          <w:rFonts w:ascii="Calibri" w:hAnsi="Calibri" w:cs="Calibri"/>
        </w:rPr>
        <w:t>“</w:t>
      </w:r>
      <w:r w:rsidR="00AD2ECF" w:rsidRPr="00763112">
        <w:rPr>
          <w:rFonts w:ascii="Calibri" w:hAnsi="Calibri" w:cs="Calibri"/>
        </w:rPr>
        <w:t>Consistent supply to the child, young person or adult with epilepsy of a particular manufacturer's AED preparation is recommended, unless the prescriber, in consul</w:t>
      </w:r>
      <w:r w:rsidR="00AD2ECF" w:rsidRPr="00763112">
        <w:rPr>
          <w:rFonts w:ascii="Calibri" w:hAnsi="Calibri" w:cs="Calibri"/>
        </w:rPr>
        <w:lastRenderedPageBreak/>
        <w:t>tation with the child, young person, adult and their family and/or carers as appropriate, considers that this is not a concern. Different preparations of some AEDs may vary in bioavailability or pharmacokinetic profiles and care needs to be taken to avoid reduced effect or excessive side effects. Consult the summary of product characteristics (SPC) and British national formulary (BNF) on the bioavailability and pharmacokinetic profiles of individual AEDs, but note that these do not give information on comparing bioavailability of different generic preparations</w:t>
      </w:r>
      <w:r w:rsidRPr="00763112">
        <w:rPr>
          <w:rFonts w:ascii="Calibri" w:hAnsi="Calibri" w:cs="Calibri"/>
        </w:rPr>
        <w:t xml:space="preserve">” </w:t>
      </w:r>
      <w:r w:rsidR="00AD2ECF" w:rsidRPr="00763112">
        <w:rPr>
          <w:rFonts w:ascii="Calibri" w:hAnsi="Calibri" w:cs="Calibri"/>
        </w:rPr>
        <w:t>[</w:t>
      </w:r>
      <w:r w:rsidR="00140F3A" w:rsidRPr="00763112">
        <w:rPr>
          <w:rFonts w:ascii="Calibri" w:hAnsi="Calibri" w:cs="Calibri"/>
        </w:rPr>
        <w:t>NICE CG137</w:t>
      </w:r>
    </w:p>
    <w:p w14:paraId="32C8FD69" w14:textId="66CFE35E" w:rsidR="00925812" w:rsidRDefault="00925812" w:rsidP="00F01116">
      <w:pPr>
        <w:autoSpaceDE w:val="0"/>
        <w:autoSpaceDN w:val="0"/>
        <w:adjustRightInd w:val="0"/>
        <w:jc w:val="both"/>
        <w:rPr>
          <w:rFonts w:ascii="Calibri" w:hAnsi="Calibri" w:cs="Calibri"/>
        </w:rPr>
      </w:pPr>
    </w:p>
    <w:p w14:paraId="50526C02" w14:textId="77777777" w:rsidR="007D325D" w:rsidRDefault="007D325D" w:rsidP="00F01116">
      <w:pPr>
        <w:autoSpaceDE w:val="0"/>
        <w:autoSpaceDN w:val="0"/>
        <w:adjustRightInd w:val="0"/>
        <w:jc w:val="both"/>
        <w:rPr>
          <w:rFonts w:ascii="Calibri" w:hAnsi="Calibri" w:cs="Calibri"/>
        </w:rPr>
      </w:pPr>
    </w:p>
    <w:p w14:paraId="77383A68" w14:textId="050660EC" w:rsidR="00DD52FF" w:rsidRDefault="001D0DA6" w:rsidP="00DD52FF">
      <w:pPr>
        <w:rPr>
          <w:rFonts w:ascii="Calibri" w:hAnsi="Calibri" w:cs="Arial"/>
          <w:b/>
        </w:rPr>
      </w:pPr>
      <w:r w:rsidRPr="007D325D">
        <w:rPr>
          <w:rFonts w:ascii="Calibri" w:hAnsi="Calibri" w:cs="Arial"/>
          <w:b/>
        </w:rPr>
        <w:t>Shared decision-making and adherence</w:t>
      </w:r>
    </w:p>
    <w:p w14:paraId="60C0E931" w14:textId="77777777" w:rsidR="007D325D" w:rsidRPr="007D325D" w:rsidRDefault="007D325D" w:rsidP="00DD52FF">
      <w:pPr>
        <w:rPr>
          <w:rFonts w:ascii="Calibri" w:hAnsi="Calibri" w:cs="Arial"/>
          <w:b/>
        </w:rPr>
      </w:pPr>
    </w:p>
    <w:p w14:paraId="4325A716" w14:textId="60A3068F" w:rsidR="00DD52FF" w:rsidRPr="00763112" w:rsidRDefault="00DD52FF" w:rsidP="00DD52FF">
      <w:pPr>
        <w:autoSpaceDE w:val="0"/>
        <w:autoSpaceDN w:val="0"/>
        <w:adjustRightInd w:val="0"/>
        <w:jc w:val="both"/>
        <w:rPr>
          <w:rFonts w:ascii="Calibri" w:hAnsi="Calibri" w:cs="Calibri"/>
          <w:color w:val="000000"/>
        </w:rPr>
      </w:pPr>
      <w:r>
        <w:rPr>
          <w:rFonts w:ascii="Calibri" w:hAnsi="Calibri"/>
        </w:rPr>
        <w:t>While the MHRA</w:t>
      </w:r>
      <w:r w:rsidRPr="000044F0">
        <w:rPr>
          <w:rFonts w:ascii="Calibri" w:hAnsi="Calibri"/>
        </w:rPr>
        <w:t xml:space="preserve"> recommend</w:t>
      </w:r>
      <w:r>
        <w:rPr>
          <w:rFonts w:ascii="Calibri" w:hAnsi="Calibri"/>
        </w:rPr>
        <w:t>s</w:t>
      </w:r>
      <w:r w:rsidRPr="000044F0">
        <w:rPr>
          <w:rFonts w:ascii="Calibri" w:hAnsi="Calibri"/>
        </w:rPr>
        <w:t xml:space="preserve"> prescribing certain AEDs by brand. (</w:t>
      </w:r>
      <w:r>
        <w:rPr>
          <w:rFonts w:ascii="Calibri" w:hAnsi="Calibri"/>
        </w:rPr>
        <w:t>MHRA 2017</w:t>
      </w:r>
      <w:r w:rsidRPr="000044F0">
        <w:rPr>
          <w:rFonts w:ascii="Calibri" w:hAnsi="Calibri"/>
        </w:rPr>
        <w:t>)</w:t>
      </w:r>
      <w:r w:rsidRPr="00F01116">
        <w:rPr>
          <w:rFonts w:ascii="Calibri" w:hAnsi="Calibri"/>
        </w:rPr>
        <w:t xml:space="preserve"> In practice this is difficult and there is evidence that primary care epilepsy patients are switched from one generic or branded product to another without consultation more frequently than expected. (Rawnsley 2009, Wilner </w:t>
      </w:r>
      <w:r w:rsidRPr="00F01116">
        <w:rPr>
          <w:rFonts w:ascii="Calibri" w:hAnsi="Calibri" w:cs="AdvPSTim"/>
        </w:rPr>
        <w:t xml:space="preserve">2002) This may be as a result of many factors including a lack of awareness or information available to patients, carers, prescribers or community pharmacists.  A survey of readers of Epilepsy Action’s membership magazine ‘Epilepsy Today’ found that 36% of epilepsy patients who were given a different manufacturer’s version of their AED refused to accept the product.  </w:t>
      </w:r>
      <w:r w:rsidRPr="00F01116">
        <w:rPr>
          <w:rFonts w:ascii="Calibri" w:hAnsi="Calibri"/>
        </w:rPr>
        <w:t xml:space="preserve">The importance of shared decision-making is widely acknowledged and essential for improved adherence to medicines </w:t>
      </w:r>
      <w:r w:rsidRPr="00864BF1">
        <w:rPr>
          <w:rFonts w:ascii="Calibri" w:hAnsi="Calibri"/>
        </w:rPr>
        <w:t>(DoH 2010).</w:t>
      </w:r>
      <w:r w:rsidRPr="00F01116">
        <w:rPr>
          <w:rFonts w:ascii="Calibri" w:hAnsi="Calibri"/>
        </w:rPr>
        <w:t xml:space="preserve"> It is thought that 30 – 50% of medicines for long term conditions are not taken by </w:t>
      </w:r>
      <w:r w:rsidRPr="00763112">
        <w:rPr>
          <w:rFonts w:ascii="Calibri" w:hAnsi="Calibri" w:cs="Calibri"/>
        </w:rPr>
        <w:t xml:space="preserve">patients as recommended (NICE CG76), and studies investigating AED adherence have demonstrated similar rates of compliance (Hovinga 2008, </w:t>
      </w:r>
      <w:r w:rsidRPr="00763112">
        <w:rPr>
          <w:rFonts w:ascii="Calibri" w:hAnsi="Calibri" w:cs="Calibri"/>
          <w:color w:val="000000"/>
        </w:rPr>
        <w:t>Ettinger 2009, Jones 2006)</w:t>
      </w:r>
      <w:r w:rsidRPr="00763112">
        <w:rPr>
          <w:rFonts w:ascii="Calibri" w:hAnsi="Calibri" w:cs="Calibri"/>
        </w:rPr>
        <w:t xml:space="preserve"> with some finding that non-adherent patients were significantly more likely to  have seizures than adherent patients (Hovinga 2008, Jones 2006). </w:t>
      </w:r>
      <w:r w:rsidR="002B28B0" w:rsidRPr="00763112">
        <w:rPr>
          <w:rFonts w:ascii="Calibri" w:hAnsi="Calibri" w:cs="Calibri"/>
        </w:rPr>
        <w:t>Nocebo effects are also receiving increased attention</w:t>
      </w:r>
      <w:r w:rsidR="000360C5" w:rsidRPr="00763112">
        <w:rPr>
          <w:rFonts w:ascii="Calibri" w:hAnsi="Calibri" w:cs="Calibri"/>
        </w:rPr>
        <w:t xml:space="preserve"> for </w:t>
      </w:r>
      <w:r w:rsidR="008B20E4" w:rsidRPr="00763112">
        <w:rPr>
          <w:rFonts w:ascii="Calibri" w:hAnsi="Calibri" w:cs="Calibri"/>
        </w:rPr>
        <w:t xml:space="preserve">negative </w:t>
      </w:r>
      <w:r w:rsidR="000360C5" w:rsidRPr="00763112">
        <w:rPr>
          <w:rFonts w:ascii="Calibri" w:hAnsi="Calibri" w:cs="Calibri"/>
        </w:rPr>
        <w:t>effects on adherence.</w:t>
      </w:r>
      <w:r w:rsidR="00A10759" w:rsidRPr="00763112">
        <w:rPr>
          <w:rFonts w:ascii="Calibri" w:hAnsi="Calibri" w:cs="Calibri"/>
        </w:rPr>
        <w:t xml:space="preserve"> Nocebo effect is</w:t>
      </w:r>
      <w:r w:rsidR="002B28B0" w:rsidRPr="00763112">
        <w:rPr>
          <w:rFonts w:ascii="Calibri" w:hAnsi="Calibri" w:cs="Calibri"/>
        </w:rPr>
        <w:t xml:space="preserve"> where </w:t>
      </w:r>
      <w:r w:rsidR="00044C21" w:rsidRPr="00763112">
        <w:rPr>
          <w:rFonts w:ascii="Calibri" w:hAnsi="Calibri" w:cs="Calibri"/>
        </w:rPr>
        <w:t>patients’ negative expectation</w:t>
      </w:r>
      <w:r w:rsidR="00374D85" w:rsidRPr="00763112">
        <w:rPr>
          <w:rFonts w:ascii="Calibri" w:hAnsi="Calibri" w:cs="Calibri"/>
        </w:rPr>
        <w:t xml:space="preserve"> that a</w:t>
      </w:r>
      <w:r w:rsidR="00044C21" w:rsidRPr="00763112">
        <w:rPr>
          <w:rFonts w:ascii="Calibri" w:hAnsi="Calibri" w:cs="Calibri"/>
        </w:rPr>
        <w:t xml:space="preserve"> drug (e.g. generic)</w:t>
      </w:r>
      <w:r w:rsidR="00374D85" w:rsidRPr="00763112">
        <w:rPr>
          <w:rFonts w:ascii="Calibri" w:hAnsi="Calibri" w:cs="Calibri"/>
        </w:rPr>
        <w:t xml:space="preserve"> will cause harm instead of benefit</w:t>
      </w:r>
      <w:r w:rsidR="00B256D4" w:rsidRPr="00763112">
        <w:rPr>
          <w:rFonts w:ascii="Calibri" w:hAnsi="Calibri" w:cs="Calibri"/>
        </w:rPr>
        <w:t xml:space="preserve"> </w:t>
      </w:r>
      <w:r w:rsidR="00047999" w:rsidRPr="00763112">
        <w:rPr>
          <w:rFonts w:ascii="Calibri" w:hAnsi="Calibri" w:cs="Calibri"/>
        </w:rPr>
        <w:t>will lead to higher rates of discontinuation or reports of adverse effects.  In addition</w:t>
      </w:r>
      <w:r w:rsidR="0007488D">
        <w:rPr>
          <w:rFonts w:ascii="Calibri" w:hAnsi="Calibri" w:cs="Calibri"/>
        </w:rPr>
        <w:t>,</w:t>
      </w:r>
      <w:r w:rsidR="00047999" w:rsidRPr="00763112">
        <w:rPr>
          <w:rFonts w:ascii="Calibri" w:hAnsi="Calibri" w:cs="Calibri"/>
        </w:rPr>
        <w:t xml:space="preserve"> </w:t>
      </w:r>
      <w:r w:rsidR="00B256D4" w:rsidRPr="00763112">
        <w:rPr>
          <w:rFonts w:ascii="Calibri" w:hAnsi="Calibri" w:cs="Calibri"/>
        </w:rPr>
        <w:t xml:space="preserve">nocebo response </w:t>
      </w:r>
      <w:r w:rsidR="00047999" w:rsidRPr="00763112">
        <w:rPr>
          <w:rFonts w:ascii="Calibri" w:hAnsi="Calibri" w:cs="Calibri"/>
        </w:rPr>
        <w:t xml:space="preserve">is </w:t>
      </w:r>
      <w:r w:rsidR="00B256D4" w:rsidRPr="00763112">
        <w:rPr>
          <w:rFonts w:ascii="Calibri" w:hAnsi="Calibri" w:cs="Calibri"/>
        </w:rPr>
        <w:t>where patient</w:t>
      </w:r>
      <w:r w:rsidR="002E25FE" w:rsidRPr="00763112">
        <w:rPr>
          <w:rFonts w:ascii="Calibri" w:hAnsi="Calibri" w:cs="Calibri"/>
        </w:rPr>
        <w:t xml:space="preserve">s receiving placebo report high rates of adverse effects. </w:t>
      </w:r>
      <w:r w:rsidR="00B219AB" w:rsidRPr="00763112">
        <w:rPr>
          <w:rFonts w:ascii="Calibri" w:hAnsi="Calibri" w:cs="Calibri"/>
        </w:rPr>
        <w:t>A meta-analysis of 4</w:t>
      </w:r>
      <w:r w:rsidR="00871C0B" w:rsidRPr="00763112">
        <w:rPr>
          <w:rFonts w:ascii="Calibri" w:hAnsi="Calibri" w:cs="Calibri"/>
        </w:rPr>
        <w:t xml:space="preserve"> epilepsy </w:t>
      </w:r>
      <w:r w:rsidR="00B219AB" w:rsidRPr="00763112">
        <w:rPr>
          <w:rFonts w:ascii="Calibri" w:hAnsi="Calibri" w:cs="Calibri"/>
        </w:rPr>
        <w:t>RCTs</w:t>
      </w:r>
      <w:r w:rsidR="00871C0B" w:rsidRPr="00763112">
        <w:rPr>
          <w:rFonts w:ascii="Calibri" w:hAnsi="Calibri" w:cs="Calibri"/>
        </w:rPr>
        <w:t xml:space="preserve"> found </w:t>
      </w:r>
      <w:r w:rsidR="00E46693" w:rsidRPr="00763112">
        <w:rPr>
          <w:rFonts w:ascii="Calibri" w:hAnsi="Calibri" w:cs="Calibri"/>
          <w:color w:val="212121"/>
          <w:shd w:val="clear" w:color="auto" w:fill="FFFFFF"/>
        </w:rPr>
        <w:t xml:space="preserve">60.8% </w:t>
      </w:r>
      <w:r w:rsidR="00B219AB" w:rsidRPr="00763112">
        <w:rPr>
          <w:rFonts w:ascii="Calibri" w:hAnsi="Calibri" w:cs="Calibri"/>
          <w:color w:val="212121"/>
          <w:shd w:val="clear" w:color="auto" w:fill="FFFFFF"/>
        </w:rPr>
        <w:t xml:space="preserve">placebo-treated patients reported at least one </w:t>
      </w:r>
      <w:r w:rsidR="00E46693" w:rsidRPr="00763112">
        <w:rPr>
          <w:rFonts w:ascii="Calibri" w:hAnsi="Calibri" w:cs="Calibri"/>
          <w:color w:val="212121"/>
          <w:shd w:val="clear" w:color="auto" w:fill="FFFFFF"/>
        </w:rPr>
        <w:t>adverse effect</w:t>
      </w:r>
      <w:r w:rsidR="00B219AB" w:rsidRPr="00763112">
        <w:rPr>
          <w:rFonts w:ascii="Calibri" w:hAnsi="Calibri" w:cs="Calibri"/>
          <w:color w:val="212121"/>
          <w:shd w:val="clear" w:color="auto" w:fill="FFFFFF"/>
        </w:rPr>
        <w:t xml:space="preserve"> and 4.0% discontinued placebo treatment because of </w:t>
      </w:r>
      <w:r w:rsidR="00E46693" w:rsidRPr="00763112">
        <w:rPr>
          <w:rFonts w:ascii="Calibri" w:hAnsi="Calibri" w:cs="Calibri"/>
          <w:color w:val="212121"/>
          <w:shd w:val="clear" w:color="auto" w:fill="FFFFFF"/>
        </w:rPr>
        <w:t>adverse effect</w:t>
      </w:r>
      <w:r w:rsidR="00B219AB" w:rsidRPr="00763112">
        <w:rPr>
          <w:rFonts w:ascii="Calibri" w:hAnsi="Calibri" w:cs="Calibri"/>
          <w:color w:val="212121"/>
          <w:shd w:val="clear" w:color="auto" w:fill="FFFFFF"/>
        </w:rPr>
        <w:t xml:space="preserve">s. All patients participating in the epilepsy RCTs reported similar </w:t>
      </w:r>
      <w:r w:rsidR="005805CB" w:rsidRPr="00763112">
        <w:rPr>
          <w:rFonts w:ascii="Calibri" w:hAnsi="Calibri" w:cs="Calibri"/>
          <w:color w:val="212121"/>
          <w:shd w:val="clear" w:color="auto" w:fill="FFFFFF"/>
        </w:rPr>
        <w:t>adverse effect</w:t>
      </w:r>
      <w:r w:rsidR="00B219AB" w:rsidRPr="00763112">
        <w:rPr>
          <w:rFonts w:ascii="Calibri" w:hAnsi="Calibri" w:cs="Calibri"/>
          <w:color w:val="212121"/>
          <w:shd w:val="clear" w:color="auto" w:fill="FFFFFF"/>
        </w:rPr>
        <w:t>s independently of the study arm they belonged.</w:t>
      </w:r>
      <w:r w:rsidR="0007488D">
        <w:rPr>
          <w:rFonts w:ascii="Calibri" w:hAnsi="Calibri" w:cs="Calibri"/>
          <w:color w:val="212121"/>
          <w:shd w:val="clear" w:color="auto" w:fill="FFFFFF"/>
        </w:rPr>
        <w:t xml:space="preserve"> </w:t>
      </w:r>
      <w:r w:rsidR="005805CB" w:rsidRPr="00763112">
        <w:rPr>
          <w:rFonts w:ascii="Calibri" w:hAnsi="Calibri" w:cs="Calibri"/>
          <w:color w:val="212121"/>
          <w:shd w:val="clear" w:color="auto" w:fill="FFFFFF"/>
        </w:rPr>
        <w:t>(Zis 2017)</w:t>
      </w:r>
      <w:r w:rsidR="009E74BA" w:rsidRPr="00763112">
        <w:rPr>
          <w:rFonts w:ascii="Calibri" w:hAnsi="Calibri" w:cs="Calibri"/>
          <w:color w:val="212121"/>
          <w:shd w:val="clear" w:color="auto" w:fill="FFFFFF"/>
        </w:rPr>
        <w:t xml:space="preserve"> </w:t>
      </w:r>
      <w:r w:rsidRPr="00763112">
        <w:rPr>
          <w:rFonts w:ascii="Calibri" w:hAnsi="Calibri" w:cs="Calibri"/>
          <w:color w:val="000000"/>
        </w:rPr>
        <w:t xml:space="preserve">Therefore any switching between brand and generic medicines must be in agreement with patients.  </w:t>
      </w:r>
    </w:p>
    <w:p w14:paraId="2962CB6D" w14:textId="4A4F6A67" w:rsidR="007F7767" w:rsidRPr="00763112" w:rsidRDefault="007F7767" w:rsidP="00F01116">
      <w:pPr>
        <w:autoSpaceDE w:val="0"/>
        <w:autoSpaceDN w:val="0"/>
        <w:adjustRightInd w:val="0"/>
        <w:jc w:val="both"/>
        <w:rPr>
          <w:rFonts w:ascii="Calibri" w:hAnsi="Calibri" w:cs="Calibri"/>
          <w:color w:val="000000"/>
        </w:rPr>
      </w:pPr>
    </w:p>
    <w:p w14:paraId="4E22E2D2" w14:textId="63BEE420" w:rsidR="007C7D65" w:rsidRDefault="007C7D65" w:rsidP="007C7D65">
      <w:pPr>
        <w:rPr>
          <w:rFonts w:ascii="Calibri" w:hAnsi="Calibri"/>
          <w:b/>
        </w:rPr>
      </w:pPr>
      <w:r w:rsidRPr="007D325D">
        <w:rPr>
          <w:rFonts w:ascii="Calibri" w:hAnsi="Calibri"/>
          <w:b/>
        </w:rPr>
        <w:t>Bioequivalence</w:t>
      </w:r>
    </w:p>
    <w:p w14:paraId="2D428BF9" w14:textId="77777777" w:rsidR="007D325D" w:rsidRPr="007D325D" w:rsidRDefault="007D325D" w:rsidP="007C7D65">
      <w:pPr>
        <w:rPr>
          <w:rFonts w:ascii="Calibri" w:hAnsi="Calibri"/>
          <w:b/>
        </w:rPr>
      </w:pPr>
    </w:p>
    <w:p w14:paraId="2B648468" w14:textId="77777777" w:rsidR="007C7D65" w:rsidRPr="00F01116" w:rsidRDefault="007C7D65" w:rsidP="00F01116">
      <w:pPr>
        <w:jc w:val="both"/>
        <w:rPr>
          <w:rFonts w:ascii="Calibri" w:hAnsi="Calibri"/>
        </w:rPr>
      </w:pPr>
      <w:r w:rsidRPr="00F01116">
        <w:rPr>
          <w:rFonts w:ascii="Calibri" w:hAnsi="Calibri"/>
        </w:rPr>
        <w:t xml:space="preserve">Generic drugs are required to be bioequivalent to the reference branded formulation. </w:t>
      </w:r>
      <w:r w:rsidR="003224FA" w:rsidRPr="00F01116">
        <w:rPr>
          <w:rFonts w:ascii="Calibri" w:hAnsi="Calibri"/>
        </w:rPr>
        <w:t>Bioequiva</w:t>
      </w:r>
      <w:r w:rsidR="00D21545" w:rsidRPr="00F01116">
        <w:rPr>
          <w:rFonts w:ascii="Calibri" w:hAnsi="Calibri"/>
        </w:rPr>
        <w:t>lence tests are carried out in</w:t>
      </w:r>
      <w:r w:rsidR="003224FA" w:rsidRPr="00F01116">
        <w:rPr>
          <w:rFonts w:ascii="Calibri" w:hAnsi="Calibri"/>
        </w:rPr>
        <w:t xml:space="preserve"> small sample</w:t>
      </w:r>
      <w:r w:rsidR="00D21545" w:rsidRPr="00F01116">
        <w:rPr>
          <w:rFonts w:ascii="Calibri" w:hAnsi="Calibri"/>
        </w:rPr>
        <w:t>s</w:t>
      </w:r>
      <w:r w:rsidR="003224FA" w:rsidRPr="00F01116">
        <w:rPr>
          <w:rFonts w:ascii="Calibri" w:hAnsi="Calibri"/>
        </w:rPr>
        <w:t xml:space="preserve"> of healthy volunteers.  </w:t>
      </w:r>
      <w:r w:rsidRPr="00F01116">
        <w:rPr>
          <w:rFonts w:ascii="Calibri" w:hAnsi="Calibri"/>
        </w:rPr>
        <w:t>The</w:t>
      </w:r>
      <w:r w:rsidR="006F51BE" w:rsidRPr="00F01116">
        <w:rPr>
          <w:rFonts w:ascii="Calibri" w:hAnsi="Calibri"/>
        </w:rPr>
        <w:t xml:space="preserve"> European</w:t>
      </w:r>
      <w:r w:rsidRPr="00F01116">
        <w:rPr>
          <w:rFonts w:ascii="Calibri" w:hAnsi="Calibri"/>
        </w:rPr>
        <w:t xml:space="preserve"> </w:t>
      </w:r>
      <w:r w:rsidR="006F51BE" w:rsidRPr="00F01116">
        <w:rPr>
          <w:rFonts w:ascii="Calibri" w:hAnsi="Calibri"/>
        </w:rPr>
        <w:t>Medicine Agency (</w:t>
      </w:r>
      <w:r w:rsidRPr="00F01116">
        <w:rPr>
          <w:rFonts w:ascii="Calibri" w:hAnsi="Calibri"/>
        </w:rPr>
        <w:t>EMEA</w:t>
      </w:r>
      <w:r w:rsidR="006F51BE" w:rsidRPr="00F01116">
        <w:rPr>
          <w:rFonts w:ascii="Calibri" w:hAnsi="Calibri"/>
        </w:rPr>
        <w:t>)</w:t>
      </w:r>
      <w:r w:rsidRPr="00F01116">
        <w:rPr>
          <w:rFonts w:ascii="Calibri" w:hAnsi="Calibri"/>
        </w:rPr>
        <w:t xml:space="preserve"> criteria for bioequivalence </w:t>
      </w:r>
      <w:r w:rsidR="002C7F0B" w:rsidRPr="00F01116">
        <w:rPr>
          <w:rFonts w:ascii="Calibri" w:hAnsi="Calibri"/>
        </w:rPr>
        <w:t xml:space="preserve">requires </w:t>
      </w:r>
      <w:r w:rsidR="002777D3" w:rsidRPr="00F01116">
        <w:rPr>
          <w:rFonts w:ascii="Calibri" w:hAnsi="Calibri"/>
        </w:rPr>
        <w:t xml:space="preserve">the </w:t>
      </w:r>
      <w:r w:rsidR="007841F7" w:rsidRPr="00F01116">
        <w:rPr>
          <w:rFonts w:ascii="Calibri" w:hAnsi="Calibri"/>
        </w:rPr>
        <w:t xml:space="preserve">upper and lower </w:t>
      </w:r>
      <w:r w:rsidR="002777D3" w:rsidRPr="00F01116">
        <w:rPr>
          <w:rFonts w:ascii="Calibri" w:hAnsi="Calibri"/>
        </w:rPr>
        <w:t xml:space="preserve">limits of 90% confidence intervals (CI) for </w:t>
      </w:r>
      <w:r w:rsidR="002C7F0B" w:rsidRPr="00F01116">
        <w:rPr>
          <w:rFonts w:ascii="Calibri" w:hAnsi="Calibri"/>
        </w:rPr>
        <w:t>a generic drug</w:t>
      </w:r>
      <w:r w:rsidR="002777D3" w:rsidRPr="00F01116">
        <w:rPr>
          <w:rFonts w:ascii="Calibri" w:hAnsi="Calibri"/>
        </w:rPr>
        <w:t xml:space="preserve">’s </w:t>
      </w:r>
      <w:r w:rsidRPr="00F01116">
        <w:rPr>
          <w:rFonts w:ascii="Calibri" w:hAnsi="Calibri"/>
        </w:rPr>
        <w:t>ar</w:t>
      </w:r>
      <w:r w:rsidR="006F51BE" w:rsidRPr="00F01116">
        <w:rPr>
          <w:rFonts w:ascii="Calibri" w:hAnsi="Calibri"/>
        </w:rPr>
        <w:t>ea under the curve (AUC) and</w:t>
      </w:r>
      <w:r w:rsidRPr="00F01116">
        <w:rPr>
          <w:rFonts w:ascii="Calibri" w:hAnsi="Calibri"/>
        </w:rPr>
        <w:t xml:space="preserve"> </w:t>
      </w:r>
      <w:r w:rsidR="006F51BE" w:rsidRPr="00F01116">
        <w:rPr>
          <w:rFonts w:ascii="Calibri" w:hAnsi="Calibri"/>
        </w:rPr>
        <w:t>maximum concentration (Cmax)</w:t>
      </w:r>
      <w:r w:rsidRPr="00F01116">
        <w:rPr>
          <w:rFonts w:ascii="Calibri" w:hAnsi="Calibri"/>
        </w:rPr>
        <w:t xml:space="preserve"> </w:t>
      </w:r>
      <w:r w:rsidR="002777D3" w:rsidRPr="00F01116">
        <w:rPr>
          <w:rFonts w:ascii="Calibri" w:hAnsi="Calibri"/>
        </w:rPr>
        <w:t xml:space="preserve">to be </w:t>
      </w:r>
      <w:r w:rsidRPr="00F01116">
        <w:rPr>
          <w:rFonts w:ascii="Calibri" w:hAnsi="Calibri"/>
        </w:rPr>
        <w:t>within 80% to 125% of the reference branded formulation</w:t>
      </w:r>
      <w:r w:rsidR="002777D3" w:rsidRPr="00F01116">
        <w:rPr>
          <w:rFonts w:ascii="Calibri" w:hAnsi="Calibri"/>
        </w:rPr>
        <w:t xml:space="preserve">. </w:t>
      </w:r>
      <w:r w:rsidR="007841F7" w:rsidRPr="00F01116">
        <w:rPr>
          <w:rFonts w:ascii="Calibri" w:hAnsi="Calibri"/>
        </w:rPr>
        <w:t xml:space="preserve"> To fit the 90% confidence interval within these limits, the generic drug and the brand drug have to be almost identical and the only </w:t>
      </w:r>
      <w:r w:rsidR="007841F7" w:rsidRPr="00F01116">
        <w:rPr>
          <w:rFonts w:ascii="Calibri" w:hAnsi="Calibri"/>
        </w:rPr>
        <w:lastRenderedPageBreak/>
        <w:t>theoretical exception is if the generic drug formulation has a markedly lower variability than the brand formulation.</w:t>
      </w:r>
      <w:r w:rsidR="002777D3" w:rsidRPr="00F01116">
        <w:rPr>
          <w:rFonts w:ascii="Calibri" w:hAnsi="Calibri"/>
        </w:rPr>
        <w:t xml:space="preserve"> </w:t>
      </w:r>
      <w:r w:rsidR="007841F7" w:rsidRPr="00F01116">
        <w:rPr>
          <w:rFonts w:ascii="Calibri" w:hAnsi="Calibri"/>
        </w:rPr>
        <w:t>However, c</w:t>
      </w:r>
      <w:r w:rsidRPr="00F01116">
        <w:rPr>
          <w:rFonts w:ascii="Calibri" w:hAnsi="Calibri"/>
        </w:rPr>
        <w:t xml:space="preserve">oncern has been raised that generic AEDs which are at the outer limits of these ranges may cause problems in </w:t>
      </w:r>
      <w:r w:rsidR="00347028" w:rsidRPr="00F01116">
        <w:rPr>
          <w:rFonts w:ascii="Calibri" w:hAnsi="Calibri"/>
        </w:rPr>
        <w:t xml:space="preserve">some </w:t>
      </w:r>
      <w:r w:rsidRPr="00F01116">
        <w:rPr>
          <w:rFonts w:ascii="Calibri" w:hAnsi="Calibri"/>
        </w:rPr>
        <w:t>patients who are switched from branded drugs or from other generic drugs at the opposite end of the range.</w:t>
      </w:r>
      <w:r w:rsidR="00DB2BBC" w:rsidRPr="00F01116">
        <w:rPr>
          <w:rFonts w:ascii="Calibri" w:hAnsi="Calibri"/>
        </w:rPr>
        <w:t xml:space="preserve"> (</w:t>
      </w:r>
      <w:r w:rsidR="00DB2BBC" w:rsidRPr="002368B2">
        <w:rPr>
          <w:rFonts w:ascii="Calibri" w:hAnsi="Calibri"/>
        </w:rPr>
        <w:t>EMEA</w:t>
      </w:r>
      <w:r w:rsidR="00F673D8" w:rsidRPr="002368B2">
        <w:rPr>
          <w:rFonts w:ascii="Calibri" w:hAnsi="Calibri"/>
        </w:rPr>
        <w:t xml:space="preserve"> 2010,</w:t>
      </w:r>
      <w:r w:rsidR="00DB2BBC" w:rsidRPr="00F01116">
        <w:rPr>
          <w:rFonts w:ascii="Calibri" w:hAnsi="Calibri"/>
        </w:rPr>
        <w:t xml:space="preserve"> Peterson</w:t>
      </w:r>
      <w:r w:rsidR="00F673D8" w:rsidRPr="00F01116">
        <w:rPr>
          <w:rFonts w:ascii="Calibri" w:hAnsi="Calibri"/>
        </w:rPr>
        <w:t xml:space="preserve"> 2011</w:t>
      </w:r>
      <w:r w:rsidR="00DB2BBC" w:rsidRPr="00F01116">
        <w:rPr>
          <w:rFonts w:ascii="Calibri" w:hAnsi="Calibri"/>
        </w:rPr>
        <w:t>)</w:t>
      </w:r>
    </w:p>
    <w:p w14:paraId="4A3855C2" w14:textId="623A5C33" w:rsidR="009843E2" w:rsidRDefault="009843E2" w:rsidP="00F01116">
      <w:pPr>
        <w:jc w:val="both"/>
        <w:rPr>
          <w:rFonts w:ascii="Calibri" w:hAnsi="Calibri"/>
        </w:rPr>
      </w:pPr>
      <w:r w:rsidRPr="00F01116">
        <w:rPr>
          <w:rFonts w:ascii="Calibri" w:hAnsi="Calibri"/>
        </w:rPr>
        <w:t xml:space="preserve">The EMEA has developed tighter criteria for drugs with a narrow therapeutic index and recommend these drugs have AUC and Cmax </w:t>
      </w:r>
      <w:r w:rsidR="002777D3" w:rsidRPr="00F01116">
        <w:rPr>
          <w:rFonts w:ascii="Calibri" w:hAnsi="Calibri"/>
        </w:rPr>
        <w:t xml:space="preserve">confidence intervals </w:t>
      </w:r>
      <w:r w:rsidRPr="00F01116">
        <w:rPr>
          <w:rFonts w:ascii="Calibri" w:hAnsi="Calibri"/>
        </w:rPr>
        <w:t>within 90.00 to 111.11% however they have not requested any AEDs are tested with these limits yet.</w:t>
      </w:r>
      <w:r w:rsidR="00F673D8" w:rsidRPr="00F01116">
        <w:rPr>
          <w:rFonts w:ascii="Calibri" w:hAnsi="Calibri"/>
        </w:rPr>
        <w:t xml:space="preserve"> </w:t>
      </w:r>
      <w:r w:rsidR="007F7767" w:rsidRPr="00F01116">
        <w:rPr>
          <w:rFonts w:ascii="Calibri" w:hAnsi="Calibri"/>
        </w:rPr>
        <w:t>(EMEA</w:t>
      </w:r>
      <w:r w:rsidR="00F673D8" w:rsidRPr="00F01116">
        <w:rPr>
          <w:rFonts w:ascii="Calibri" w:hAnsi="Calibri"/>
        </w:rPr>
        <w:t xml:space="preserve"> 2010</w:t>
      </w:r>
      <w:r w:rsidR="007F7767" w:rsidRPr="00F01116">
        <w:rPr>
          <w:rFonts w:ascii="Calibri" w:hAnsi="Calibri"/>
        </w:rPr>
        <w:t>)</w:t>
      </w:r>
      <w:r w:rsidRPr="00F01116">
        <w:rPr>
          <w:rFonts w:ascii="Calibri" w:hAnsi="Calibri"/>
        </w:rPr>
        <w:t xml:space="preserve">  </w:t>
      </w:r>
    </w:p>
    <w:p w14:paraId="73EFE99D" w14:textId="54BE3C25" w:rsidR="0010682A" w:rsidRDefault="0010682A" w:rsidP="00F01116">
      <w:pPr>
        <w:jc w:val="both"/>
        <w:rPr>
          <w:rFonts w:ascii="Calibri" w:hAnsi="Calibri"/>
        </w:rPr>
      </w:pPr>
    </w:p>
    <w:p w14:paraId="21163D7F" w14:textId="6D41F3BF" w:rsidR="006D1F51" w:rsidRDefault="006D1F51" w:rsidP="00F01116">
      <w:pPr>
        <w:jc w:val="both"/>
        <w:rPr>
          <w:rFonts w:ascii="Calibri" w:hAnsi="Calibri"/>
        </w:rPr>
      </w:pPr>
    </w:p>
    <w:p w14:paraId="1630D296" w14:textId="6A0B830E" w:rsidR="006D1F51" w:rsidRDefault="006D1F51" w:rsidP="00F01116">
      <w:pPr>
        <w:jc w:val="both"/>
        <w:rPr>
          <w:rFonts w:ascii="Calibri" w:hAnsi="Calibri"/>
        </w:rPr>
      </w:pPr>
    </w:p>
    <w:p w14:paraId="56AFA3A0" w14:textId="77777777" w:rsidR="006D1F51" w:rsidRPr="00F01116" w:rsidRDefault="006D1F51" w:rsidP="00F01116">
      <w:pPr>
        <w:jc w:val="both"/>
        <w:rPr>
          <w:rFonts w:ascii="Calibri" w:hAnsi="Calibri"/>
        </w:rPr>
      </w:pPr>
    </w:p>
    <w:p w14:paraId="6E3ED45B" w14:textId="4A7FB52C" w:rsidR="00AA08CF" w:rsidRDefault="00AA08CF" w:rsidP="00AA08CF">
      <w:pPr>
        <w:rPr>
          <w:rFonts w:ascii="Calibri" w:hAnsi="Calibri"/>
          <w:b/>
          <w:color w:val="000000"/>
        </w:rPr>
      </w:pPr>
      <w:r w:rsidRPr="007D325D">
        <w:rPr>
          <w:rFonts w:ascii="Calibri" w:hAnsi="Calibri"/>
          <w:b/>
          <w:color w:val="000000"/>
        </w:rPr>
        <w:t>Biopharmaceutics Classification System (BCS)</w:t>
      </w:r>
    </w:p>
    <w:p w14:paraId="20564854" w14:textId="77777777" w:rsidR="007D325D" w:rsidRPr="007D325D" w:rsidRDefault="007D325D" w:rsidP="00AA08CF">
      <w:pPr>
        <w:rPr>
          <w:rFonts w:ascii="Calibri" w:hAnsi="Calibri"/>
          <w:b/>
          <w:color w:val="000000"/>
        </w:rPr>
      </w:pPr>
    </w:p>
    <w:p w14:paraId="05027033" w14:textId="77777777" w:rsidR="00AA08CF" w:rsidRPr="00F01116" w:rsidRDefault="00AA08CF" w:rsidP="00F01116">
      <w:pPr>
        <w:autoSpaceDE w:val="0"/>
        <w:autoSpaceDN w:val="0"/>
        <w:adjustRightInd w:val="0"/>
        <w:jc w:val="both"/>
        <w:rPr>
          <w:rFonts w:ascii="Calibri" w:hAnsi="Calibri"/>
          <w:color w:val="000000"/>
        </w:rPr>
      </w:pPr>
      <w:r w:rsidRPr="00F01116">
        <w:rPr>
          <w:rFonts w:ascii="Calibri" w:hAnsi="Calibri" w:cs="AdvP7B6C"/>
          <w:color w:val="000000"/>
        </w:rPr>
        <w:t>One reference suggests that there are three pharmacokinetic properties that predispose AEDs to problems with generics: low water solubility, narrow therapeutic range, and nonlinear pharmacokinetics.</w:t>
      </w:r>
    </w:p>
    <w:p w14:paraId="4996F951" w14:textId="77777777" w:rsidR="00AA08CF" w:rsidRPr="00F01116" w:rsidRDefault="00AA08CF" w:rsidP="00F01116">
      <w:pPr>
        <w:jc w:val="both"/>
        <w:rPr>
          <w:rFonts w:ascii="Calibri" w:hAnsi="Calibri"/>
          <w:color w:val="000000"/>
        </w:rPr>
      </w:pPr>
    </w:p>
    <w:p w14:paraId="3FE77962" w14:textId="77777777" w:rsidR="00AA08CF" w:rsidRPr="00F01116" w:rsidRDefault="00AA08CF" w:rsidP="009E28EC">
      <w:pPr>
        <w:autoSpaceDE w:val="0"/>
        <w:autoSpaceDN w:val="0"/>
        <w:adjustRightInd w:val="0"/>
        <w:jc w:val="both"/>
        <w:rPr>
          <w:rFonts w:ascii="Calibri" w:hAnsi="Calibri" w:cs="AdvP7B6C"/>
          <w:color w:val="000000"/>
        </w:rPr>
      </w:pPr>
      <w:r w:rsidRPr="00F01116">
        <w:rPr>
          <w:rFonts w:ascii="Calibri" w:hAnsi="Calibri" w:cs="AdvP7B6C"/>
          <w:color w:val="000000"/>
        </w:rPr>
        <w:t>A drug is considered to have high solubility when the highest dose strength is soluble in 250 mL or less of aqueous media over a pH range of 1 to 7.5 at 37</w:t>
      </w:r>
      <w:r w:rsidRPr="00F01116">
        <w:rPr>
          <w:rFonts w:ascii="Calibri" w:hAnsi="Calibri" w:cs="AdvPSSym"/>
          <w:color w:val="000000"/>
        </w:rPr>
        <w:t>°</w:t>
      </w:r>
      <w:r w:rsidRPr="00F01116">
        <w:rPr>
          <w:rFonts w:ascii="Calibri" w:hAnsi="Calibri" w:cs="AdvP7B6C"/>
          <w:color w:val="000000"/>
        </w:rPr>
        <w:t xml:space="preserve">C.  A drug is considered to be highly permeable when the extent of absorption is 90% or higher. </w:t>
      </w:r>
    </w:p>
    <w:p w14:paraId="2E288017" w14:textId="77777777" w:rsidR="00AA08CF" w:rsidRPr="00F01116" w:rsidRDefault="00AA08CF" w:rsidP="009E28EC">
      <w:pPr>
        <w:autoSpaceDE w:val="0"/>
        <w:autoSpaceDN w:val="0"/>
        <w:adjustRightInd w:val="0"/>
        <w:jc w:val="both"/>
        <w:rPr>
          <w:rFonts w:ascii="Calibri" w:hAnsi="Calibri"/>
          <w:color w:val="000000"/>
        </w:rPr>
      </w:pPr>
      <w:r w:rsidRPr="00F01116">
        <w:rPr>
          <w:rFonts w:ascii="Calibri" w:hAnsi="Calibri" w:cs="AdvP7B6C"/>
          <w:color w:val="000000"/>
        </w:rPr>
        <w:t>The drugs are then classified into four Biopharmaceutics Classification System (BCS) classes:  Class I:  high solubility/high permeability; Class II:  low solubility/high permeability; Class III:  high solubility/low permeability; Class IV:  low solubility/low permeability.</w:t>
      </w:r>
    </w:p>
    <w:p w14:paraId="62C6C3E0" w14:textId="77777777" w:rsidR="00AA08CF" w:rsidRPr="00F01116" w:rsidRDefault="00AA08CF" w:rsidP="009E28EC">
      <w:pPr>
        <w:jc w:val="both"/>
        <w:rPr>
          <w:rFonts w:ascii="Calibri" w:hAnsi="Calibri"/>
          <w:color w:val="000000"/>
        </w:rPr>
      </w:pPr>
    </w:p>
    <w:p w14:paraId="7E555A30" w14:textId="77777777" w:rsidR="00AA08CF" w:rsidRPr="00F01116" w:rsidRDefault="00AA08CF" w:rsidP="009E28EC">
      <w:pPr>
        <w:autoSpaceDE w:val="0"/>
        <w:autoSpaceDN w:val="0"/>
        <w:adjustRightInd w:val="0"/>
        <w:jc w:val="both"/>
        <w:rPr>
          <w:rFonts w:ascii="Calibri" w:hAnsi="Calibri" w:cs="AdvPS9779"/>
          <w:color w:val="000000"/>
        </w:rPr>
      </w:pPr>
      <w:r w:rsidRPr="00F01116">
        <w:rPr>
          <w:rFonts w:ascii="Calibri" w:hAnsi="Calibri" w:cs="AdvP7B6C"/>
          <w:color w:val="000000"/>
        </w:rPr>
        <w:t>The BCS classification can provide an estimate for the likelihood of problems with generic substitution not predicted by in vitro dissolution testing.</w:t>
      </w:r>
      <w:r w:rsidRPr="00F01116">
        <w:rPr>
          <w:rFonts w:ascii="Calibri" w:hAnsi="Calibri" w:cs="AdvP7B72"/>
          <w:color w:val="000000"/>
        </w:rPr>
        <w:t xml:space="preserve"> (Anderson </w:t>
      </w:r>
      <w:r w:rsidRPr="00F01116">
        <w:rPr>
          <w:rFonts w:ascii="Calibri" w:hAnsi="Calibri"/>
          <w:color w:val="000000"/>
        </w:rPr>
        <w:t>2008)</w:t>
      </w:r>
    </w:p>
    <w:p w14:paraId="2B71E045" w14:textId="77777777" w:rsidR="00AA08CF" w:rsidRPr="00F01116" w:rsidRDefault="00AA08CF" w:rsidP="009E28EC">
      <w:pPr>
        <w:autoSpaceDE w:val="0"/>
        <w:autoSpaceDN w:val="0"/>
        <w:adjustRightInd w:val="0"/>
        <w:jc w:val="both"/>
        <w:rPr>
          <w:rFonts w:ascii="Calibri" w:hAnsi="Calibri" w:cs="AdvP7B6C"/>
          <w:color w:val="000000"/>
        </w:rPr>
      </w:pPr>
      <w:r w:rsidRPr="00F01116">
        <w:rPr>
          <w:rFonts w:ascii="Calibri" w:hAnsi="Calibri" w:cs="AdvP7B6C"/>
          <w:color w:val="000000"/>
        </w:rPr>
        <w:t>A value for BCS is included in the individual drugs’ monographs where it is known.</w:t>
      </w:r>
    </w:p>
    <w:p w14:paraId="4AB58238" w14:textId="77777777" w:rsidR="00AA08CF" w:rsidRPr="00E22934" w:rsidRDefault="00AA08CF" w:rsidP="00AA08CF">
      <w:pPr>
        <w:rPr>
          <w:rFonts w:ascii="Calibri" w:hAnsi="Calibri"/>
          <w:color w:val="800080"/>
        </w:rPr>
      </w:pPr>
    </w:p>
    <w:p w14:paraId="418D8876" w14:textId="47A6B174" w:rsidR="007C7D65" w:rsidRDefault="007C7D65" w:rsidP="007C7D65">
      <w:pPr>
        <w:rPr>
          <w:rFonts w:ascii="Calibri" w:hAnsi="Calibri"/>
          <w:b/>
        </w:rPr>
      </w:pPr>
      <w:r w:rsidRPr="006D1F51">
        <w:rPr>
          <w:rFonts w:ascii="Calibri" w:hAnsi="Calibri"/>
          <w:b/>
        </w:rPr>
        <w:t>Evidence for and against switching AED from brand to generics</w:t>
      </w:r>
    </w:p>
    <w:p w14:paraId="60F28AC7" w14:textId="77777777" w:rsidR="006D1F51" w:rsidRPr="006D1F51" w:rsidRDefault="006D1F51" w:rsidP="007C7D65">
      <w:pPr>
        <w:rPr>
          <w:rFonts w:ascii="Calibri" w:hAnsi="Calibri"/>
          <w:b/>
        </w:rPr>
      </w:pPr>
    </w:p>
    <w:p w14:paraId="69B80FC7" w14:textId="72764D85" w:rsidR="007C7D65" w:rsidRPr="00F01116" w:rsidRDefault="007C7D65" w:rsidP="00F01116">
      <w:pPr>
        <w:autoSpaceDE w:val="0"/>
        <w:autoSpaceDN w:val="0"/>
        <w:adjustRightInd w:val="0"/>
        <w:jc w:val="both"/>
        <w:rPr>
          <w:rFonts w:ascii="Calibri" w:hAnsi="Calibri"/>
        </w:rPr>
      </w:pPr>
      <w:r w:rsidRPr="00F01116">
        <w:rPr>
          <w:rFonts w:ascii="Calibri" w:hAnsi="Calibri"/>
        </w:rPr>
        <w:t xml:space="preserve">Evidence in the literature to support or refute the practice of switching patients with epilepsy from </w:t>
      </w:r>
      <w:r w:rsidR="00F751BB" w:rsidRPr="00F01116">
        <w:rPr>
          <w:rFonts w:ascii="Calibri" w:hAnsi="Calibri"/>
        </w:rPr>
        <w:t>brand AEDs</w:t>
      </w:r>
      <w:r w:rsidRPr="00F01116">
        <w:rPr>
          <w:rFonts w:ascii="Calibri" w:hAnsi="Calibri"/>
        </w:rPr>
        <w:t xml:space="preserve"> to generic versions was found in the form of observational studies looking at seizure frequency after switching formulations, bioequivalence studies measuring the pharmacokinetics of AEDs, surveys of physicians, pharmacists and patients experiences with generic switching, data analysis studies of healthcare </w:t>
      </w:r>
      <w:r w:rsidR="00A72F23">
        <w:rPr>
          <w:rFonts w:ascii="Calibri" w:hAnsi="Calibri"/>
        </w:rPr>
        <w:t xml:space="preserve">records and </w:t>
      </w:r>
      <w:r w:rsidRPr="00F01116">
        <w:rPr>
          <w:rFonts w:ascii="Calibri" w:hAnsi="Calibri"/>
        </w:rPr>
        <w:t>claims from patients in the US</w:t>
      </w:r>
      <w:r w:rsidR="00B508FF">
        <w:rPr>
          <w:rFonts w:ascii="Calibri" w:hAnsi="Calibri"/>
        </w:rPr>
        <w:t>,</w:t>
      </w:r>
      <w:r w:rsidR="00ED0BDD">
        <w:rPr>
          <w:rFonts w:ascii="Calibri" w:hAnsi="Calibri"/>
        </w:rPr>
        <w:t xml:space="preserve"> </w:t>
      </w:r>
      <w:r w:rsidRPr="00F01116">
        <w:rPr>
          <w:rFonts w:ascii="Calibri" w:hAnsi="Calibri"/>
        </w:rPr>
        <w:t>Canada</w:t>
      </w:r>
      <w:r w:rsidR="00A72F23">
        <w:rPr>
          <w:rFonts w:ascii="Calibri" w:hAnsi="Calibri"/>
        </w:rPr>
        <w:t xml:space="preserve"> </w:t>
      </w:r>
      <w:r w:rsidR="00B508FF">
        <w:rPr>
          <w:rFonts w:ascii="Calibri" w:hAnsi="Calibri"/>
        </w:rPr>
        <w:t xml:space="preserve">and </w:t>
      </w:r>
      <w:r w:rsidR="00A72F23">
        <w:rPr>
          <w:rFonts w:ascii="Calibri" w:hAnsi="Calibri"/>
        </w:rPr>
        <w:t>New Zealand</w:t>
      </w:r>
      <w:r w:rsidRPr="00F01116">
        <w:rPr>
          <w:rFonts w:ascii="Calibri" w:hAnsi="Calibri"/>
        </w:rPr>
        <w:t xml:space="preserve"> after generic switching</w:t>
      </w:r>
      <w:r w:rsidR="007A62DC">
        <w:rPr>
          <w:rFonts w:ascii="Calibri" w:hAnsi="Calibri"/>
        </w:rPr>
        <w:t xml:space="preserve"> or generic initiation</w:t>
      </w:r>
      <w:r w:rsidRPr="00F01116">
        <w:rPr>
          <w:rFonts w:ascii="Calibri" w:hAnsi="Calibri"/>
        </w:rPr>
        <w:t xml:space="preserve"> and case reports of patients who have experienced problems. Switching </w:t>
      </w:r>
      <w:r w:rsidR="00CC1292" w:rsidRPr="00F01116">
        <w:rPr>
          <w:rFonts w:ascii="Calibri" w:hAnsi="Calibri"/>
        </w:rPr>
        <w:t>between brand and generic AEDs h</w:t>
      </w:r>
      <w:r w:rsidRPr="00F01116">
        <w:rPr>
          <w:rFonts w:ascii="Calibri" w:hAnsi="Calibri"/>
        </w:rPr>
        <w:t xml:space="preserve">as </w:t>
      </w:r>
      <w:r w:rsidR="00CC1292" w:rsidRPr="00F01116">
        <w:rPr>
          <w:rFonts w:ascii="Calibri" w:hAnsi="Calibri"/>
        </w:rPr>
        <w:t xml:space="preserve">been </w:t>
      </w:r>
      <w:r w:rsidRPr="00F01116">
        <w:rPr>
          <w:rFonts w:ascii="Calibri" w:hAnsi="Calibri"/>
        </w:rPr>
        <w:t>associated with: more patients requesting to be returned to brand AED when compared to non-AED switchback rates</w:t>
      </w:r>
      <w:r w:rsidR="00FF1A97" w:rsidRPr="00F01116">
        <w:rPr>
          <w:rFonts w:ascii="Calibri" w:hAnsi="Calibri"/>
        </w:rPr>
        <w:t xml:space="preserve"> </w:t>
      </w:r>
      <w:r w:rsidR="00AE5F06" w:rsidRPr="00F01116">
        <w:rPr>
          <w:rFonts w:ascii="Calibri" w:hAnsi="Calibri"/>
        </w:rPr>
        <w:t>(</w:t>
      </w:r>
      <w:r w:rsidR="00D5244E" w:rsidRPr="00F01116">
        <w:rPr>
          <w:rFonts w:ascii="Calibri" w:hAnsi="Calibri"/>
          <w:color w:val="000000"/>
        </w:rPr>
        <w:t>Andermann</w:t>
      </w:r>
      <w:r w:rsidR="00934371" w:rsidRPr="00F01116">
        <w:rPr>
          <w:rFonts w:ascii="Calibri" w:hAnsi="Calibri"/>
          <w:color w:val="000000"/>
        </w:rPr>
        <w:t xml:space="preserve"> 2007,</w:t>
      </w:r>
      <w:r w:rsidR="00D5244E" w:rsidRPr="00F01116">
        <w:rPr>
          <w:rFonts w:ascii="Calibri" w:hAnsi="Calibri"/>
          <w:color w:val="000000"/>
        </w:rPr>
        <w:t xml:space="preserve"> LeLorier</w:t>
      </w:r>
      <w:r w:rsidR="00934371" w:rsidRPr="00F01116">
        <w:rPr>
          <w:rFonts w:ascii="Calibri" w:hAnsi="Calibri"/>
          <w:color w:val="000000"/>
        </w:rPr>
        <w:t xml:space="preserve"> Neurology 2008</w:t>
      </w:r>
      <w:r w:rsidR="00AE5F06" w:rsidRPr="00F01116">
        <w:rPr>
          <w:rFonts w:ascii="Calibri" w:hAnsi="Calibri"/>
          <w:color w:val="000000"/>
        </w:rPr>
        <w:t>)</w:t>
      </w:r>
      <w:r w:rsidR="00373837" w:rsidRPr="00F01116">
        <w:rPr>
          <w:rFonts w:ascii="Calibri" w:hAnsi="Calibri"/>
          <w:color w:val="000000"/>
        </w:rPr>
        <w:t>,</w:t>
      </w:r>
      <w:r w:rsidRPr="00F01116">
        <w:rPr>
          <w:rFonts w:ascii="Calibri" w:hAnsi="Calibri"/>
        </w:rPr>
        <w:t xml:space="preserve"> greater utilisation of healthcare</w:t>
      </w:r>
      <w:r w:rsidR="00356540" w:rsidRPr="00F01116">
        <w:rPr>
          <w:rFonts w:ascii="Calibri" w:hAnsi="Calibri"/>
        </w:rPr>
        <w:t xml:space="preserve"> </w:t>
      </w:r>
      <w:r w:rsidR="00AE5F06" w:rsidRPr="00F01116">
        <w:rPr>
          <w:rFonts w:ascii="Calibri" w:hAnsi="Calibri"/>
          <w:color w:val="000000"/>
        </w:rPr>
        <w:t>(</w:t>
      </w:r>
      <w:r w:rsidR="00D5244E" w:rsidRPr="00F01116">
        <w:rPr>
          <w:rFonts w:ascii="Calibri" w:hAnsi="Calibri"/>
          <w:color w:val="000000"/>
        </w:rPr>
        <w:t>Zachry</w:t>
      </w:r>
      <w:r w:rsidR="00934371" w:rsidRPr="00F01116">
        <w:rPr>
          <w:rFonts w:ascii="Calibri" w:hAnsi="Calibri"/>
          <w:color w:val="000000"/>
        </w:rPr>
        <w:t xml:space="preserve"> 2009,</w:t>
      </w:r>
      <w:r w:rsidR="00D5244E" w:rsidRPr="00F01116">
        <w:rPr>
          <w:rFonts w:ascii="Calibri" w:hAnsi="Calibri"/>
          <w:color w:val="000000"/>
        </w:rPr>
        <w:t xml:space="preserve"> Rascati</w:t>
      </w:r>
      <w:r w:rsidR="00356540" w:rsidRPr="00F01116">
        <w:rPr>
          <w:rFonts w:ascii="Calibri" w:hAnsi="Calibri"/>
          <w:color w:val="000000"/>
        </w:rPr>
        <w:t xml:space="preserve"> 2009</w:t>
      </w:r>
      <w:r w:rsidR="00934371" w:rsidRPr="00F01116">
        <w:rPr>
          <w:rFonts w:ascii="Calibri" w:hAnsi="Calibri"/>
          <w:color w:val="000000"/>
        </w:rPr>
        <w:t>,</w:t>
      </w:r>
      <w:r w:rsidR="00D5244E" w:rsidRPr="00F01116">
        <w:rPr>
          <w:rFonts w:ascii="Calibri" w:hAnsi="Calibri"/>
          <w:color w:val="000000"/>
        </w:rPr>
        <w:t xml:space="preserve"> Hansen</w:t>
      </w:r>
      <w:r w:rsidR="00356540" w:rsidRPr="00F01116">
        <w:rPr>
          <w:rFonts w:ascii="Calibri" w:hAnsi="Calibri"/>
          <w:color w:val="000000"/>
        </w:rPr>
        <w:t xml:space="preserve"> 2009,</w:t>
      </w:r>
      <w:r w:rsidR="00D5244E" w:rsidRPr="00F01116">
        <w:rPr>
          <w:rFonts w:ascii="Calibri" w:hAnsi="Calibri"/>
          <w:color w:val="FF00FF"/>
        </w:rPr>
        <w:t xml:space="preserve"> </w:t>
      </w:r>
      <w:r w:rsidR="00AE5F06" w:rsidRPr="00F01116">
        <w:rPr>
          <w:rFonts w:ascii="Calibri" w:hAnsi="Calibri"/>
          <w:color w:val="000000"/>
        </w:rPr>
        <w:t>Labiner</w:t>
      </w:r>
      <w:r w:rsidR="00356540" w:rsidRPr="00F01116">
        <w:rPr>
          <w:rFonts w:ascii="Calibri" w:hAnsi="Calibri"/>
          <w:color w:val="000000"/>
        </w:rPr>
        <w:t xml:space="preserve"> 2010</w:t>
      </w:r>
      <w:r w:rsidR="00AE5F06" w:rsidRPr="00F01116">
        <w:rPr>
          <w:rFonts w:ascii="Calibri" w:hAnsi="Calibri"/>
          <w:color w:val="000000"/>
        </w:rPr>
        <w:t>)</w:t>
      </w:r>
      <w:r w:rsidRPr="00F01116">
        <w:rPr>
          <w:rFonts w:ascii="Calibri" w:hAnsi="Calibri"/>
        </w:rPr>
        <w:t>, increased seizure frequency in some patients and increased side-effects in others</w:t>
      </w:r>
      <w:r w:rsidR="004F5D0B" w:rsidRPr="00F01116">
        <w:rPr>
          <w:rFonts w:ascii="Calibri" w:hAnsi="Calibri"/>
        </w:rPr>
        <w:t xml:space="preserve"> </w:t>
      </w:r>
      <w:r w:rsidR="004F5D0B" w:rsidRPr="00F01116">
        <w:rPr>
          <w:rFonts w:ascii="Calibri" w:hAnsi="Calibri"/>
          <w:color w:val="000000"/>
        </w:rPr>
        <w:t>(Berg</w:t>
      </w:r>
      <w:r w:rsidR="00356540" w:rsidRPr="00F01116">
        <w:rPr>
          <w:rFonts w:ascii="Calibri" w:hAnsi="Calibri"/>
          <w:color w:val="000000"/>
        </w:rPr>
        <w:t xml:space="preserve"> 2008, </w:t>
      </w:r>
      <w:r w:rsidR="004F5D0B" w:rsidRPr="00F01116">
        <w:rPr>
          <w:rFonts w:ascii="Calibri" w:hAnsi="Calibri"/>
          <w:color w:val="000000"/>
        </w:rPr>
        <w:t>Wilner</w:t>
      </w:r>
      <w:r w:rsidR="00356540" w:rsidRPr="00F01116">
        <w:rPr>
          <w:rFonts w:ascii="Calibri" w:hAnsi="Calibri"/>
          <w:color w:val="000000"/>
        </w:rPr>
        <w:t xml:space="preserve"> 2002, </w:t>
      </w:r>
      <w:r w:rsidR="004F5D0B" w:rsidRPr="00F01116">
        <w:rPr>
          <w:rFonts w:ascii="Calibri" w:hAnsi="Calibri" w:cs="Times-Roman"/>
          <w:color w:val="000000"/>
        </w:rPr>
        <w:t>Kramer</w:t>
      </w:r>
      <w:r w:rsidR="00065BDB" w:rsidRPr="00F01116">
        <w:rPr>
          <w:rFonts w:ascii="Calibri" w:hAnsi="Calibri" w:cs="Times-Roman"/>
          <w:color w:val="000000"/>
        </w:rPr>
        <w:t xml:space="preserve"> 2007)</w:t>
      </w:r>
      <w:r w:rsidRPr="00F01116">
        <w:rPr>
          <w:rFonts w:ascii="Calibri" w:hAnsi="Calibri"/>
        </w:rPr>
        <w:t>.  However</w:t>
      </w:r>
      <w:r w:rsidR="008B6E4C">
        <w:rPr>
          <w:rFonts w:ascii="Calibri" w:hAnsi="Calibri"/>
        </w:rPr>
        <w:t>,</w:t>
      </w:r>
      <w:r w:rsidRPr="00F01116">
        <w:rPr>
          <w:rFonts w:ascii="Calibri" w:hAnsi="Calibri"/>
        </w:rPr>
        <w:t xml:space="preserve"> </w:t>
      </w:r>
      <w:r w:rsidR="00373837" w:rsidRPr="00F01116">
        <w:rPr>
          <w:rFonts w:ascii="Calibri" w:hAnsi="Calibri"/>
        </w:rPr>
        <w:t>determining</w:t>
      </w:r>
      <w:r w:rsidRPr="00F01116">
        <w:rPr>
          <w:rFonts w:ascii="Calibri" w:hAnsi="Calibri"/>
        </w:rPr>
        <w:t xml:space="preserve"> that the generic switch was the cause was oft</w:t>
      </w:r>
      <w:r w:rsidR="00BD452C" w:rsidRPr="00F01116">
        <w:rPr>
          <w:rFonts w:ascii="Calibri" w:hAnsi="Calibri"/>
        </w:rPr>
        <w:t>en suggested rather than proven</w:t>
      </w:r>
      <w:r w:rsidR="00AE5F06" w:rsidRPr="00F01116">
        <w:rPr>
          <w:rFonts w:ascii="Calibri" w:hAnsi="Calibri"/>
        </w:rPr>
        <w:t xml:space="preserve"> and some studies have not found any </w:t>
      </w:r>
      <w:r w:rsidR="00AE5F06" w:rsidRPr="00F01116">
        <w:rPr>
          <w:rFonts w:ascii="Calibri" w:hAnsi="Calibri"/>
        </w:rPr>
        <w:lastRenderedPageBreak/>
        <w:t>problems with switching (</w:t>
      </w:r>
      <w:r w:rsidR="00AE5F06" w:rsidRPr="00F01116">
        <w:rPr>
          <w:rFonts w:ascii="Calibri" w:eastAsia="AdvPS_TII" w:hAnsi="Calibri"/>
          <w:color w:val="000000"/>
        </w:rPr>
        <w:t>Czapinski</w:t>
      </w:r>
      <w:r w:rsidR="00065BDB" w:rsidRPr="00F01116">
        <w:rPr>
          <w:rFonts w:ascii="Calibri" w:eastAsia="AdvPS_TII" w:hAnsi="Calibri"/>
          <w:color w:val="000000"/>
        </w:rPr>
        <w:t xml:space="preserve"> 2009</w:t>
      </w:r>
      <w:r w:rsidR="000A2F69">
        <w:rPr>
          <w:rFonts w:ascii="Calibri" w:eastAsia="AdvPS_TII" w:hAnsi="Calibri"/>
          <w:color w:val="000000"/>
        </w:rPr>
        <w:t>, Bosak</w:t>
      </w:r>
      <w:r w:rsidR="00371994">
        <w:rPr>
          <w:rFonts w:ascii="Calibri" w:eastAsia="AdvPS_TII" w:hAnsi="Calibri"/>
          <w:color w:val="000000"/>
        </w:rPr>
        <w:t xml:space="preserve"> 2017 &amp;</w:t>
      </w:r>
      <w:r w:rsidR="000A2F69">
        <w:rPr>
          <w:rFonts w:ascii="Calibri" w:eastAsia="AdvPS_TII" w:hAnsi="Calibri"/>
          <w:color w:val="000000"/>
        </w:rPr>
        <w:t xml:space="preserve"> 2019</w:t>
      </w:r>
      <w:r w:rsidR="00C02BF0">
        <w:rPr>
          <w:rFonts w:ascii="Calibri" w:eastAsia="AdvPS_TII" w:hAnsi="Calibri"/>
          <w:color w:val="000000"/>
        </w:rPr>
        <w:t>, Fanella 2017</w:t>
      </w:r>
      <w:r w:rsidR="00712576">
        <w:rPr>
          <w:rFonts w:ascii="Calibri" w:eastAsia="AdvPS_TII" w:hAnsi="Calibri"/>
          <w:color w:val="000000"/>
        </w:rPr>
        <w:t>, Gha-Hyun</w:t>
      </w:r>
      <w:r w:rsidR="002D1257">
        <w:rPr>
          <w:rFonts w:ascii="Calibri" w:eastAsia="AdvPS_TII" w:hAnsi="Calibri"/>
          <w:color w:val="000000"/>
        </w:rPr>
        <w:t xml:space="preserve"> 2018</w:t>
      </w:r>
      <w:r w:rsidR="00371994">
        <w:rPr>
          <w:rFonts w:ascii="Calibri" w:eastAsia="AdvPS_TII" w:hAnsi="Calibri"/>
          <w:color w:val="000000"/>
        </w:rPr>
        <w:t xml:space="preserve">, </w:t>
      </w:r>
      <w:r w:rsidR="005E76A6">
        <w:rPr>
          <w:rFonts w:ascii="Calibri" w:eastAsia="AdvPS_TII" w:hAnsi="Calibri"/>
          <w:color w:val="000000"/>
        </w:rPr>
        <w:t>Markoula 2017</w:t>
      </w:r>
      <w:r w:rsidR="00CD7045">
        <w:rPr>
          <w:rFonts w:ascii="Calibri" w:eastAsia="AdvPS_TII" w:hAnsi="Calibri"/>
          <w:color w:val="000000"/>
        </w:rPr>
        <w:t>, Vari</w:t>
      </w:r>
      <w:r w:rsidR="00377514">
        <w:rPr>
          <w:rFonts w:ascii="Calibri" w:eastAsia="AdvPS_TII" w:hAnsi="Calibri"/>
          <w:color w:val="000000"/>
        </w:rPr>
        <w:t xml:space="preserve"> 2016</w:t>
      </w:r>
      <w:r w:rsidR="00D3474E">
        <w:rPr>
          <w:rFonts w:ascii="Calibri" w:eastAsia="AdvPS_TII" w:hAnsi="Calibri"/>
          <w:color w:val="000000"/>
        </w:rPr>
        <w:t>, Lessing 2014</w:t>
      </w:r>
      <w:r w:rsidR="00AE5F06" w:rsidRPr="00F01116">
        <w:rPr>
          <w:rFonts w:ascii="Calibri" w:eastAsia="AdvPS_TII" w:hAnsi="Calibri"/>
          <w:color w:val="000000"/>
        </w:rPr>
        <w:t>).</w:t>
      </w:r>
      <w:r w:rsidRPr="00F01116">
        <w:rPr>
          <w:rFonts w:ascii="Calibri" w:hAnsi="Calibri"/>
        </w:rPr>
        <w:t xml:space="preserve">  </w:t>
      </w:r>
      <w:r w:rsidR="00EC37DF">
        <w:rPr>
          <w:rFonts w:ascii="Calibri" w:hAnsi="Calibri"/>
        </w:rPr>
        <w:t>In fact</w:t>
      </w:r>
      <w:r w:rsidR="008B6E4C">
        <w:rPr>
          <w:rFonts w:ascii="Calibri" w:hAnsi="Calibri"/>
        </w:rPr>
        <w:t>,</w:t>
      </w:r>
      <w:r w:rsidR="00EC37DF">
        <w:rPr>
          <w:rFonts w:ascii="Calibri" w:hAnsi="Calibri"/>
        </w:rPr>
        <w:t xml:space="preserve"> one study found that the process of getting a</w:t>
      </w:r>
      <w:r w:rsidR="00842FAE">
        <w:rPr>
          <w:rFonts w:ascii="Calibri" w:hAnsi="Calibri"/>
        </w:rPr>
        <w:t xml:space="preserve">n anti-epileptic prescription refilled raised the risk of having a seizure and needing hospital treatment by a similar extent </w:t>
      </w:r>
      <w:r w:rsidR="003B7E61">
        <w:rPr>
          <w:rFonts w:ascii="Calibri" w:hAnsi="Calibri"/>
        </w:rPr>
        <w:t>as those who switched from brand to generic (</w:t>
      </w:r>
      <w:r w:rsidR="00E01EA7">
        <w:rPr>
          <w:rFonts w:ascii="Calibri" w:hAnsi="Calibri"/>
        </w:rPr>
        <w:t>Kesselheim</w:t>
      </w:r>
      <w:r w:rsidR="003B7E61">
        <w:rPr>
          <w:rFonts w:ascii="Calibri" w:hAnsi="Calibri"/>
        </w:rPr>
        <w:t xml:space="preserve"> 2016)</w:t>
      </w:r>
      <w:r w:rsidR="00181A64">
        <w:rPr>
          <w:rFonts w:ascii="Calibri" w:hAnsi="Calibri"/>
        </w:rPr>
        <w:t>.</w:t>
      </w:r>
      <w:r w:rsidR="00B1572E">
        <w:rPr>
          <w:rFonts w:ascii="Calibri" w:hAnsi="Calibri"/>
        </w:rPr>
        <w:t xml:space="preserve"> </w:t>
      </w:r>
      <w:r w:rsidR="00686D8E">
        <w:rPr>
          <w:rFonts w:ascii="Calibri" w:hAnsi="Calibri"/>
        </w:rPr>
        <w:t xml:space="preserve">Another study found that intrapatient variation in antiepileptic drug plasma concentrations </w:t>
      </w:r>
      <w:r w:rsidR="00937ABD">
        <w:rPr>
          <w:rFonts w:ascii="Calibri" w:hAnsi="Calibri"/>
        </w:rPr>
        <w:t>occurred in brand to generic switching but also in the control</w:t>
      </w:r>
      <w:r w:rsidR="00594A41">
        <w:rPr>
          <w:rFonts w:ascii="Calibri" w:hAnsi="Calibri"/>
        </w:rPr>
        <w:t xml:space="preserve"> (brand only)</w:t>
      </w:r>
      <w:r w:rsidR="00937ABD">
        <w:rPr>
          <w:rFonts w:ascii="Calibri" w:hAnsi="Calibri"/>
        </w:rPr>
        <w:t xml:space="preserve"> group</w:t>
      </w:r>
      <w:r w:rsidR="00594A41">
        <w:rPr>
          <w:rFonts w:ascii="Calibri" w:hAnsi="Calibri"/>
        </w:rPr>
        <w:t xml:space="preserve"> (Contin 2016)</w:t>
      </w:r>
      <w:r w:rsidR="000E1611">
        <w:rPr>
          <w:rFonts w:ascii="Calibri" w:hAnsi="Calibri"/>
        </w:rPr>
        <w:t>.</w:t>
      </w:r>
      <w:r w:rsidR="00594A41">
        <w:rPr>
          <w:rFonts w:ascii="Calibri" w:hAnsi="Calibri"/>
        </w:rPr>
        <w:t xml:space="preserve"> </w:t>
      </w:r>
      <w:r w:rsidRPr="00F01116">
        <w:rPr>
          <w:rFonts w:ascii="Calibri" w:hAnsi="Calibri"/>
        </w:rPr>
        <w:t>Each type of research has its own limitatio</w:t>
      </w:r>
      <w:r w:rsidR="00AE10D1" w:rsidRPr="00F01116">
        <w:rPr>
          <w:rFonts w:ascii="Calibri" w:hAnsi="Calibri"/>
        </w:rPr>
        <w:t>ns and none of the studies</w:t>
      </w:r>
      <w:r w:rsidRPr="00F01116">
        <w:rPr>
          <w:rFonts w:ascii="Calibri" w:hAnsi="Calibri"/>
        </w:rPr>
        <w:t xml:space="preserve"> provided compelling evidence that generic AEDs are likely to cause problems in large numbers of patients nor that they are safe and suitable for all patients.</w:t>
      </w:r>
    </w:p>
    <w:p w14:paraId="55424233" w14:textId="77777777" w:rsidR="00AA08CF" w:rsidRPr="00F01116" w:rsidRDefault="00AA08CF" w:rsidP="00F01116">
      <w:pPr>
        <w:autoSpaceDE w:val="0"/>
        <w:autoSpaceDN w:val="0"/>
        <w:adjustRightInd w:val="0"/>
        <w:jc w:val="both"/>
        <w:rPr>
          <w:rFonts w:ascii="Calibri" w:hAnsi="Calibri"/>
        </w:rPr>
      </w:pPr>
    </w:p>
    <w:p w14:paraId="69F2707F" w14:textId="079EFE25" w:rsidR="00AA08CF" w:rsidRPr="00F01116" w:rsidRDefault="00AA08CF" w:rsidP="00F01116">
      <w:pPr>
        <w:autoSpaceDE w:val="0"/>
        <w:autoSpaceDN w:val="0"/>
        <w:adjustRightInd w:val="0"/>
        <w:jc w:val="both"/>
        <w:rPr>
          <w:rFonts w:ascii="Calibri" w:hAnsi="Calibri"/>
          <w:color w:val="000000"/>
        </w:rPr>
      </w:pPr>
      <w:r w:rsidRPr="00F01116">
        <w:rPr>
          <w:rFonts w:ascii="Calibri" w:hAnsi="Calibri"/>
          <w:color w:val="000000"/>
        </w:rPr>
        <w:t>The evidence relating to specific drugs has been reported under the individual drugs’ monographs. The studies discussed in this section have reviewed multiple AEDs however compliance was often under-reported and where it had been considered the criteria for inclusion in the study was often a medication adherence rate of 80%.</w:t>
      </w:r>
      <w:r w:rsidR="002C0EE1">
        <w:rPr>
          <w:rFonts w:ascii="Calibri" w:hAnsi="Calibri"/>
          <w:color w:val="000000"/>
        </w:rPr>
        <w:t xml:space="preserve"> </w:t>
      </w:r>
      <w:r w:rsidRPr="00F01116">
        <w:rPr>
          <w:rFonts w:ascii="Calibri" w:hAnsi="Calibri"/>
          <w:color w:val="000000"/>
        </w:rPr>
        <w:t xml:space="preserve">(Erickson 2011)     </w:t>
      </w:r>
    </w:p>
    <w:p w14:paraId="14D2AD67" w14:textId="77777777" w:rsidR="007C7D65" w:rsidRPr="00F01116" w:rsidRDefault="007C7D65" w:rsidP="00F01116">
      <w:pPr>
        <w:jc w:val="both"/>
        <w:rPr>
          <w:rFonts w:ascii="Calibri" w:hAnsi="Calibri"/>
        </w:rPr>
      </w:pPr>
    </w:p>
    <w:p w14:paraId="71530628" w14:textId="77777777" w:rsidR="00873806" w:rsidRPr="00F01116" w:rsidRDefault="00873806" w:rsidP="00F01116">
      <w:pPr>
        <w:autoSpaceDE w:val="0"/>
        <w:autoSpaceDN w:val="0"/>
        <w:adjustRightInd w:val="0"/>
        <w:jc w:val="both"/>
        <w:rPr>
          <w:rFonts w:ascii="Calibri" w:hAnsi="Calibri"/>
          <w:color w:val="000000"/>
        </w:rPr>
      </w:pPr>
      <w:r w:rsidRPr="00F01116">
        <w:rPr>
          <w:rFonts w:ascii="Calibri" w:hAnsi="Calibri"/>
          <w:color w:val="000000"/>
        </w:rPr>
        <w:t xml:space="preserve">Observational studies looked at seizure frequency after switching between brand and generic AEDs so assessed the drug in patients rather than healthy volunteers and were especially useful when they compared patients with a control group who had not switched.  </w:t>
      </w:r>
      <w:r w:rsidRPr="00F01116">
        <w:rPr>
          <w:rFonts w:ascii="Calibri" w:eastAsia="AdvPS_TIR" w:hAnsi="Calibri"/>
          <w:color w:val="000000"/>
        </w:rPr>
        <w:t>A Polish study observed 646 patients with drug-resistant epilepsy with partial seizures treated with 1–3 new generation antiepileptic agents.  Switching any of these drugs to generics did not increase seizure frequency (mean seizure frequency per month before and after a switch was 6.7 vs 6.9 for lamotrigine, 8.2 vs 8.0 for gabapentin and 9.9 vs 9.6 for topiramate). The percentage of patients that needed to be switched back to the original medication was less than 2.1%. (</w:t>
      </w:r>
      <w:r w:rsidRPr="00F01116">
        <w:rPr>
          <w:rFonts w:ascii="Calibri" w:eastAsia="AdvPS_TII" w:hAnsi="Calibri"/>
          <w:color w:val="000000"/>
        </w:rPr>
        <w:t>Czapinski</w:t>
      </w:r>
      <w:r w:rsidRPr="00F01116">
        <w:rPr>
          <w:rFonts w:ascii="Calibri" w:hAnsi="Calibri"/>
          <w:color w:val="000000"/>
        </w:rPr>
        <w:t xml:space="preserve"> 2009)</w:t>
      </w:r>
    </w:p>
    <w:p w14:paraId="19202026" w14:textId="77777777" w:rsidR="00873806" w:rsidRPr="00F01116" w:rsidRDefault="00873806" w:rsidP="00F01116">
      <w:pPr>
        <w:autoSpaceDE w:val="0"/>
        <w:autoSpaceDN w:val="0"/>
        <w:adjustRightInd w:val="0"/>
        <w:jc w:val="both"/>
        <w:rPr>
          <w:rFonts w:ascii="Calibri" w:hAnsi="Calibri"/>
          <w:color w:val="000000"/>
        </w:rPr>
      </w:pPr>
    </w:p>
    <w:p w14:paraId="007E0FC6" w14:textId="0A0F0A97" w:rsidR="00873806" w:rsidRPr="00F01116" w:rsidRDefault="00873806" w:rsidP="00F01116">
      <w:pPr>
        <w:autoSpaceDE w:val="0"/>
        <w:autoSpaceDN w:val="0"/>
        <w:adjustRightInd w:val="0"/>
        <w:jc w:val="both"/>
        <w:rPr>
          <w:rFonts w:ascii="Calibri" w:hAnsi="Calibri"/>
          <w:color w:val="000000"/>
        </w:rPr>
      </w:pPr>
      <w:r w:rsidRPr="00F01116">
        <w:rPr>
          <w:rFonts w:ascii="Calibri" w:hAnsi="Calibri"/>
          <w:color w:val="000000"/>
        </w:rPr>
        <w:t xml:space="preserve">The healthcare systems in the US and Canada record data on patients’ claims for healthcare.  Studies using this data have the advantage of being able to include large numbers of patients however much of the clinical background to the patients’ circumstances is not available e.g. seizure frequency, other medical problems, medication </w:t>
      </w:r>
      <w:r w:rsidR="00936224">
        <w:rPr>
          <w:rFonts w:ascii="Calibri" w:hAnsi="Calibri"/>
          <w:color w:val="000000"/>
        </w:rPr>
        <w:t>adherence</w:t>
      </w:r>
      <w:r w:rsidRPr="00F01116">
        <w:rPr>
          <w:rFonts w:ascii="Calibri" w:hAnsi="Calibri"/>
          <w:color w:val="000000"/>
        </w:rPr>
        <w:t>, AED blood levels, number of other AEDs used (a marker of epilepsy that is more difficult to manage). Analysis has shown associations between generic switching and an increase in adverse events</w:t>
      </w:r>
      <w:r w:rsidR="002C0EE1">
        <w:rPr>
          <w:rFonts w:ascii="Calibri" w:hAnsi="Calibri"/>
          <w:color w:val="000000"/>
        </w:rPr>
        <w:t>;</w:t>
      </w:r>
      <w:r w:rsidRPr="00F01116">
        <w:rPr>
          <w:rFonts w:ascii="Calibri" w:hAnsi="Calibri"/>
          <w:color w:val="000000"/>
        </w:rPr>
        <w:t xml:space="preserve"> however, causation has not been proved in any of the studies reviewed. Data analysed from healthcare claims databases in the US have found that epileptic patients receiving emergency care for epilepsy related-events were more likely to have been switched between brand and generic AEDs than epileptic patients seen in outpatients during the same period (11.3% vs 6.5% [Zachry 2009], 11% vs 6.3% [Rascati 2009], 11.1 vs 6.5% [Hansen 2009]).  These studies assumed that patients experiencing a breakthrough seizure would seek emergency care.  One study found increased rates of healthcare utilisation during periods of generic AED use in epileptic patients with increased use of all prescription drugs (IRR = 1.13 [95% CI 1.13–1.14]) and higher rates of hospitalisation (IRR = 1.24 [95% CI 1.19–1.30]); outpatient visits: (IRR = 1.14 [95% CI 1.13–1.16]); lengths of hospital stays: (IRR = 1.29 [95% CI 1.27–1.32]) (Labiner 2010).  </w:t>
      </w:r>
    </w:p>
    <w:p w14:paraId="7F2FDAB8" w14:textId="77777777" w:rsidR="00873806" w:rsidRPr="00F01116" w:rsidRDefault="00873806" w:rsidP="00F01116">
      <w:pPr>
        <w:autoSpaceDE w:val="0"/>
        <w:autoSpaceDN w:val="0"/>
        <w:adjustRightInd w:val="0"/>
        <w:jc w:val="both"/>
        <w:rPr>
          <w:rFonts w:ascii="Calibri" w:hAnsi="Calibri"/>
          <w:color w:val="000000"/>
        </w:rPr>
      </w:pPr>
      <w:r w:rsidRPr="00F01116">
        <w:rPr>
          <w:rFonts w:ascii="Calibri" w:hAnsi="Calibri"/>
          <w:color w:val="000000"/>
        </w:rPr>
        <w:lastRenderedPageBreak/>
        <w:t>Two of the studies occurred shortly after generic zonisamide introduction so over-representation of one drug may have biased results.</w:t>
      </w:r>
    </w:p>
    <w:p w14:paraId="69E6C319" w14:textId="77777777" w:rsidR="00873806" w:rsidRPr="00F01116" w:rsidRDefault="00873806" w:rsidP="00F01116">
      <w:pPr>
        <w:autoSpaceDE w:val="0"/>
        <w:autoSpaceDN w:val="0"/>
        <w:adjustRightInd w:val="0"/>
        <w:jc w:val="both"/>
        <w:rPr>
          <w:rFonts w:ascii="Calibri" w:hAnsi="Calibri"/>
          <w:color w:val="000000"/>
        </w:rPr>
      </w:pPr>
    </w:p>
    <w:p w14:paraId="54D77E02" w14:textId="77777777" w:rsidR="00873806" w:rsidRPr="00F01116" w:rsidRDefault="00873806" w:rsidP="00F01116">
      <w:pPr>
        <w:autoSpaceDE w:val="0"/>
        <w:autoSpaceDN w:val="0"/>
        <w:adjustRightInd w:val="0"/>
        <w:jc w:val="both"/>
        <w:rPr>
          <w:rFonts w:ascii="Calibri" w:hAnsi="Calibri"/>
          <w:color w:val="000000"/>
        </w:rPr>
      </w:pPr>
      <w:r w:rsidRPr="00F01116">
        <w:rPr>
          <w:rFonts w:ascii="Calibri" w:hAnsi="Calibri"/>
          <w:color w:val="000000"/>
        </w:rPr>
        <w:t>Two Canadian studies analysed healthcare claims data following compulsory switching policies for brand to generic lamotrigine.  One study found switchback to brand rates to be 12.9% for lamotrigine, 21% for clobazam and valproic acid/divalproex compared to 1.5 – 2.9% for non-AED (SSRIS, statins). (Andermann 2007)</w:t>
      </w:r>
    </w:p>
    <w:p w14:paraId="6A09EA17" w14:textId="77777777" w:rsidR="00873806" w:rsidRPr="00F01116" w:rsidRDefault="00873806" w:rsidP="00F01116">
      <w:pPr>
        <w:autoSpaceDE w:val="0"/>
        <w:autoSpaceDN w:val="0"/>
        <w:adjustRightInd w:val="0"/>
        <w:jc w:val="both"/>
        <w:rPr>
          <w:rFonts w:ascii="Calibri" w:hAnsi="Calibri"/>
          <w:color w:val="000000"/>
        </w:rPr>
      </w:pPr>
      <w:r w:rsidRPr="00F01116">
        <w:rPr>
          <w:rFonts w:ascii="Calibri" w:hAnsi="Calibri"/>
          <w:color w:val="000000"/>
        </w:rPr>
        <w:t>The second study found 28% lamotrigine patients switched back to brand, 44% clobazam, 31% gabapentin and 21% carbamazepine CR patients switching back to brand compared to 8 – 9% of non-AED users.  Switchback rates may show an association with lower tolerance to the generic drug however causation cannot be proven without the full clinical details. (LeLorier Neurology 2008)</w:t>
      </w:r>
    </w:p>
    <w:p w14:paraId="19666C9E" w14:textId="77777777" w:rsidR="00873806" w:rsidRPr="00F01116" w:rsidRDefault="00873806" w:rsidP="00F01116">
      <w:pPr>
        <w:autoSpaceDE w:val="0"/>
        <w:autoSpaceDN w:val="0"/>
        <w:adjustRightInd w:val="0"/>
        <w:jc w:val="both"/>
        <w:rPr>
          <w:rFonts w:ascii="Calibri" w:hAnsi="Calibri"/>
          <w:color w:val="000000"/>
        </w:rPr>
      </w:pPr>
    </w:p>
    <w:p w14:paraId="0961B155" w14:textId="77777777" w:rsidR="00873806" w:rsidRPr="00F01116" w:rsidRDefault="00873806" w:rsidP="00F01116">
      <w:pPr>
        <w:autoSpaceDE w:val="0"/>
        <w:autoSpaceDN w:val="0"/>
        <w:adjustRightInd w:val="0"/>
        <w:jc w:val="both"/>
        <w:rPr>
          <w:rFonts w:ascii="Calibri" w:hAnsi="Calibri"/>
          <w:color w:val="000000"/>
        </w:rPr>
      </w:pPr>
      <w:r w:rsidRPr="00F01116">
        <w:rPr>
          <w:rFonts w:ascii="Calibri" w:hAnsi="Calibri"/>
          <w:color w:val="000000"/>
        </w:rPr>
        <w:t xml:space="preserve">Pharmacokinetic studies have the advantage of looking at individual drugs rather than generalising all AEDs together.  These studies often use healthy volunteers who may not provide a realistic comparison to the population of patients who suffer with epilepsy.  Results of the analysis of AED blood levels in patients or volunteers can only be applied to the specific brands and generics used in the test and cannot be extrapolated to other generics on the market.  Often studies have reviewed patients who have experienced problems after generic switching and do not provide data on patients who have successfully switched so may bias the evidence base.  An AED’s pharmacokinetic levels may be found to be within the accepted bioequivalence standards however this still does not answer the question about whether the EMEA’s criteria for bioequivalence is acceptable for AEDs when there are opinions that seizures can occur even with small changes in plasma levels.    </w:t>
      </w:r>
    </w:p>
    <w:p w14:paraId="03DCCBBF" w14:textId="77777777" w:rsidR="00873806" w:rsidRPr="00F01116" w:rsidRDefault="00873806" w:rsidP="00F01116">
      <w:pPr>
        <w:jc w:val="both"/>
        <w:rPr>
          <w:rFonts w:ascii="Calibri" w:hAnsi="Calibri"/>
          <w:color w:val="000000"/>
        </w:rPr>
      </w:pPr>
      <w:r w:rsidRPr="00F01116">
        <w:rPr>
          <w:rFonts w:ascii="Calibri" w:hAnsi="Calibri"/>
          <w:color w:val="000000"/>
        </w:rPr>
        <w:t>The bioequivalence criteria of 80% - 125% has led some to believe that generics can provide great variations in levels of AUC and Cmax and particularly when switching between generics which may be at the opposite ends of the range.</w:t>
      </w:r>
    </w:p>
    <w:p w14:paraId="488104E6" w14:textId="77777777" w:rsidR="00873806" w:rsidRPr="00F01116" w:rsidRDefault="00873806" w:rsidP="00F01116">
      <w:pPr>
        <w:jc w:val="both"/>
        <w:rPr>
          <w:rFonts w:ascii="Calibri" w:hAnsi="Calibri"/>
          <w:color w:val="000000"/>
        </w:rPr>
      </w:pPr>
    </w:p>
    <w:p w14:paraId="18A5D355" w14:textId="77777777" w:rsidR="00873806" w:rsidRPr="00F01116" w:rsidRDefault="00873806" w:rsidP="00F01116">
      <w:pPr>
        <w:autoSpaceDE w:val="0"/>
        <w:autoSpaceDN w:val="0"/>
        <w:adjustRightInd w:val="0"/>
        <w:jc w:val="both"/>
        <w:rPr>
          <w:rFonts w:ascii="Calibri" w:hAnsi="Calibri"/>
          <w:color w:val="000000"/>
        </w:rPr>
      </w:pPr>
      <w:r w:rsidRPr="00F01116">
        <w:rPr>
          <w:rFonts w:ascii="Calibri" w:hAnsi="Calibri"/>
          <w:color w:val="000000"/>
        </w:rPr>
        <w:t>A US study analysed data that had been submitted to the FDA when approving generic AED formulations.  141 generic AED products were evaluated in 258 bioequivalence studies.  AUC for generic and brand formulations were very similar with AUC differing by &lt; 15% for 255 of 258 (98.8%).  Cmax differed between generic and brand formulations by 15 – 25% in 10.85%.  For generic to generic bioequivalence it was found that 83.4% of the generic pairs had an AUC that differed by &lt;15%, (14.3% by 15 – 25%, 2.35% by &gt; 25%). Cmax differed by &lt;15% in 61.2, (35.1% by 15 - 25%, and 3.7% by &gt;25%). (Krauss 2011)</w:t>
      </w:r>
    </w:p>
    <w:p w14:paraId="2CA92D4F" w14:textId="77777777" w:rsidR="00873806" w:rsidRPr="00F01116" w:rsidRDefault="00873806" w:rsidP="00F01116">
      <w:pPr>
        <w:jc w:val="both"/>
        <w:rPr>
          <w:rFonts w:ascii="Calibri" w:hAnsi="Calibri"/>
          <w:color w:val="000000"/>
        </w:rPr>
      </w:pPr>
    </w:p>
    <w:p w14:paraId="713C09D6" w14:textId="77777777" w:rsidR="00873806" w:rsidRPr="00F01116" w:rsidRDefault="00873806" w:rsidP="00F01116">
      <w:pPr>
        <w:autoSpaceDE w:val="0"/>
        <w:autoSpaceDN w:val="0"/>
        <w:adjustRightInd w:val="0"/>
        <w:jc w:val="both"/>
        <w:rPr>
          <w:rFonts w:ascii="Calibri" w:hAnsi="Calibri"/>
          <w:color w:val="000000"/>
        </w:rPr>
      </w:pPr>
      <w:r w:rsidRPr="00F01116">
        <w:rPr>
          <w:rFonts w:ascii="Calibri" w:hAnsi="Calibri"/>
          <w:color w:val="000000"/>
        </w:rPr>
        <w:t>A Dutch study looked at looked at bioequivalence data from submissions to the Dutch Medicines Evaluation Board for generic AEDs.  After normalisation of data this study found similar AUC ratios for brand and generic topiramate and gabapentin however the Cmax ratios varied more than AUC.  Comparison of the absolute AUCs and Cmax found some were outside the confidence intervals for bioequivalence criteria.  However, this study found that the inter-batch variability of pharmacokinetic data for the brand drug was similar to the variability seen with the different generic formulations despite the same brands being used throughout. (Maliepaard 2011)</w:t>
      </w:r>
    </w:p>
    <w:p w14:paraId="2752444A" w14:textId="77777777" w:rsidR="00873806" w:rsidRPr="00F01116" w:rsidRDefault="00873806" w:rsidP="00F01116">
      <w:pPr>
        <w:jc w:val="both"/>
        <w:rPr>
          <w:rFonts w:ascii="Calibri" w:hAnsi="Calibri"/>
          <w:color w:val="000000"/>
        </w:rPr>
      </w:pPr>
    </w:p>
    <w:p w14:paraId="1A1293F1" w14:textId="5D74A762" w:rsidR="00873806" w:rsidRDefault="00873806" w:rsidP="00F01116">
      <w:pPr>
        <w:autoSpaceDE w:val="0"/>
        <w:autoSpaceDN w:val="0"/>
        <w:adjustRightInd w:val="0"/>
        <w:jc w:val="both"/>
        <w:rPr>
          <w:rFonts w:ascii="Calibri" w:hAnsi="Calibri"/>
          <w:color w:val="000000"/>
        </w:rPr>
      </w:pPr>
      <w:r w:rsidRPr="00F01116">
        <w:rPr>
          <w:rFonts w:ascii="Calibri" w:hAnsi="Calibri"/>
          <w:color w:val="000000"/>
        </w:rPr>
        <w:lastRenderedPageBreak/>
        <w:t>Surveys of physicians, pharmacists and patients often have low response rates and therefore responders may be more likely to have experienced a problem or have stronger opinions about generic drugs than those who chose not to reply.  Surveys do not provide a means of proving that the generic switch was the cause and do not take into account the possibility of coincidental seizure relapse.</w:t>
      </w:r>
    </w:p>
    <w:p w14:paraId="5F463689" w14:textId="77777777" w:rsidR="00B36D10" w:rsidRPr="00F01116" w:rsidRDefault="00B36D10" w:rsidP="00F01116">
      <w:pPr>
        <w:autoSpaceDE w:val="0"/>
        <w:autoSpaceDN w:val="0"/>
        <w:adjustRightInd w:val="0"/>
        <w:jc w:val="both"/>
        <w:rPr>
          <w:rFonts w:ascii="Calibri" w:hAnsi="Calibri"/>
          <w:color w:val="000000"/>
        </w:rPr>
      </w:pPr>
    </w:p>
    <w:p w14:paraId="55C23BD9" w14:textId="23A7211B" w:rsidR="00873806" w:rsidRDefault="00873806" w:rsidP="00F01116">
      <w:pPr>
        <w:autoSpaceDE w:val="0"/>
        <w:autoSpaceDN w:val="0"/>
        <w:adjustRightInd w:val="0"/>
        <w:jc w:val="both"/>
        <w:rPr>
          <w:rFonts w:ascii="Calibri" w:hAnsi="Calibri"/>
          <w:color w:val="000000"/>
        </w:rPr>
      </w:pPr>
      <w:r w:rsidRPr="00F01116">
        <w:rPr>
          <w:rFonts w:ascii="Calibri" w:hAnsi="Calibri"/>
          <w:color w:val="000000"/>
        </w:rPr>
        <w:t>A survey of neurologists in the US found that 65% of responders had a patient who experienced loss of seizure control caused by a switch between brand and generic AEDs. (Berg 2008) Another survey of neurologists in the US, with a response rate of 4.7%, found 68% reported breakthrough seizures because of brand to generic switching and 56% reported increase</w:t>
      </w:r>
      <w:r w:rsidR="0009059C">
        <w:rPr>
          <w:rFonts w:ascii="Calibri" w:hAnsi="Calibri"/>
          <w:color w:val="000000"/>
        </w:rPr>
        <w:t>d</w:t>
      </w:r>
      <w:r w:rsidRPr="00F01116">
        <w:rPr>
          <w:rFonts w:ascii="Calibri" w:hAnsi="Calibri"/>
          <w:color w:val="000000"/>
        </w:rPr>
        <w:t xml:space="preserve"> side-effects.  32% reported breakthrough seizures caused by generic to generic switching with 27% reporting increased side effects. (Wilner 2002)</w:t>
      </w:r>
    </w:p>
    <w:p w14:paraId="5DADBB89" w14:textId="77777777" w:rsidR="00B36D10" w:rsidRPr="00F01116" w:rsidRDefault="00B36D10" w:rsidP="00F01116">
      <w:pPr>
        <w:autoSpaceDE w:val="0"/>
        <w:autoSpaceDN w:val="0"/>
        <w:adjustRightInd w:val="0"/>
        <w:jc w:val="both"/>
        <w:rPr>
          <w:rFonts w:ascii="Calibri" w:hAnsi="Calibri"/>
          <w:color w:val="000000"/>
        </w:rPr>
      </w:pPr>
    </w:p>
    <w:p w14:paraId="3FF62449" w14:textId="77777777" w:rsidR="00B36D10" w:rsidRDefault="00873806" w:rsidP="00F01116">
      <w:pPr>
        <w:autoSpaceDE w:val="0"/>
        <w:autoSpaceDN w:val="0"/>
        <w:adjustRightInd w:val="0"/>
        <w:jc w:val="both"/>
        <w:rPr>
          <w:rFonts w:ascii="Calibri" w:hAnsi="Calibri" w:cs="Times-Roman"/>
          <w:color w:val="000000"/>
        </w:rPr>
      </w:pPr>
      <w:r w:rsidRPr="00F01116">
        <w:rPr>
          <w:rFonts w:ascii="Calibri" w:hAnsi="Calibri"/>
          <w:color w:val="000000"/>
        </w:rPr>
        <w:t xml:space="preserve">A survey of physicians in Germany, Austria and Switzerland, with a response rate of 21.6% found 49% reported problems when switching from brand to generic.  Few reported problems switching between generics </w:t>
      </w:r>
      <w:r w:rsidR="0009059C">
        <w:rPr>
          <w:rFonts w:ascii="Calibri" w:hAnsi="Calibri"/>
          <w:color w:val="000000"/>
        </w:rPr>
        <w:t>(</w:t>
      </w:r>
      <w:r w:rsidRPr="00F01116">
        <w:rPr>
          <w:rFonts w:ascii="Calibri" w:hAnsi="Calibri"/>
          <w:color w:val="000000"/>
        </w:rPr>
        <w:t>31%</w:t>
      </w:r>
      <w:r w:rsidR="0009059C">
        <w:rPr>
          <w:rFonts w:ascii="Calibri" w:hAnsi="Calibri"/>
          <w:color w:val="000000"/>
        </w:rPr>
        <w:t>)</w:t>
      </w:r>
      <w:r w:rsidRPr="00F01116">
        <w:rPr>
          <w:rFonts w:ascii="Calibri" w:hAnsi="Calibri"/>
          <w:color w:val="000000"/>
        </w:rPr>
        <w:t xml:space="preserve"> or generic to brand </w:t>
      </w:r>
      <w:r w:rsidR="0009059C">
        <w:rPr>
          <w:rFonts w:ascii="Calibri" w:hAnsi="Calibri"/>
          <w:color w:val="000000"/>
        </w:rPr>
        <w:t>(</w:t>
      </w:r>
      <w:r w:rsidRPr="00F01116">
        <w:rPr>
          <w:rFonts w:ascii="Calibri" w:hAnsi="Calibri"/>
          <w:color w:val="000000"/>
        </w:rPr>
        <w:t>16%</w:t>
      </w:r>
      <w:r w:rsidR="0009059C">
        <w:rPr>
          <w:rFonts w:ascii="Calibri" w:hAnsi="Calibri"/>
          <w:color w:val="000000"/>
        </w:rPr>
        <w:t>)</w:t>
      </w:r>
      <w:r w:rsidRPr="00F01116">
        <w:rPr>
          <w:rFonts w:ascii="Calibri" w:hAnsi="Calibri"/>
          <w:color w:val="000000"/>
        </w:rPr>
        <w:t>.</w:t>
      </w:r>
      <w:r w:rsidRPr="00F01116">
        <w:rPr>
          <w:rFonts w:ascii="Calibri" w:hAnsi="Calibri" w:cs="Times-Roman"/>
          <w:color w:val="000000"/>
        </w:rPr>
        <w:t xml:space="preserve"> (Kramer 2007)  </w:t>
      </w:r>
    </w:p>
    <w:p w14:paraId="4546DB7A" w14:textId="77777777" w:rsidR="00B36D10" w:rsidRDefault="00B36D10" w:rsidP="00F01116">
      <w:pPr>
        <w:autoSpaceDE w:val="0"/>
        <w:autoSpaceDN w:val="0"/>
        <w:adjustRightInd w:val="0"/>
        <w:jc w:val="both"/>
        <w:rPr>
          <w:rFonts w:ascii="Calibri" w:hAnsi="Calibri" w:cs="Times-Roman"/>
          <w:color w:val="000000"/>
        </w:rPr>
      </w:pPr>
    </w:p>
    <w:p w14:paraId="46D9C54E" w14:textId="59AD5F21" w:rsidR="000A59C8" w:rsidRPr="006D1F51" w:rsidRDefault="00873806" w:rsidP="006D1F51">
      <w:pPr>
        <w:autoSpaceDE w:val="0"/>
        <w:autoSpaceDN w:val="0"/>
        <w:adjustRightInd w:val="0"/>
        <w:jc w:val="both"/>
        <w:rPr>
          <w:rFonts w:ascii="Calibri" w:hAnsi="Calibri"/>
          <w:color w:val="000000"/>
        </w:rPr>
      </w:pPr>
      <w:r w:rsidRPr="00F01116">
        <w:rPr>
          <w:rFonts w:ascii="Calibri" w:hAnsi="Calibri"/>
          <w:color w:val="000000"/>
        </w:rPr>
        <w:t>A survey of patients and neurologists in Canada found that 17% patients thought they had switched from a brand to generic AED and 14% had experienced problems (without further details given). Neurologists scored whether their patients experienced problems after switched (1 never to 7 frequently), the median score was 2 but with no details given of the spread of scores. (Guberman 2000)</w:t>
      </w:r>
    </w:p>
    <w:p w14:paraId="2B732B96" w14:textId="77777777" w:rsidR="00E8010E" w:rsidRPr="00804C95" w:rsidRDefault="00E8010E" w:rsidP="007C7D65">
      <w:pPr>
        <w:rPr>
          <w:rFonts w:ascii="Calibri" w:hAnsi="Calibri"/>
          <w:b/>
        </w:rPr>
      </w:pPr>
      <w:r w:rsidRPr="00804C95">
        <w:rPr>
          <w:rFonts w:ascii="Calibri" w:hAnsi="Calibri"/>
          <w:b/>
        </w:rPr>
        <w:t>Systematic reviews</w:t>
      </w:r>
    </w:p>
    <w:p w14:paraId="7C5BE2B2" w14:textId="77777777" w:rsidR="0018508E" w:rsidRPr="00804C95" w:rsidRDefault="0018508E" w:rsidP="007C7D65">
      <w:pPr>
        <w:rPr>
          <w:rFonts w:ascii="Calibri" w:hAnsi="Calibri"/>
          <w:b/>
        </w:rPr>
      </w:pPr>
    </w:p>
    <w:p w14:paraId="6C14B242" w14:textId="77777777" w:rsidR="009500E7" w:rsidRPr="00804C95" w:rsidRDefault="009500E7" w:rsidP="003B43E0">
      <w:pPr>
        <w:jc w:val="both"/>
        <w:rPr>
          <w:rFonts w:ascii="Calibri" w:hAnsi="Calibri"/>
        </w:rPr>
      </w:pPr>
      <w:r w:rsidRPr="00804C95">
        <w:rPr>
          <w:rFonts w:ascii="Calibri" w:hAnsi="Calibri"/>
        </w:rPr>
        <w:t>Fou</w:t>
      </w:r>
      <w:r w:rsidR="003B43E0">
        <w:rPr>
          <w:rFonts w:ascii="Calibri" w:hAnsi="Calibri"/>
        </w:rPr>
        <w:t xml:space="preserve">r systematic reviews were found in the literature reviewing evidence on brand to generic switching of AEDs.  </w:t>
      </w:r>
      <w:r w:rsidR="00023727" w:rsidRPr="00804C95">
        <w:rPr>
          <w:rFonts w:ascii="Calibri" w:hAnsi="Calibri"/>
        </w:rPr>
        <w:t xml:space="preserve">All agreed that the strongest evidence available does not suggest there should be problems switching </w:t>
      </w:r>
      <w:r w:rsidR="007D731D" w:rsidRPr="00804C95">
        <w:rPr>
          <w:rFonts w:ascii="Calibri" w:hAnsi="Calibri"/>
        </w:rPr>
        <w:t xml:space="preserve">the majority of </w:t>
      </w:r>
      <w:r w:rsidR="00023727" w:rsidRPr="00804C95">
        <w:rPr>
          <w:rFonts w:ascii="Calibri" w:hAnsi="Calibri"/>
        </w:rPr>
        <w:t xml:space="preserve">patients between brand and generic AEDs.  However, they also agree that </w:t>
      </w:r>
      <w:r w:rsidR="007D731D" w:rsidRPr="00804C95">
        <w:rPr>
          <w:rFonts w:ascii="Calibri" w:hAnsi="Calibri"/>
        </w:rPr>
        <w:t>problems have been reported in practice and the current evidence base is not sufficient to recommend that all patients can be switched from brand to generic safely.</w:t>
      </w:r>
    </w:p>
    <w:p w14:paraId="710787E2" w14:textId="77777777" w:rsidR="007D731D" w:rsidRPr="00804C95" w:rsidRDefault="007D731D" w:rsidP="003B43E0">
      <w:pPr>
        <w:jc w:val="both"/>
        <w:rPr>
          <w:rFonts w:ascii="Calibri" w:hAnsi="Calibri"/>
          <w:b/>
        </w:rPr>
      </w:pPr>
    </w:p>
    <w:p w14:paraId="48F4D752" w14:textId="77777777" w:rsidR="007D731D" w:rsidRPr="00804C95" w:rsidRDefault="007D731D" w:rsidP="003B43E0">
      <w:pPr>
        <w:pStyle w:val="Normal1"/>
        <w:numPr>
          <w:ilvl w:val="0"/>
          <w:numId w:val="32"/>
        </w:numPr>
        <w:jc w:val="both"/>
        <w:rPr>
          <w:rFonts w:ascii="Calibri" w:hAnsi="Calibri"/>
        </w:rPr>
      </w:pPr>
      <w:r w:rsidRPr="003B43E0">
        <w:rPr>
          <w:rFonts w:ascii="Calibri" w:hAnsi="Calibri"/>
        </w:rPr>
        <w:t>Crawford et al</w:t>
      </w:r>
      <w:r w:rsidRPr="00804C95">
        <w:rPr>
          <w:rFonts w:ascii="Calibri" w:hAnsi="Calibri"/>
          <w:b/>
        </w:rPr>
        <w:t xml:space="preserve"> </w:t>
      </w:r>
      <w:r w:rsidRPr="00FD69A1">
        <w:rPr>
          <w:rFonts w:ascii="Calibri" w:hAnsi="Calibri"/>
        </w:rPr>
        <w:t>recommend that it is</w:t>
      </w:r>
      <w:r w:rsidRPr="00804C95">
        <w:rPr>
          <w:rFonts w:ascii="Calibri" w:hAnsi="Calibri"/>
          <w:b/>
        </w:rPr>
        <w:t xml:space="preserve"> </w:t>
      </w:r>
      <w:r w:rsidRPr="00804C95">
        <w:rPr>
          <w:rFonts w:ascii="Calibri" w:hAnsi="Calibri"/>
        </w:rPr>
        <w:t xml:space="preserve">prudent for patients, neurologists and pharmacists to be aware of the issues and to </w:t>
      </w:r>
      <w:r w:rsidRPr="00560537">
        <w:rPr>
          <w:rFonts w:ascii="Calibri" w:hAnsi="Calibri"/>
        </w:rPr>
        <w:t>approve generic prescribing of AEDs for certain high-risk patients prior to it being instituted.</w:t>
      </w:r>
      <w:r w:rsidR="00FD69A1" w:rsidRPr="00560537">
        <w:rPr>
          <w:rFonts w:ascii="Calibri" w:hAnsi="Calibri"/>
        </w:rPr>
        <w:t xml:space="preserve"> (Crawford</w:t>
      </w:r>
      <w:r w:rsidR="00FD69A1">
        <w:rPr>
          <w:rFonts w:ascii="Calibri" w:hAnsi="Calibri"/>
        </w:rPr>
        <w:t xml:space="preserve"> 2006)</w:t>
      </w:r>
    </w:p>
    <w:p w14:paraId="73F5461E" w14:textId="77777777" w:rsidR="007D731D" w:rsidRPr="00804C95" w:rsidRDefault="007D731D" w:rsidP="003B43E0">
      <w:pPr>
        <w:pStyle w:val="Normal1"/>
        <w:jc w:val="both"/>
        <w:rPr>
          <w:rFonts w:ascii="Calibri" w:hAnsi="Calibri"/>
        </w:rPr>
      </w:pPr>
    </w:p>
    <w:p w14:paraId="238FEB3B" w14:textId="6541EB61" w:rsidR="007D731D" w:rsidRPr="00804C95" w:rsidRDefault="007D731D" w:rsidP="003B43E0">
      <w:pPr>
        <w:numPr>
          <w:ilvl w:val="0"/>
          <w:numId w:val="32"/>
        </w:numPr>
        <w:autoSpaceDE w:val="0"/>
        <w:autoSpaceDN w:val="0"/>
        <w:adjustRightInd w:val="0"/>
        <w:jc w:val="both"/>
        <w:rPr>
          <w:rFonts w:ascii="Calibri" w:hAnsi="Calibri" w:cs="Meridien-Roman"/>
        </w:rPr>
      </w:pPr>
      <w:r w:rsidRPr="003B43E0">
        <w:rPr>
          <w:rFonts w:ascii="Calibri" w:hAnsi="Calibri"/>
        </w:rPr>
        <w:t>Desmarais et al</w:t>
      </w:r>
      <w:r w:rsidRPr="00804C95">
        <w:rPr>
          <w:rFonts w:ascii="Calibri" w:hAnsi="Calibri"/>
        </w:rPr>
        <w:t xml:space="preserve"> report that c</w:t>
      </w:r>
      <w:r w:rsidRPr="00804C95">
        <w:rPr>
          <w:rFonts w:ascii="Calibri" w:hAnsi="Calibri" w:cs="Meridien-Roman"/>
        </w:rPr>
        <w:t xml:space="preserve">linical deterioration, adverse effects, and changes in pharmacokinetics </w:t>
      </w:r>
      <w:r w:rsidR="009B229C" w:rsidRPr="00804C95">
        <w:rPr>
          <w:rFonts w:ascii="Calibri" w:hAnsi="Calibri" w:cs="Meridien-Roman"/>
        </w:rPr>
        <w:t>have been</w:t>
      </w:r>
      <w:r w:rsidRPr="00804C95">
        <w:rPr>
          <w:rFonts w:ascii="Calibri" w:hAnsi="Calibri" w:cs="Meridien-Roman"/>
        </w:rPr>
        <w:t xml:space="preserve"> described with generic substitution of several anticonvulsants. </w:t>
      </w:r>
      <w:r w:rsidR="009B229C" w:rsidRPr="00804C95">
        <w:rPr>
          <w:rFonts w:ascii="Calibri" w:hAnsi="Calibri" w:cs="Meridien-Roman"/>
        </w:rPr>
        <w:t>The authors conclude that g</w:t>
      </w:r>
      <w:r w:rsidRPr="00804C95">
        <w:rPr>
          <w:rFonts w:ascii="Calibri" w:hAnsi="Calibri" w:cs="Meridien-Roman"/>
        </w:rPr>
        <w:t xml:space="preserve">enerics do not always lead to the anticipated monetary savings and also raise compliance issues. </w:t>
      </w:r>
      <w:r w:rsidR="009B229C" w:rsidRPr="00804C95">
        <w:rPr>
          <w:rFonts w:ascii="Calibri" w:hAnsi="Calibri" w:cs="Meridien-Roman"/>
        </w:rPr>
        <w:t>This review wa</w:t>
      </w:r>
      <w:r w:rsidRPr="00804C95">
        <w:rPr>
          <w:rFonts w:ascii="Calibri" w:hAnsi="Calibri" w:cs="Meridien-Roman"/>
        </w:rPr>
        <w:t xml:space="preserve">s limited by publication bias and heterogeneity of the studies in the </w:t>
      </w:r>
      <w:r w:rsidR="00FD69A1" w:rsidRPr="00804C95">
        <w:rPr>
          <w:rFonts w:ascii="Calibri" w:hAnsi="Calibri" w:cs="Meridien-Roman"/>
        </w:rPr>
        <w:t>literature;</w:t>
      </w:r>
      <w:r w:rsidRPr="00804C95">
        <w:rPr>
          <w:rFonts w:ascii="Calibri" w:hAnsi="Calibri" w:cs="Meridien-Roman"/>
        </w:rPr>
        <w:t xml:space="preserve"> </w:t>
      </w:r>
      <w:r w:rsidR="009B229C" w:rsidRPr="00804C95">
        <w:rPr>
          <w:rFonts w:ascii="Calibri" w:hAnsi="Calibri" w:cs="Meridien-Roman"/>
        </w:rPr>
        <w:t>however</w:t>
      </w:r>
      <w:r w:rsidR="00BD4B67">
        <w:rPr>
          <w:rFonts w:ascii="Calibri" w:hAnsi="Calibri" w:cs="Meridien-Roman"/>
        </w:rPr>
        <w:t>,</w:t>
      </w:r>
      <w:r w:rsidR="009B229C" w:rsidRPr="00804C95">
        <w:rPr>
          <w:rFonts w:ascii="Calibri" w:hAnsi="Calibri" w:cs="Meridien-Roman"/>
        </w:rPr>
        <w:t xml:space="preserve"> </w:t>
      </w:r>
      <w:r w:rsidRPr="00804C95">
        <w:rPr>
          <w:rFonts w:ascii="Calibri" w:hAnsi="Calibri" w:cs="Meridien-Roman"/>
        </w:rPr>
        <w:t>they concluded</w:t>
      </w:r>
      <w:r w:rsidR="009B229C" w:rsidRPr="00804C95">
        <w:rPr>
          <w:rFonts w:ascii="Calibri" w:hAnsi="Calibri" w:cs="Meridien-Roman"/>
        </w:rPr>
        <w:t xml:space="preserve"> that</w:t>
      </w:r>
      <w:r w:rsidRPr="00804C95">
        <w:rPr>
          <w:rFonts w:ascii="Calibri" w:hAnsi="Calibri" w:cs="Meridien-Roman"/>
        </w:rPr>
        <w:t xml:space="preserve"> there is enough concern to advise generic switching on an individual basis with close monitoring throughout the transition. </w:t>
      </w:r>
      <w:r w:rsidR="00FD69A1">
        <w:rPr>
          <w:rFonts w:ascii="Calibri" w:hAnsi="Calibri" w:cs="Meridien-Roman"/>
        </w:rPr>
        <w:t>(Desmarais 2011)</w:t>
      </w:r>
    </w:p>
    <w:p w14:paraId="633FF380" w14:textId="77777777" w:rsidR="007D731D" w:rsidRPr="00804C95" w:rsidRDefault="007D731D" w:rsidP="003B43E0">
      <w:pPr>
        <w:pStyle w:val="Normal1"/>
        <w:jc w:val="both"/>
        <w:rPr>
          <w:b/>
        </w:rPr>
      </w:pPr>
    </w:p>
    <w:p w14:paraId="276D50C4" w14:textId="77777777" w:rsidR="009B229C" w:rsidRPr="00804C95" w:rsidRDefault="009B229C" w:rsidP="003B43E0">
      <w:pPr>
        <w:numPr>
          <w:ilvl w:val="0"/>
          <w:numId w:val="32"/>
        </w:numPr>
        <w:autoSpaceDE w:val="0"/>
        <w:autoSpaceDN w:val="0"/>
        <w:adjustRightInd w:val="0"/>
        <w:jc w:val="both"/>
        <w:rPr>
          <w:rFonts w:ascii="Calibri" w:hAnsi="Calibri" w:cs="AdvTimes"/>
        </w:rPr>
      </w:pPr>
      <w:r w:rsidRPr="003B43E0">
        <w:rPr>
          <w:rFonts w:ascii="Calibri" w:hAnsi="Calibri"/>
        </w:rPr>
        <w:lastRenderedPageBreak/>
        <w:t>Kesselheim et al</w:t>
      </w:r>
      <w:r w:rsidRPr="00804C95">
        <w:rPr>
          <w:rFonts w:ascii="Calibri" w:hAnsi="Calibri"/>
          <w:b/>
        </w:rPr>
        <w:t xml:space="preserve"> </w:t>
      </w:r>
      <w:r w:rsidRPr="00804C95">
        <w:rPr>
          <w:rFonts w:ascii="Calibri" w:hAnsi="Calibri"/>
        </w:rPr>
        <w:t>carried out a</w:t>
      </w:r>
      <w:r w:rsidRPr="00804C95">
        <w:rPr>
          <w:rFonts w:ascii="Calibri" w:hAnsi="Calibri"/>
          <w:b/>
        </w:rPr>
        <w:t xml:space="preserve"> </w:t>
      </w:r>
      <w:r w:rsidRPr="00804C95">
        <w:rPr>
          <w:rFonts w:ascii="Calibri" w:hAnsi="Calibri" w:cs="AdvTimes"/>
        </w:rPr>
        <w:t>systematic review and meta-analysis of trials comparing seizure outcomes from use of brand-name and generic AEDs and found no association between loss of seizure control and generic substitution for at least three types of AEDs. Observational study da</w:t>
      </w:r>
      <w:r w:rsidR="00BF0B92">
        <w:rPr>
          <w:rFonts w:ascii="Calibri" w:hAnsi="Calibri" w:cs="AdvTimes"/>
        </w:rPr>
        <w:t xml:space="preserve">ta suggested that brand to </w:t>
      </w:r>
      <w:r w:rsidRPr="00804C95">
        <w:rPr>
          <w:rFonts w:ascii="Calibri" w:hAnsi="Calibri" w:cs="AdvTimes"/>
        </w:rPr>
        <w:t>generic AED switching may be associated with ‘switchbacks’ and increased</w:t>
      </w:r>
      <w:r w:rsidR="00BF0B92">
        <w:rPr>
          <w:rFonts w:ascii="Calibri" w:hAnsi="Calibri" w:cs="AdvTimes"/>
        </w:rPr>
        <w:t xml:space="preserve"> rates of health services utilis</w:t>
      </w:r>
      <w:r w:rsidRPr="00804C95">
        <w:rPr>
          <w:rFonts w:ascii="Calibri" w:hAnsi="Calibri" w:cs="AdvTimes"/>
        </w:rPr>
        <w:t>ation, but these studies are limited by unmeasured confounders and other factors in their design. The authors sug</w:t>
      </w:r>
      <w:r w:rsidR="00BF0B92">
        <w:rPr>
          <w:rFonts w:ascii="Calibri" w:hAnsi="Calibri" w:cs="AdvTimes"/>
        </w:rPr>
        <w:t>gest that physicians</w:t>
      </w:r>
      <w:r w:rsidRPr="00804C95">
        <w:rPr>
          <w:rFonts w:ascii="Calibri" w:hAnsi="Calibri" w:cs="AdvTimes"/>
        </w:rPr>
        <w:t xml:space="preserve"> consider more intensive monitoring of high-risk patients taking AEDs when any medication change occurs, in the absence of better data, however there is little evidence-based rationale to challenge the implementation of generic substitution for AEDs in most cases.</w:t>
      </w:r>
      <w:r w:rsidR="00FD69A1">
        <w:rPr>
          <w:rFonts w:ascii="Calibri" w:hAnsi="Calibri" w:cs="AdvTimes"/>
        </w:rPr>
        <w:t xml:space="preserve"> (Kesselheim 2010)</w:t>
      </w:r>
    </w:p>
    <w:p w14:paraId="27C02BD2" w14:textId="77777777" w:rsidR="00023727" w:rsidRPr="00804C95" w:rsidRDefault="00023727" w:rsidP="003B43E0">
      <w:pPr>
        <w:jc w:val="both"/>
        <w:rPr>
          <w:rFonts w:ascii="Calibri" w:hAnsi="Calibri"/>
          <w:b/>
        </w:rPr>
      </w:pPr>
    </w:p>
    <w:p w14:paraId="125DEF1C" w14:textId="393D677F" w:rsidR="0018400B" w:rsidRDefault="009B229C" w:rsidP="003B43E0">
      <w:pPr>
        <w:numPr>
          <w:ilvl w:val="0"/>
          <w:numId w:val="32"/>
        </w:numPr>
        <w:autoSpaceDE w:val="0"/>
        <w:autoSpaceDN w:val="0"/>
        <w:adjustRightInd w:val="0"/>
        <w:jc w:val="both"/>
        <w:rPr>
          <w:rFonts w:ascii="Calibri" w:hAnsi="Calibri" w:cs="Times-Roman"/>
        </w:rPr>
      </w:pPr>
      <w:r w:rsidRPr="003B43E0">
        <w:rPr>
          <w:rFonts w:ascii="Calibri" w:hAnsi="Calibri"/>
        </w:rPr>
        <w:t>Yamada et al</w:t>
      </w:r>
      <w:r w:rsidRPr="00804C95">
        <w:rPr>
          <w:rFonts w:ascii="Calibri" w:hAnsi="Calibri"/>
          <w:b/>
        </w:rPr>
        <w:t xml:space="preserve"> </w:t>
      </w:r>
      <w:r w:rsidR="00BF0B92">
        <w:rPr>
          <w:rFonts w:ascii="Calibri" w:hAnsi="Calibri"/>
        </w:rPr>
        <w:t>found</w:t>
      </w:r>
      <w:r w:rsidR="0018400B" w:rsidRPr="00804C95">
        <w:rPr>
          <w:rFonts w:ascii="Calibri" w:hAnsi="Calibri"/>
        </w:rPr>
        <w:t xml:space="preserve"> the a</w:t>
      </w:r>
      <w:r w:rsidR="00BF0B92">
        <w:rPr>
          <w:rFonts w:ascii="Calibri" w:hAnsi="Calibri" w:cs="Times-Roman"/>
        </w:rPr>
        <w:t>vailable literature</w:t>
      </w:r>
      <w:r w:rsidRPr="00804C95">
        <w:rPr>
          <w:rFonts w:ascii="Calibri" w:hAnsi="Calibri" w:cs="Times-Roman"/>
        </w:rPr>
        <w:t xml:space="preserve"> conflicting. Retrospective studies suggest a possible relationship between substitution of generic</w:t>
      </w:r>
      <w:r w:rsidR="0018400B" w:rsidRPr="00804C95">
        <w:rPr>
          <w:rFonts w:ascii="Calibri" w:hAnsi="Calibri" w:cs="Times-Roman"/>
        </w:rPr>
        <w:t xml:space="preserve"> AEDs and increased utilis</w:t>
      </w:r>
      <w:r w:rsidRPr="00804C95">
        <w:rPr>
          <w:rFonts w:ascii="Calibri" w:hAnsi="Calibri" w:cs="Times-Roman"/>
        </w:rPr>
        <w:t xml:space="preserve">ation of medical services or higher switchback rates. Results from the majority of small prospective studies reviewed failed to show significant differences in clinical outcomes or in </w:t>
      </w:r>
      <w:r w:rsidR="0018400B" w:rsidRPr="00804C95">
        <w:rPr>
          <w:rFonts w:ascii="Calibri" w:hAnsi="Calibri" w:cs="Times-Roman"/>
        </w:rPr>
        <w:t xml:space="preserve">pharmacokinetic </w:t>
      </w:r>
      <w:r w:rsidRPr="00804C95">
        <w:rPr>
          <w:rFonts w:ascii="Calibri" w:hAnsi="Calibri" w:cs="Times-Roman"/>
        </w:rPr>
        <w:t>parameters used to determine bioequivalence. The strongest available levels of evidence indicate that brand to generic AED substitution is generally not problematic, although there may be some groups of patients more prone to complications. Some evidence suggests that switches between generic AEDs in individual patient</w:t>
      </w:r>
      <w:r w:rsidR="0018400B" w:rsidRPr="00804C95">
        <w:rPr>
          <w:rFonts w:ascii="Calibri" w:hAnsi="Calibri" w:cs="Times-Roman"/>
        </w:rPr>
        <w:t>s may result in increased utilis</w:t>
      </w:r>
      <w:r w:rsidRPr="00804C95">
        <w:rPr>
          <w:rFonts w:ascii="Calibri" w:hAnsi="Calibri" w:cs="Times-Roman"/>
        </w:rPr>
        <w:t xml:space="preserve">ation of health care resources. </w:t>
      </w:r>
      <w:r w:rsidR="00FD69A1">
        <w:rPr>
          <w:rFonts w:ascii="Calibri" w:hAnsi="Calibri" w:cs="Times-Roman"/>
        </w:rPr>
        <w:t>(Yamada 2011)</w:t>
      </w:r>
    </w:p>
    <w:p w14:paraId="4CB0C68F" w14:textId="77777777" w:rsidR="00D27E06" w:rsidRDefault="00D27E06" w:rsidP="00D27E06">
      <w:pPr>
        <w:pStyle w:val="ListParagraph"/>
        <w:rPr>
          <w:rFonts w:ascii="Calibri" w:hAnsi="Calibri" w:cs="Times-Roman"/>
        </w:rPr>
      </w:pPr>
    </w:p>
    <w:p w14:paraId="2DA7EC78" w14:textId="03FCAD5E" w:rsidR="00D27E06" w:rsidRPr="00D27E06" w:rsidRDefault="00D27E06" w:rsidP="00D27E06">
      <w:pPr>
        <w:numPr>
          <w:ilvl w:val="0"/>
          <w:numId w:val="32"/>
        </w:numPr>
        <w:autoSpaceDE w:val="0"/>
        <w:autoSpaceDN w:val="0"/>
        <w:adjustRightInd w:val="0"/>
        <w:jc w:val="both"/>
        <w:rPr>
          <w:rFonts w:ascii="Calibri" w:hAnsi="Calibri" w:cs="Times-Roman"/>
        </w:rPr>
      </w:pPr>
      <w:r>
        <w:rPr>
          <w:rFonts w:ascii="Calibri" w:hAnsi="Calibri" w:cs="Times-Roman"/>
        </w:rPr>
        <w:t xml:space="preserve">Talati et al </w:t>
      </w:r>
      <w:r w:rsidR="00D40FA9">
        <w:rPr>
          <w:rFonts w:ascii="Calibri" w:hAnsi="Calibri" w:cs="Times-Roman"/>
        </w:rPr>
        <w:t>reviewed</w:t>
      </w:r>
      <w:r w:rsidR="00B119F2">
        <w:rPr>
          <w:rFonts w:ascii="Calibri" w:hAnsi="Calibri" w:cs="Times-Roman"/>
        </w:rPr>
        <w:t xml:space="preserve"> 18</w:t>
      </w:r>
      <w:r w:rsidR="00D40FA9">
        <w:rPr>
          <w:rFonts w:ascii="Calibri" w:hAnsi="Calibri" w:cs="Times-Roman"/>
        </w:rPr>
        <w:t xml:space="preserve"> </w:t>
      </w:r>
      <w:r w:rsidR="00973872">
        <w:rPr>
          <w:rFonts w:ascii="Calibri" w:hAnsi="Calibri" w:cs="Times-Roman"/>
        </w:rPr>
        <w:t>RCTs</w:t>
      </w:r>
      <w:r w:rsidR="003F4191">
        <w:rPr>
          <w:rFonts w:ascii="Calibri" w:hAnsi="Calibri" w:cs="Times-Roman"/>
        </w:rPr>
        <w:t xml:space="preserve"> and observational studies</w:t>
      </w:r>
      <w:r w:rsidR="00BA29E1">
        <w:rPr>
          <w:rFonts w:ascii="Calibri" w:hAnsi="Calibri" w:cs="Times-Roman"/>
        </w:rPr>
        <w:t xml:space="preserve"> predominantly of carbamazepine </w:t>
      </w:r>
      <w:r w:rsidR="00424463">
        <w:rPr>
          <w:rFonts w:ascii="Calibri" w:hAnsi="Calibri" w:cs="Times-Roman"/>
        </w:rPr>
        <w:t>and to a lesser extent phenytoin and sodium valproate</w:t>
      </w:r>
      <w:r w:rsidR="00CF5203">
        <w:rPr>
          <w:rFonts w:ascii="Calibri" w:hAnsi="Calibri" w:cs="Times-Roman"/>
        </w:rPr>
        <w:t>, lamotrigine and topiramate</w:t>
      </w:r>
      <w:r w:rsidR="00424463">
        <w:rPr>
          <w:rFonts w:ascii="Calibri" w:hAnsi="Calibri" w:cs="Times-Roman"/>
        </w:rPr>
        <w:t>. It was</w:t>
      </w:r>
      <w:r w:rsidR="00B119F2">
        <w:rPr>
          <w:rFonts w:ascii="Calibri" w:hAnsi="Calibri" w:cs="Times-Roman"/>
        </w:rPr>
        <w:t xml:space="preserve"> found that </w:t>
      </w:r>
      <w:r w:rsidR="003F30CD">
        <w:rPr>
          <w:rFonts w:ascii="Calibri" w:hAnsi="Calibri" w:cs="Times-Roman"/>
        </w:rPr>
        <w:t xml:space="preserve">there was low strength evidence suggesting that </w:t>
      </w:r>
      <w:r w:rsidR="00500908">
        <w:rPr>
          <w:rFonts w:ascii="Calibri" w:hAnsi="Calibri" w:cs="Times-Roman"/>
        </w:rPr>
        <w:t xml:space="preserve">initiating </w:t>
      </w:r>
      <w:r w:rsidR="003F30CD">
        <w:rPr>
          <w:rFonts w:ascii="Calibri" w:hAnsi="Calibri" w:cs="Times-Roman"/>
        </w:rPr>
        <w:t>brand and generic antiepileptic drugs provide similar efficacy, tolerability, blood concentrations and safety</w:t>
      </w:r>
      <w:r w:rsidR="00545D1B">
        <w:rPr>
          <w:rFonts w:ascii="Calibri" w:hAnsi="Calibri" w:cs="Times-Roman"/>
        </w:rPr>
        <w:t>.</w:t>
      </w:r>
      <w:r>
        <w:rPr>
          <w:rFonts w:ascii="Calibri" w:hAnsi="Calibri" w:cs="Times-Roman"/>
        </w:rPr>
        <w:t xml:space="preserve">  </w:t>
      </w:r>
      <w:r w:rsidR="00EA51B6">
        <w:rPr>
          <w:rFonts w:ascii="Calibri" w:hAnsi="Calibri" w:cs="Times-Roman"/>
        </w:rPr>
        <w:t>However, switching from one form to the other may be associated with more hospitalisations</w:t>
      </w:r>
      <w:r w:rsidR="00E41AA4">
        <w:rPr>
          <w:rFonts w:ascii="Calibri" w:hAnsi="Calibri" w:cs="Times-Roman"/>
        </w:rPr>
        <w:t xml:space="preserve"> and longer hospital stays</w:t>
      </w:r>
      <w:r w:rsidR="00FA1B5A">
        <w:rPr>
          <w:rFonts w:ascii="Calibri" w:hAnsi="Calibri" w:cs="Times-Roman"/>
        </w:rPr>
        <w:t xml:space="preserve"> although </w:t>
      </w:r>
      <w:r w:rsidR="00410BDF">
        <w:rPr>
          <w:rFonts w:ascii="Calibri" w:hAnsi="Calibri" w:cs="Times-Roman"/>
        </w:rPr>
        <w:t>one study which accounted for confounder</w:t>
      </w:r>
      <w:r w:rsidR="00E55BC8">
        <w:rPr>
          <w:rFonts w:ascii="Calibri" w:hAnsi="Calibri" w:cs="Times-Roman"/>
        </w:rPr>
        <w:t>s</w:t>
      </w:r>
      <w:r w:rsidR="00410BDF">
        <w:rPr>
          <w:rFonts w:ascii="Calibri" w:hAnsi="Calibri" w:cs="Times-Roman"/>
        </w:rPr>
        <w:t xml:space="preserve"> did not find a significant difference</w:t>
      </w:r>
      <w:r w:rsidR="00FA1B5A">
        <w:rPr>
          <w:rFonts w:ascii="Calibri" w:hAnsi="Calibri" w:cs="Times-Roman"/>
        </w:rPr>
        <w:t>.</w:t>
      </w:r>
      <w:r w:rsidR="00E41AA4">
        <w:rPr>
          <w:rFonts w:ascii="Calibri" w:hAnsi="Calibri" w:cs="Times-Roman"/>
        </w:rPr>
        <w:t xml:space="preserve"> </w:t>
      </w:r>
      <w:r>
        <w:rPr>
          <w:rFonts w:ascii="Calibri" w:hAnsi="Calibri" w:cs="Times-Roman"/>
        </w:rPr>
        <w:t>(Talati 2012)</w:t>
      </w:r>
    </w:p>
    <w:p w14:paraId="38AAB427" w14:textId="77777777" w:rsidR="009B229C" w:rsidRDefault="009B229C" w:rsidP="003B43E0">
      <w:pPr>
        <w:jc w:val="both"/>
        <w:rPr>
          <w:rFonts w:ascii="Calibri" w:hAnsi="Calibri"/>
          <w:b/>
          <w:highlight w:val="red"/>
        </w:rPr>
      </w:pPr>
    </w:p>
    <w:p w14:paraId="0045C562" w14:textId="77777777" w:rsidR="000A59C8" w:rsidRPr="00943FCE" w:rsidRDefault="00AA08CF" w:rsidP="007C7D65">
      <w:pPr>
        <w:rPr>
          <w:rFonts w:ascii="Calibri" w:hAnsi="Calibri"/>
          <w:b/>
          <w:u w:val="single"/>
        </w:rPr>
      </w:pPr>
      <w:r w:rsidRPr="00943FCE">
        <w:rPr>
          <w:rFonts w:ascii="Calibri" w:hAnsi="Calibri"/>
          <w:b/>
          <w:u w:val="single"/>
        </w:rPr>
        <w:t>In summary</w:t>
      </w:r>
    </w:p>
    <w:p w14:paraId="0FB1ECBD" w14:textId="77777777" w:rsidR="000A59C8" w:rsidRDefault="000A59C8" w:rsidP="007C7D65">
      <w:pPr>
        <w:rPr>
          <w:rFonts w:ascii="Calibri" w:hAnsi="Calibri"/>
        </w:rPr>
      </w:pPr>
    </w:p>
    <w:p w14:paraId="37D3C19D" w14:textId="0F939C1C" w:rsidR="007C7D65" w:rsidRDefault="007C7D65" w:rsidP="00F01116">
      <w:pPr>
        <w:jc w:val="both"/>
        <w:rPr>
          <w:rFonts w:ascii="Calibri" w:hAnsi="Calibri"/>
        </w:rPr>
      </w:pPr>
      <w:r>
        <w:rPr>
          <w:rFonts w:ascii="Calibri" w:hAnsi="Calibri"/>
        </w:rPr>
        <w:t xml:space="preserve">The </w:t>
      </w:r>
      <w:r w:rsidR="00347028">
        <w:rPr>
          <w:rFonts w:ascii="Calibri" w:hAnsi="Calibri"/>
        </w:rPr>
        <w:t xml:space="preserve">evidence </w:t>
      </w:r>
      <w:r>
        <w:rPr>
          <w:rFonts w:ascii="Calibri" w:hAnsi="Calibri"/>
        </w:rPr>
        <w:t xml:space="preserve">appears to </w:t>
      </w:r>
      <w:r w:rsidR="00347028">
        <w:rPr>
          <w:rFonts w:ascii="Calibri" w:hAnsi="Calibri"/>
        </w:rPr>
        <w:t>suggest</w:t>
      </w:r>
      <w:r>
        <w:rPr>
          <w:rFonts w:ascii="Calibri" w:hAnsi="Calibri"/>
        </w:rPr>
        <w:t xml:space="preserve"> that many patients are likely to tolerate a switch to a generic AED which may differ slightly in AUC and Cmax</w:t>
      </w:r>
      <w:r w:rsidR="001007F7">
        <w:rPr>
          <w:rFonts w:ascii="Calibri" w:hAnsi="Calibri"/>
        </w:rPr>
        <w:t>. However,</w:t>
      </w:r>
      <w:r>
        <w:rPr>
          <w:rFonts w:ascii="Calibri" w:hAnsi="Calibri"/>
        </w:rPr>
        <w:t xml:space="preserve"> there </w:t>
      </w:r>
      <w:r w:rsidR="002130C2">
        <w:rPr>
          <w:rFonts w:ascii="Calibri" w:hAnsi="Calibri"/>
        </w:rPr>
        <w:t xml:space="preserve">could </w:t>
      </w:r>
      <w:r>
        <w:rPr>
          <w:rFonts w:ascii="Calibri" w:hAnsi="Calibri"/>
        </w:rPr>
        <w:t xml:space="preserve">be a small proportion of patients who </w:t>
      </w:r>
      <w:r w:rsidR="002130C2">
        <w:rPr>
          <w:rFonts w:ascii="Calibri" w:hAnsi="Calibri"/>
        </w:rPr>
        <w:t xml:space="preserve">may </w:t>
      </w:r>
      <w:r>
        <w:rPr>
          <w:rFonts w:ascii="Calibri" w:hAnsi="Calibri"/>
        </w:rPr>
        <w:t xml:space="preserve">already </w:t>
      </w:r>
      <w:r w:rsidR="002130C2">
        <w:rPr>
          <w:rFonts w:ascii="Calibri" w:hAnsi="Calibri"/>
        </w:rPr>
        <w:t xml:space="preserve">be </w:t>
      </w:r>
      <w:r>
        <w:rPr>
          <w:rFonts w:ascii="Calibri" w:hAnsi="Calibri"/>
        </w:rPr>
        <w:t>at the</w:t>
      </w:r>
      <w:r w:rsidR="00BA5160">
        <w:rPr>
          <w:rFonts w:ascii="Calibri" w:hAnsi="Calibri"/>
        </w:rPr>
        <w:t>ir</w:t>
      </w:r>
      <w:r>
        <w:rPr>
          <w:rFonts w:ascii="Calibri" w:hAnsi="Calibri"/>
        </w:rPr>
        <w:t xml:space="preserve"> </w:t>
      </w:r>
      <w:r w:rsidR="00606879">
        <w:rPr>
          <w:rFonts w:ascii="Calibri" w:hAnsi="Calibri"/>
        </w:rPr>
        <w:t xml:space="preserve">upper </w:t>
      </w:r>
      <w:r>
        <w:rPr>
          <w:rFonts w:ascii="Calibri" w:hAnsi="Calibri"/>
        </w:rPr>
        <w:t xml:space="preserve">threshold of tolerability </w:t>
      </w:r>
      <w:r w:rsidR="00606879">
        <w:rPr>
          <w:rFonts w:ascii="Calibri" w:hAnsi="Calibri"/>
        </w:rPr>
        <w:t xml:space="preserve">or lower threshold of efficacy </w:t>
      </w:r>
      <w:r>
        <w:rPr>
          <w:rFonts w:ascii="Calibri" w:hAnsi="Calibri"/>
        </w:rPr>
        <w:t xml:space="preserve">of their branded AED and may find a switch to </w:t>
      </w:r>
      <w:r w:rsidR="00370B88">
        <w:rPr>
          <w:rFonts w:ascii="Calibri" w:hAnsi="Calibri"/>
        </w:rPr>
        <w:t>a generic drug problematic.</w:t>
      </w:r>
      <w:r>
        <w:rPr>
          <w:rFonts w:ascii="Calibri" w:hAnsi="Calibri"/>
        </w:rPr>
        <w:t xml:space="preserve"> The consequences of breakthrough seizures in previously stable patients </w:t>
      </w:r>
      <w:r w:rsidR="00347028">
        <w:rPr>
          <w:rFonts w:ascii="Calibri" w:hAnsi="Calibri"/>
        </w:rPr>
        <w:t>can be</w:t>
      </w:r>
      <w:r>
        <w:rPr>
          <w:rFonts w:ascii="Calibri" w:hAnsi="Calibri"/>
        </w:rPr>
        <w:t xml:space="preserve"> costly, having a deleterious effect on patients’ he</w:t>
      </w:r>
      <w:r w:rsidR="00347028">
        <w:rPr>
          <w:rFonts w:ascii="Calibri" w:hAnsi="Calibri"/>
        </w:rPr>
        <w:t>alth, independence, lifestyle and ability to drive.</w:t>
      </w:r>
    </w:p>
    <w:p w14:paraId="51B779A9" w14:textId="77777777" w:rsidR="0006567E" w:rsidRDefault="0006567E" w:rsidP="00F01116">
      <w:pPr>
        <w:jc w:val="both"/>
        <w:rPr>
          <w:rFonts w:ascii="Calibri" w:hAnsi="Calibri"/>
        </w:rPr>
      </w:pPr>
    </w:p>
    <w:p w14:paraId="06C31B58" w14:textId="6EEF1DE0" w:rsidR="00204DEB" w:rsidRPr="0018137D" w:rsidRDefault="00411AA7" w:rsidP="00F01116">
      <w:pPr>
        <w:jc w:val="both"/>
        <w:rPr>
          <w:rFonts w:ascii="Calibri" w:hAnsi="Calibri"/>
        </w:rPr>
      </w:pPr>
      <w:r>
        <w:rPr>
          <w:rFonts w:ascii="Calibri" w:hAnsi="Calibri"/>
        </w:rPr>
        <w:t>To</w:t>
      </w:r>
      <w:r w:rsidR="00204DEB" w:rsidRPr="0018137D">
        <w:rPr>
          <w:rFonts w:ascii="Calibri" w:hAnsi="Calibri"/>
        </w:rPr>
        <w:t xml:space="preserve"> provide consistency </w:t>
      </w:r>
      <w:r w:rsidR="009D7BFF">
        <w:rPr>
          <w:rFonts w:ascii="Calibri" w:hAnsi="Calibri"/>
        </w:rPr>
        <w:t>of</w:t>
      </w:r>
      <w:r w:rsidR="009D7BFF" w:rsidRPr="0018137D">
        <w:rPr>
          <w:rFonts w:ascii="Calibri" w:hAnsi="Calibri"/>
        </w:rPr>
        <w:t xml:space="preserve"> </w:t>
      </w:r>
      <w:r w:rsidR="00204DEB" w:rsidRPr="0018137D">
        <w:rPr>
          <w:rFonts w:ascii="Calibri" w:hAnsi="Calibri"/>
        </w:rPr>
        <w:t>advice across the NHS, the Generics Sub</w:t>
      </w:r>
      <w:r w:rsidR="00A04275">
        <w:rPr>
          <w:rFonts w:ascii="Calibri" w:hAnsi="Calibri"/>
        </w:rPr>
        <w:t>g</w:t>
      </w:r>
      <w:r w:rsidR="00204DEB" w:rsidRPr="0018137D">
        <w:rPr>
          <w:rFonts w:ascii="Calibri" w:hAnsi="Calibri"/>
        </w:rPr>
        <w:t xml:space="preserve">roup of PMSG set up a working group to look at whether practice could </w:t>
      </w:r>
      <w:r w:rsidR="00370B88">
        <w:rPr>
          <w:rFonts w:ascii="Calibri" w:hAnsi="Calibri"/>
        </w:rPr>
        <w:t xml:space="preserve">be standardised.  See appendix </w:t>
      </w:r>
      <w:r w:rsidR="00B6115C">
        <w:rPr>
          <w:rFonts w:ascii="Calibri" w:hAnsi="Calibri"/>
        </w:rPr>
        <w:t>9</w:t>
      </w:r>
      <w:r w:rsidR="00204DEB" w:rsidRPr="0018137D">
        <w:rPr>
          <w:rFonts w:ascii="Calibri" w:hAnsi="Calibri"/>
        </w:rPr>
        <w:t xml:space="preserve"> for members of the group.</w:t>
      </w:r>
    </w:p>
    <w:p w14:paraId="05FCB55F" w14:textId="77777777" w:rsidR="00E8010E" w:rsidRDefault="00E8010E" w:rsidP="003010F1">
      <w:pPr>
        <w:rPr>
          <w:rFonts w:ascii="Calibri" w:hAnsi="Calibri"/>
          <w:b/>
          <w:u w:val="single"/>
        </w:rPr>
      </w:pPr>
    </w:p>
    <w:p w14:paraId="5FE05B67" w14:textId="0AD85D99" w:rsidR="003B43E0" w:rsidRDefault="003B43E0" w:rsidP="003010F1">
      <w:pPr>
        <w:rPr>
          <w:rFonts w:ascii="Calibri" w:hAnsi="Calibri"/>
          <w:b/>
          <w:u w:val="single"/>
        </w:rPr>
      </w:pPr>
    </w:p>
    <w:p w14:paraId="298B5F7F" w14:textId="62DB455B" w:rsidR="00001536" w:rsidRDefault="00001536" w:rsidP="003010F1">
      <w:pPr>
        <w:rPr>
          <w:rFonts w:ascii="Calibri" w:hAnsi="Calibri"/>
          <w:b/>
          <w:u w:val="single"/>
        </w:rPr>
      </w:pPr>
    </w:p>
    <w:p w14:paraId="11009312" w14:textId="5E16D94D" w:rsidR="00001536" w:rsidRDefault="00001536" w:rsidP="003010F1">
      <w:pPr>
        <w:rPr>
          <w:rFonts w:ascii="Calibri" w:hAnsi="Calibri"/>
          <w:b/>
          <w:u w:val="single"/>
        </w:rPr>
      </w:pPr>
    </w:p>
    <w:p w14:paraId="2D9B4EEB" w14:textId="3A2F4F15" w:rsidR="00001536" w:rsidRDefault="00001536" w:rsidP="003010F1">
      <w:pPr>
        <w:rPr>
          <w:rFonts w:ascii="Calibri" w:hAnsi="Calibri"/>
          <w:b/>
          <w:u w:val="single"/>
        </w:rPr>
      </w:pPr>
    </w:p>
    <w:p w14:paraId="43F9BDEF" w14:textId="5EF8437A" w:rsidR="00001536" w:rsidRDefault="00001536" w:rsidP="003010F1">
      <w:pPr>
        <w:rPr>
          <w:rFonts w:ascii="Calibri" w:hAnsi="Calibri"/>
          <w:b/>
          <w:u w:val="single"/>
        </w:rPr>
      </w:pPr>
    </w:p>
    <w:p w14:paraId="75418E5C" w14:textId="6EFF66F7" w:rsidR="00001536" w:rsidRDefault="00001536" w:rsidP="003010F1">
      <w:pPr>
        <w:rPr>
          <w:rFonts w:ascii="Calibri" w:hAnsi="Calibri"/>
          <w:b/>
          <w:u w:val="single"/>
        </w:rPr>
      </w:pPr>
    </w:p>
    <w:p w14:paraId="571E0232" w14:textId="35472ABB" w:rsidR="00001536" w:rsidRDefault="00001536" w:rsidP="003010F1">
      <w:pPr>
        <w:rPr>
          <w:rFonts w:ascii="Calibri" w:hAnsi="Calibri"/>
          <w:b/>
          <w:u w:val="single"/>
        </w:rPr>
      </w:pPr>
    </w:p>
    <w:p w14:paraId="063F175D" w14:textId="3D6FEC94" w:rsidR="00001536" w:rsidRDefault="00001536" w:rsidP="003010F1">
      <w:pPr>
        <w:rPr>
          <w:rFonts w:ascii="Calibri" w:hAnsi="Calibri"/>
          <w:b/>
          <w:u w:val="single"/>
        </w:rPr>
      </w:pPr>
    </w:p>
    <w:p w14:paraId="09D3C089" w14:textId="7D60CA16" w:rsidR="00001536" w:rsidRDefault="00001536" w:rsidP="003010F1">
      <w:pPr>
        <w:rPr>
          <w:rFonts w:ascii="Calibri" w:hAnsi="Calibri"/>
          <w:b/>
          <w:u w:val="single"/>
        </w:rPr>
      </w:pPr>
    </w:p>
    <w:p w14:paraId="0535A642" w14:textId="7637D39E" w:rsidR="00C24952" w:rsidRDefault="00C24952" w:rsidP="003010F1">
      <w:pPr>
        <w:rPr>
          <w:rFonts w:ascii="Calibri" w:hAnsi="Calibri"/>
          <w:b/>
          <w:u w:val="single"/>
        </w:rPr>
      </w:pPr>
    </w:p>
    <w:p w14:paraId="56BE4397" w14:textId="5C33E6F9" w:rsidR="00C24952" w:rsidRDefault="00C24952" w:rsidP="003010F1">
      <w:pPr>
        <w:rPr>
          <w:rFonts w:ascii="Calibri" w:hAnsi="Calibri"/>
          <w:b/>
          <w:u w:val="single"/>
        </w:rPr>
      </w:pPr>
    </w:p>
    <w:p w14:paraId="4E30C69B" w14:textId="40401495" w:rsidR="00C24952" w:rsidRDefault="00C24952" w:rsidP="003010F1">
      <w:pPr>
        <w:rPr>
          <w:rFonts w:ascii="Calibri" w:hAnsi="Calibri"/>
          <w:b/>
          <w:u w:val="single"/>
        </w:rPr>
      </w:pPr>
    </w:p>
    <w:p w14:paraId="75625DA9" w14:textId="59B00BD0" w:rsidR="00C24952" w:rsidRDefault="00C24952" w:rsidP="003010F1">
      <w:pPr>
        <w:rPr>
          <w:rFonts w:ascii="Calibri" w:hAnsi="Calibri"/>
          <w:b/>
          <w:u w:val="single"/>
        </w:rPr>
      </w:pPr>
    </w:p>
    <w:p w14:paraId="51C2084C" w14:textId="07C98CFB" w:rsidR="00C24952" w:rsidRDefault="00C24952" w:rsidP="003010F1">
      <w:pPr>
        <w:rPr>
          <w:rFonts w:ascii="Calibri" w:hAnsi="Calibri"/>
          <w:b/>
          <w:u w:val="single"/>
        </w:rPr>
      </w:pPr>
    </w:p>
    <w:p w14:paraId="5A322FBB" w14:textId="0C464024" w:rsidR="000E5D01" w:rsidRDefault="00E00D81" w:rsidP="003010F1">
      <w:pPr>
        <w:rPr>
          <w:rFonts w:ascii="Calibri" w:hAnsi="Calibri"/>
          <w:b/>
          <w:u w:val="single"/>
        </w:rPr>
      </w:pPr>
      <w:r>
        <w:rPr>
          <w:noProof/>
        </w:rPr>
        <w:lastRenderedPageBreak/>
        <w:drawing>
          <wp:inline distT="0" distB="0" distL="0" distR="0" wp14:anchorId="7E176CB5" wp14:editId="06F8C224">
            <wp:extent cx="5274310" cy="8661400"/>
            <wp:effectExtent l="57150" t="57150" r="596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80BB8A4" w14:textId="536BD50A" w:rsidR="008B374D" w:rsidRPr="0018137D" w:rsidRDefault="008B374D">
      <w:pPr>
        <w:rPr>
          <w:rFonts w:ascii="Calibri" w:hAnsi="Calibri"/>
          <w:lang w:val="fr-FR"/>
        </w:rPr>
      </w:pPr>
      <w:r w:rsidRPr="0018137D">
        <w:rPr>
          <w:rFonts w:ascii="Calibri" w:hAnsi="Calibri"/>
          <w:lang w:val="fr-FR"/>
        </w:rPr>
        <w:t>Sample table :</w:t>
      </w:r>
    </w:p>
    <w:p w14:paraId="04B74D37" w14:textId="77777777" w:rsidR="001D423C" w:rsidRPr="0018137D" w:rsidRDefault="001D423C">
      <w:pPr>
        <w:rPr>
          <w:rFonts w:ascii="Calibri" w:hAnsi="Calibr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8B374D" w:rsidRPr="00457256" w14:paraId="066A1185" w14:textId="77777777">
        <w:tc>
          <w:tcPr>
            <w:tcW w:w="8522" w:type="dxa"/>
            <w:gridSpan w:val="3"/>
            <w:tcBorders>
              <w:top w:val="nil"/>
              <w:left w:val="nil"/>
              <w:bottom w:val="nil"/>
              <w:right w:val="nil"/>
            </w:tcBorders>
            <w:shd w:val="clear" w:color="auto" w:fill="FF6600"/>
          </w:tcPr>
          <w:p w14:paraId="0719DE19" w14:textId="77777777" w:rsidR="008B374D" w:rsidRPr="00457256" w:rsidRDefault="008B374D" w:rsidP="008B374D">
            <w:pPr>
              <w:pStyle w:val="Heading3"/>
              <w:rPr>
                <w:rFonts w:ascii="Calibri" w:hAnsi="Calibri"/>
              </w:rPr>
            </w:pPr>
            <w:bookmarkStart w:id="1" w:name="_Name_of_drug"/>
            <w:bookmarkEnd w:id="1"/>
            <w:r w:rsidRPr="00457256">
              <w:rPr>
                <w:rFonts w:ascii="Calibri" w:hAnsi="Calibri"/>
              </w:rPr>
              <w:lastRenderedPageBreak/>
              <w:t>Name of drug</w:t>
            </w:r>
          </w:p>
        </w:tc>
      </w:tr>
      <w:tr w:rsidR="008B374D" w:rsidRPr="00457256" w14:paraId="5319866E" w14:textId="77777777">
        <w:tc>
          <w:tcPr>
            <w:tcW w:w="8522" w:type="dxa"/>
            <w:gridSpan w:val="3"/>
            <w:tcBorders>
              <w:top w:val="nil"/>
            </w:tcBorders>
            <w:shd w:val="clear" w:color="auto" w:fill="000000"/>
          </w:tcPr>
          <w:p w14:paraId="2E2EC3C7" w14:textId="77777777" w:rsidR="008B374D" w:rsidRPr="00457256" w:rsidRDefault="008B374D" w:rsidP="008B374D">
            <w:pPr>
              <w:rPr>
                <w:rFonts w:ascii="Calibri" w:hAnsi="Calibri"/>
              </w:rPr>
            </w:pPr>
          </w:p>
        </w:tc>
      </w:tr>
      <w:tr w:rsidR="008B374D" w:rsidRPr="00457256" w14:paraId="04D00FB2" w14:textId="77777777">
        <w:tc>
          <w:tcPr>
            <w:tcW w:w="1908" w:type="dxa"/>
            <w:vMerge w:val="restart"/>
            <w:shd w:val="clear" w:color="auto" w:fill="auto"/>
            <w:vAlign w:val="center"/>
          </w:tcPr>
          <w:p w14:paraId="1546FB56" w14:textId="77777777" w:rsidR="008B374D" w:rsidRPr="00457256" w:rsidRDefault="008B374D" w:rsidP="008B374D">
            <w:pPr>
              <w:rPr>
                <w:rFonts w:ascii="Calibri" w:hAnsi="Calibri"/>
              </w:rPr>
            </w:pPr>
            <w:r w:rsidRPr="00457256">
              <w:rPr>
                <w:rFonts w:ascii="Calibri" w:hAnsi="Calibri"/>
              </w:rPr>
              <w:t>Forms available</w:t>
            </w:r>
          </w:p>
        </w:tc>
        <w:tc>
          <w:tcPr>
            <w:tcW w:w="2700" w:type="dxa"/>
            <w:shd w:val="clear" w:color="auto" w:fill="auto"/>
          </w:tcPr>
          <w:p w14:paraId="5F24CFC2" w14:textId="77777777" w:rsidR="008B374D" w:rsidRPr="00457256" w:rsidRDefault="008B374D" w:rsidP="008B374D">
            <w:pPr>
              <w:rPr>
                <w:rFonts w:ascii="Calibri" w:hAnsi="Calibri"/>
              </w:rPr>
            </w:pPr>
            <w:r w:rsidRPr="00457256">
              <w:rPr>
                <w:rFonts w:ascii="Calibri" w:hAnsi="Calibri"/>
              </w:rPr>
              <w:t>Chewable tablets</w:t>
            </w:r>
          </w:p>
        </w:tc>
        <w:tc>
          <w:tcPr>
            <w:tcW w:w="3914" w:type="dxa"/>
            <w:shd w:val="clear" w:color="auto" w:fill="auto"/>
          </w:tcPr>
          <w:p w14:paraId="22432430" w14:textId="77777777" w:rsidR="008B374D" w:rsidRPr="00457256" w:rsidRDefault="008B374D" w:rsidP="008B374D">
            <w:pPr>
              <w:rPr>
                <w:rFonts w:ascii="Calibri" w:hAnsi="Calibri"/>
              </w:rPr>
            </w:pPr>
            <w:r w:rsidRPr="00457256">
              <w:rPr>
                <w:rFonts w:ascii="Calibri" w:hAnsi="Calibri"/>
              </w:rPr>
              <w:t>Strengths in range</w:t>
            </w:r>
          </w:p>
        </w:tc>
      </w:tr>
      <w:tr w:rsidR="008B374D" w:rsidRPr="00457256" w14:paraId="1C846BEA" w14:textId="77777777">
        <w:tc>
          <w:tcPr>
            <w:tcW w:w="1908" w:type="dxa"/>
            <w:vMerge/>
            <w:shd w:val="clear" w:color="auto" w:fill="auto"/>
          </w:tcPr>
          <w:p w14:paraId="3CF6D35D" w14:textId="77777777" w:rsidR="008B374D" w:rsidRPr="00457256" w:rsidRDefault="008B374D" w:rsidP="008B374D">
            <w:pPr>
              <w:rPr>
                <w:rFonts w:ascii="Calibri" w:hAnsi="Calibri"/>
              </w:rPr>
            </w:pPr>
          </w:p>
        </w:tc>
        <w:tc>
          <w:tcPr>
            <w:tcW w:w="2700" w:type="dxa"/>
            <w:shd w:val="clear" w:color="auto" w:fill="auto"/>
          </w:tcPr>
          <w:p w14:paraId="64177D5C" w14:textId="77777777" w:rsidR="008B374D" w:rsidRPr="00457256" w:rsidRDefault="008B374D" w:rsidP="008B374D">
            <w:pPr>
              <w:rPr>
                <w:rFonts w:ascii="Calibri" w:hAnsi="Calibri"/>
              </w:rPr>
            </w:pPr>
            <w:r w:rsidRPr="00457256">
              <w:rPr>
                <w:rFonts w:ascii="Calibri" w:hAnsi="Calibri"/>
              </w:rPr>
              <w:t>Liquid</w:t>
            </w:r>
          </w:p>
        </w:tc>
        <w:tc>
          <w:tcPr>
            <w:tcW w:w="3914" w:type="dxa"/>
            <w:shd w:val="clear" w:color="auto" w:fill="auto"/>
          </w:tcPr>
          <w:p w14:paraId="743125CF" w14:textId="77777777" w:rsidR="008B374D" w:rsidRPr="00457256" w:rsidRDefault="008B374D">
            <w:pPr>
              <w:rPr>
                <w:rFonts w:ascii="Calibri" w:hAnsi="Calibri"/>
              </w:rPr>
            </w:pPr>
            <w:r w:rsidRPr="00457256">
              <w:rPr>
                <w:rFonts w:ascii="Calibri" w:hAnsi="Calibri"/>
              </w:rPr>
              <w:t>Strengths in range</w:t>
            </w:r>
          </w:p>
        </w:tc>
      </w:tr>
      <w:tr w:rsidR="008B374D" w:rsidRPr="00457256" w14:paraId="3FD2F255" w14:textId="77777777">
        <w:tc>
          <w:tcPr>
            <w:tcW w:w="1908" w:type="dxa"/>
            <w:vMerge/>
            <w:shd w:val="clear" w:color="auto" w:fill="auto"/>
          </w:tcPr>
          <w:p w14:paraId="1F2CB146" w14:textId="77777777" w:rsidR="008B374D" w:rsidRPr="00457256" w:rsidRDefault="008B374D" w:rsidP="008B374D">
            <w:pPr>
              <w:rPr>
                <w:rFonts w:ascii="Calibri" w:hAnsi="Calibri"/>
              </w:rPr>
            </w:pPr>
          </w:p>
        </w:tc>
        <w:tc>
          <w:tcPr>
            <w:tcW w:w="2700" w:type="dxa"/>
            <w:shd w:val="clear" w:color="auto" w:fill="auto"/>
          </w:tcPr>
          <w:p w14:paraId="109985ED" w14:textId="77777777" w:rsidR="008B374D" w:rsidRPr="00457256" w:rsidRDefault="008B374D" w:rsidP="008B374D">
            <w:pPr>
              <w:rPr>
                <w:rFonts w:ascii="Calibri" w:hAnsi="Calibri"/>
              </w:rPr>
            </w:pPr>
            <w:r w:rsidRPr="00457256">
              <w:rPr>
                <w:rFonts w:ascii="Calibri" w:hAnsi="Calibri"/>
              </w:rPr>
              <w:t>Modified-release tablets</w:t>
            </w:r>
          </w:p>
        </w:tc>
        <w:tc>
          <w:tcPr>
            <w:tcW w:w="3914" w:type="dxa"/>
            <w:shd w:val="clear" w:color="auto" w:fill="auto"/>
          </w:tcPr>
          <w:p w14:paraId="6CB3911D" w14:textId="77777777" w:rsidR="008B374D" w:rsidRPr="00457256" w:rsidRDefault="008B374D">
            <w:pPr>
              <w:rPr>
                <w:rFonts w:ascii="Calibri" w:hAnsi="Calibri"/>
              </w:rPr>
            </w:pPr>
            <w:r w:rsidRPr="00457256">
              <w:rPr>
                <w:rFonts w:ascii="Calibri" w:hAnsi="Calibri"/>
              </w:rPr>
              <w:t>Strengths in range</w:t>
            </w:r>
          </w:p>
        </w:tc>
      </w:tr>
      <w:tr w:rsidR="008B374D" w:rsidRPr="00457256" w14:paraId="3C51246E" w14:textId="77777777">
        <w:tc>
          <w:tcPr>
            <w:tcW w:w="1908" w:type="dxa"/>
            <w:vMerge/>
            <w:shd w:val="clear" w:color="auto" w:fill="auto"/>
          </w:tcPr>
          <w:p w14:paraId="1AA776D4" w14:textId="77777777" w:rsidR="008B374D" w:rsidRPr="00457256" w:rsidRDefault="008B374D" w:rsidP="008B374D">
            <w:pPr>
              <w:rPr>
                <w:rFonts w:ascii="Calibri" w:hAnsi="Calibri"/>
              </w:rPr>
            </w:pPr>
          </w:p>
        </w:tc>
        <w:tc>
          <w:tcPr>
            <w:tcW w:w="2700" w:type="dxa"/>
            <w:shd w:val="clear" w:color="auto" w:fill="auto"/>
          </w:tcPr>
          <w:p w14:paraId="25867597" w14:textId="77777777" w:rsidR="008B374D" w:rsidRPr="00457256" w:rsidRDefault="008B374D" w:rsidP="008B374D">
            <w:pPr>
              <w:rPr>
                <w:rFonts w:ascii="Calibri" w:hAnsi="Calibri"/>
              </w:rPr>
            </w:pPr>
            <w:r w:rsidRPr="00457256">
              <w:rPr>
                <w:rFonts w:ascii="Calibri" w:hAnsi="Calibri"/>
              </w:rPr>
              <w:t>Suppositories</w:t>
            </w:r>
          </w:p>
        </w:tc>
        <w:tc>
          <w:tcPr>
            <w:tcW w:w="3914" w:type="dxa"/>
            <w:shd w:val="clear" w:color="auto" w:fill="auto"/>
          </w:tcPr>
          <w:p w14:paraId="3259DBC7" w14:textId="77777777" w:rsidR="008B374D" w:rsidRPr="00457256" w:rsidRDefault="008B374D">
            <w:pPr>
              <w:rPr>
                <w:rFonts w:ascii="Calibri" w:hAnsi="Calibri"/>
              </w:rPr>
            </w:pPr>
            <w:r w:rsidRPr="00457256">
              <w:rPr>
                <w:rFonts w:ascii="Calibri" w:hAnsi="Calibri"/>
              </w:rPr>
              <w:t>Strengths in range</w:t>
            </w:r>
          </w:p>
        </w:tc>
      </w:tr>
      <w:tr w:rsidR="008B374D" w:rsidRPr="00457256" w14:paraId="5A515AB9" w14:textId="77777777">
        <w:tc>
          <w:tcPr>
            <w:tcW w:w="1908" w:type="dxa"/>
            <w:vMerge/>
            <w:shd w:val="clear" w:color="auto" w:fill="auto"/>
          </w:tcPr>
          <w:p w14:paraId="0FEF6036" w14:textId="77777777" w:rsidR="008B374D" w:rsidRPr="00457256" w:rsidRDefault="008B374D" w:rsidP="008B374D">
            <w:pPr>
              <w:rPr>
                <w:rFonts w:ascii="Calibri" w:hAnsi="Calibri"/>
              </w:rPr>
            </w:pPr>
          </w:p>
        </w:tc>
        <w:tc>
          <w:tcPr>
            <w:tcW w:w="2700" w:type="dxa"/>
            <w:shd w:val="clear" w:color="auto" w:fill="auto"/>
          </w:tcPr>
          <w:p w14:paraId="6D4ABFB2" w14:textId="77777777" w:rsidR="008B374D" w:rsidRPr="00457256" w:rsidRDefault="008B374D" w:rsidP="008B374D">
            <w:pPr>
              <w:rPr>
                <w:rFonts w:ascii="Calibri" w:hAnsi="Calibri"/>
              </w:rPr>
            </w:pPr>
            <w:r w:rsidRPr="00457256">
              <w:rPr>
                <w:rFonts w:ascii="Calibri" w:hAnsi="Calibri"/>
              </w:rPr>
              <w:t>Tablets</w:t>
            </w:r>
          </w:p>
        </w:tc>
        <w:tc>
          <w:tcPr>
            <w:tcW w:w="3914" w:type="dxa"/>
            <w:shd w:val="clear" w:color="auto" w:fill="auto"/>
          </w:tcPr>
          <w:p w14:paraId="67A905D3" w14:textId="77777777" w:rsidR="008B374D" w:rsidRPr="00457256" w:rsidRDefault="008B374D">
            <w:pPr>
              <w:rPr>
                <w:rFonts w:ascii="Calibri" w:hAnsi="Calibri"/>
              </w:rPr>
            </w:pPr>
            <w:r w:rsidRPr="00457256">
              <w:rPr>
                <w:rFonts w:ascii="Calibri" w:hAnsi="Calibri"/>
              </w:rPr>
              <w:t>Strengths in range</w:t>
            </w:r>
          </w:p>
        </w:tc>
      </w:tr>
      <w:tr w:rsidR="008B374D" w:rsidRPr="00457256" w14:paraId="0C9829C7" w14:textId="77777777">
        <w:tc>
          <w:tcPr>
            <w:tcW w:w="1908" w:type="dxa"/>
            <w:shd w:val="clear" w:color="auto" w:fill="auto"/>
          </w:tcPr>
          <w:p w14:paraId="7E125AB2" w14:textId="77777777" w:rsidR="008B374D" w:rsidRPr="00457256" w:rsidRDefault="008B374D" w:rsidP="008B374D">
            <w:pPr>
              <w:rPr>
                <w:rFonts w:ascii="Calibri" w:hAnsi="Calibri"/>
              </w:rPr>
            </w:pPr>
            <w:r w:rsidRPr="00457256">
              <w:rPr>
                <w:rFonts w:ascii="Calibri" w:hAnsi="Calibri"/>
              </w:rPr>
              <w:t>Brands available</w:t>
            </w:r>
          </w:p>
        </w:tc>
        <w:tc>
          <w:tcPr>
            <w:tcW w:w="6614" w:type="dxa"/>
            <w:gridSpan w:val="2"/>
            <w:shd w:val="clear" w:color="auto" w:fill="auto"/>
          </w:tcPr>
          <w:p w14:paraId="212E69A9" w14:textId="77777777" w:rsidR="008B374D" w:rsidRPr="00457256" w:rsidRDefault="008B374D" w:rsidP="008B374D">
            <w:pPr>
              <w:rPr>
                <w:rFonts w:ascii="Calibri" w:hAnsi="Calibri"/>
              </w:rPr>
            </w:pPr>
            <w:r w:rsidRPr="00457256">
              <w:rPr>
                <w:rFonts w:ascii="Calibri" w:hAnsi="Calibri"/>
              </w:rPr>
              <w:t>Non-proprietary, brand name 1, brand name 2</w:t>
            </w:r>
          </w:p>
        </w:tc>
      </w:tr>
      <w:tr w:rsidR="008B374D" w:rsidRPr="00457256" w14:paraId="18600D07" w14:textId="77777777">
        <w:tc>
          <w:tcPr>
            <w:tcW w:w="8522" w:type="dxa"/>
            <w:gridSpan w:val="3"/>
            <w:shd w:val="clear" w:color="auto" w:fill="FF6600"/>
          </w:tcPr>
          <w:p w14:paraId="44875F4E" w14:textId="77777777" w:rsidR="008B374D" w:rsidRPr="00457256" w:rsidRDefault="008B374D" w:rsidP="008B374D">
            <w:pPr>
              <w:rPr>
                <w:rFonts w:ascii="Calibri" w:hAnsi="Calibri"/>
              </w:rPr>
            </w:pPr>
            <w:r w:rsidRPr="00457256">
              <w:rPr>
                <w:rFonts w:ascii="Calibri" w:hAnsi="Calibri"/>
              </w:rPr>
              <w:t>Recommendation</w:t>
            </w:r>
          </w:p>
        </w:tc>
      </w:tr>
      <w:tr w:rsidR="008B374D" w:rsidRPr="00457256" w14:paraId="4BD70513" w14:textId="77777777">
        <w:tc>
          <w:tcPr>
            <w:tcW w:w="8522" w:type="dxa"/>
            <w:gridSpan w:val="3"/>
            <w:shd w:val="clear" w:color="auto" w:fill="auto"/>
          </w:tcPr>
          <w:p w14:paraId="37E08947" w14:textId="3D8D20CA" w:rsidR="008B374D" w:rsidRPr="00457256" w:rsidRDefault="00E3066E" w:rsidP="00236351">
            <w:pPr>
              <w:ind w:left="360"/>
              <w:jc w:val="both"/>
              <w:rPr>
                <w:rFonts w:ascii="Calibri" w:hAnsi="Calibri"/>
              </w:rPr>
            </w:pPr>
            <w:r w:rsidRPr="00586B0A">
              <w:rPr>
                <w:rFonts w:ascii="Calibri" w:hAnsi="Calibri"/>
              </w:rPr>
              <w:t xml:space="preserve">These recommendations should not be used without consulting the ‘principles </w:t>
            </w:r>
            <w:r w:rsidR="00586B0A" w:rsidRPr="00586B0A">
              <w:rPr>
                <w:rFonts w:ascii="Calibri" w:hAnsi="Calibri"/>
              </w:rPr>
              <w:t xml:space="preserve">for switching’ section on page </w:t>
            </w:r>
            <w:r w:rsidR="00C24952">
              <w:rPr>
                <w:rFonts w:ascii="Calibri" w:hAnsi="Calibri"/>
              </w:rPr>
              <w:t>10</w:t>
            </w:r>
            <w:r w:rsidR="00586B0A">
              <w:rPr>
                <w:rFonts w:ascii="Calibri" w:hAnsi="Calibri"/>
              </w:rPr>
              <w:t xml:space="preserve">.  </w:t>
            </w:r>
            <w:r w:rsidR="008B374D" w:rsidRPr="00457256">
              <w:rPr>
                <w:rFonts w:ascii="Calibri" w:hAnsi="Calibri"/>
              </w:rPr>
              <w:t>Consider each formulation as well as brand</w:t>
            </w:r>
            <w:r w:rsidR="006D74D2">
              <w:rPr>
                <w:rFonts w:ascii="Calibri" w:hAnsi="Calibri"/>
              </w:rPr>
              <w:t>.</w:t>
            </w:r>
          </w:p>
          <w:p w14:paraId="3BFF4A6D" w14:textId="77777777" w:rsidR="008B374D" w:rsidRPr="00457256" w:rsidRDefault="00373837" w:rsidP="00236351">
            <w:pPr>
              <w:numPr>
                <w:ilvl w:val="0"/>
                <w:numId w:val="8"/>
              </w:numPr>
              <w:jc w:val="both"/>
              <w:rPr>
                <w:rFonts w:ascii="Calibri" w:hAnsi="Calibri"/>
              </w:rPr>
            </w:pPr>
            <w:r>
              <w:rPr>
                <w:rFonts w:ascii="Calibri" w:hAnsi="Calibri"/>
              </w:rPr>
              <w:t>What are the recommendations for</w:t>
            </w:r>
            <w:r w:rsidR="008B374D" w:rsidRPr="00457256">
              <w:rPr>
                <w:rFonts w:ascii="Calibri" w:hAnsi="Calibri"/>
              </w:rPr>
              <w:t xml:space="preserve"> staying with the formulation, the brand or both</w:t>
            </w:r>
          </w:p>
        </w:tc>
      </w:tr>
      <w:tr w:rsidR="008B374D" w:rsidRPr="00457256" w14:paraId="48BEADDA" w14:textId="77777777">
        <w:tc>
          <w:tcPr>
            <w:tcW w:w="8522" w:type="dxa"/>
            <w:gridSpan w:val="3"/>
            <w:shd w:val="clear" w:color="auto" w:fill="FF6600"/>
          </w:tcPr>
          <w:p w14:paraId="12EA7CB4" w14:textId="77777777" w:rsidR="008B374D" w:rsidRPr="00457256" w:rsidRDefault="008B374D" w:rsidP="008B374D">
            <w:pPr>
              <w:rPr>
                <w:rFonts w:ascii="Calibri" w:hAnsi="Calibri"/>
              </w:rPr>
            </w:pPr>
            <w:r w:rsidRPr="00457256">
              <w:rPr>
                <w:rFonts w:ascii="Calibri" w:hAnsi="Calibri"/>
              </w:rPr>
              <w:t>Rationale</w:t>
            </w:r>
          </w:p>
        </w:tc>
      </w:tr>
      <w:tr w:rsidR="008B374D" w:rsidRPr="00457256" w14:paraId="03131F39" w14:textId="77777777">
        <w:tc>
          <w:tcPr>
            <w:tcW w:w="8522" w:type="dxa"/>
            <w:gridSpan w:val="3"/>
            <w:shd w:val="clear" w:color="auto" w:fill="auto"/>
          </w:tcPr>
          <w:p w14:paraId="56206155" w14:textId="77777777" w:rsidR="00347028" w:rsidRDefault="00347028" w:rsidP="00236351">
            <w:pPr>
              <w:jc w:val="both"/>
              <w:rPr>
                <w:rFonts w:ascii="Calibri" w:hAnsi="Calibri"/>
              </w:rPr>
            </w:pPr>
          </w:p>
          <w:p w14:paraId="3342CB41" w14:textId="42035EDC" w:rsidR="008B374D" w:rsidRDefault="008B374D" w:rsidP="00236351">
            <w:pPr>
              <w:jc w:val="both"/>
              <w:rPr>
                <w:rFonts w:ascii="Calibri" w:hAnsi="Calibri"/>
              </w:rPr>
            </w:pPr>
            <w:r w:rsidRPr="00457256">
              <w:rPr>
                <w:rFonts w:ascii="Calibri" w:hAnsi="Calibri"/>
              </w:rPr>
              <w:t>E</w:t>
            </w:r>
            <w:r w:rsidR="007734BA">
              <w:rPr>
                <w:rFonts w:ascii="Calibri" w:hAnsi="Calibri"/>
              </w:rPr>
              <w:t>vidence</w:t>
            </w:r>
            <w:r w:rsidR="00385017">
              <w:rPr>
                <w:rFonts w:ascii="Calibri" w:hAnsi="Calibri"/>
              </w:rPr>
              <w:t xml:space="preserve"> presented</w:t>
            </w:r>
            <w:r w:rsidR="007734BA">
              <w:rPr>
                <w:rFonts w:ascii="Calibri" w:hAnsi="Calibri"/>
              </w:rPr>
              <w:t xml:space="preserve"> to support the</w:t>
            </w:r>
            <w:r w:rsidRPr="00457256">
              <w:rPr>
                <w:rFonts w:ascii="Calibri" w:hAnsi="Calibri"/>
              </w:rPr>
              <w:t xml:space="preserve"> recommendations above in more detail</w:t>
            </w:r>
            <w:r w:rsidR="007734BA">
              <w:rPr>
                <w:rFonts w:ascii="Calibri" w:hAnsi="Calibri"/>
              </w:rPr>
              <w:t>.</w:t>
            </w:r>
          </w:p>
          <w:p w14:paraId="165AFDE8" w14:textId="76C4C546" w:rsidR="00775F71" w:rsidRDefault="00775F71" w:rsidP="00236351">
            <w:pPr>
              <w:jc w:val="both"/>
              <w:rPr>
                <w:rFonts w:ascii="Calibri" w:hAnsi="Calibri"/>
              </w:rPr>
            </w:pPr>
            <w:r>
              <w:rPr>
                <w:rFonts w:ascii="Calibri" w:hAnsi="Calibri"/>
              </w:rPr>
              <w:t>MHRA categorisation and advice.</w:t>
            </w:r>
          </w:p>
          <w:p w14:paraId="247C3A22" w14:textId="7D4684DF" w:rsidR="00F01116" w:rsidRDefault="00F01116" w:rsidP="00236351">
            <w:pPr>
              <w:autoSpaceDE w:val="0"/>
              <w:autoSpaceDN w:val="0"/>
              <w:adjustRightInd w:val="0"/>
              <w:jc w:val="both"/>
              <w:rPr>
                <w:rFonts w:ascii="Calibri" w:hAnsi="Calibri" w:cs="AdvPS9779"/>
                <w:b/>
              </w:rPr>
            </w:pPr>
            <w:r>
              <w:rPr>
                <w:rFonts w:ascii="Calibri" w:hAnsi="Calibri"/>
              </w:rPr>
              <w:t>Half</w:t>
            </w:r>
            <w:r w:rsidR="005A7CD3">
              <w:rPr>
                <w:rFonts w:ascii="Calibri" w:hAnsi="Calibri"/>
              </w:rPr>
              <w:t>-</w:t>
            </w:r>
            <w:r>
              <w:rPr>
                <w:rFonts w:ascii="Calibri" w:hAnsi="Calibri"/>
              </w:rPr>
              <w:t xml:space="preserve">life </w:t>
            </w:r>
            <w:r w:rsidR="00E755DB">
              <w:rPr>
                <w:rFonts w:ascii="Calibri" w:hAnsi="Calibri"/>
              </w:rPr>
              <w:t>and the Biopharmaceutic</w:t>
            </w:r>
            <w:r w:rsidR="00E3066E">
              <w:rPr>
                <w:rFonts w:ascii="Calibri" w:hAnsi="Calibri"/>
              </w:rPr>
              <w:t>s</w:t>
            </w:r>
            <w:r w:rsidR="00E755DB">
              <w:rPr>
                <w:rFonts w:ascii="Calibri" w:hAnsi="Calibri"/>
              </w:rPr>
              <w:t xml:space="preserve"> Classification System (BCS) score has been included to provide pharmacokinetic properties that might predispose an AED to problems with generics. The</w:t>
            </w:r>
            <w:r w:rsidR="00E755DB">
              <w:rPr>
                <w:rFonts w:ascii="Calibri" w:hAnsi="Calibri" w:cs="AdvP7B6C"/>
                <w:color w:val="000000"/>
              </w:rPr>
              <w:t xml:space="preserve"> drugs are</w:t>
            </w:r>
            <w:r w:rsidR="00E755DB" w:rsidRPr="008034D0">
              <w:rPr>
                <w:rFonts w:ascii="Calibri" w:hAnsi="Calibri" w:cs="AdvP7B6C"/>
                <w:color w:val="000000"/>
              </w:rPr>
              <w:t xml:space="preserve"> classified into</w:t>
            </w:r>
            <w:r w:rsidR="00E755DB">
              <w:rPr>
                <w:rFonts w:ascii="Calibri" w:hAnsi="Calibri" w:cs="AdvP7B6C"/>
                <w:color w:val="000000"/>
              </w:rPr>
              <w:t xml:space="preserve"> one of</w:t>
            </w:r>
            <w:r w:rsidR="00E755DB" w:rsidRPr="008034D0">
              <w:rPr>
                <w:rFonts w:ascii="Calibri" w:hAnsi="Calibri" w:cs="AdvP7B6C"/>
                <w:color w:val="000000"/>
              </w:rPr>
              <w:t xml:space="preserve"> four BCS classes:  Class I:  high solubility/high permeability; Class II:  low solubility/high permeability; Class III:  high solubility/low permeability; Class IV:  low solubility/low permeability.</w:t>
            </w:r>
            <w:r w:rsidR="00E755DB">
              <w:rPr>
                <w:rFonts w:ascii="Calibri" w:hAnsi="Calibri" w:cs="AdvP7B6C"/>
                <w:color w:val="000000"/>
              </w:rPr>
              <w:t xml:space="preserve"> </w:t>
            </w:r>
            <w:r w:rsidR="00E755DB" w:rsidRPr="008034D0">
              <w:rPr>
                <w:rFonts w:ascii="Calibri" w:hAnsi="Calibri" w:cs="AdvP7B6C"/>
                <w:color w:val="000000"/>
              </w:rPr>
              <w:t xml:space="preserve">The BCS classification can provide an estimate for the likelihood of problems with generic substitution not predicted by in vitro dissolution testing. </w:t>
            </w:r>
            <w:r w:rsidR="00E755DB">
              <w:rPr>
                <w:rFonts w:ascii="Calibri" w:hAnsi="Calibri" w:cs="AdvP7B6C"/>
                <w:color w:val="000000"/>
              </w:rPr>
              <w:t xml:space="preserve"> </w:t>
            </w:r>
            <w:r w:rsidRPr="00F01116">
              <w:rPr>
                <w:rFonts w:ascii="Calibri" w:hAnsi="Calibri" w:cs="AdvP7B72"/>
              </w:rPr>
              <w:t>(Anderson</w:t>
            </w:r>
            <w:r w:rsidRPr="00F01116">
              <w:rPr>
                <w:rFonts w:ascii="Calibri" w:hAnsi="Calibri"/>
              </w:rPr>
              <w:t xml:space="preserve"> 2008)</w:t>
            </w:r>
            <w:r>
              <w:rPr>
                <w:rFonts w:ascii="Calibri" w:hAnsi="Calibri"/>
                <w:b/>
              </w:rPr>
              <w:t xml:space="preserve"> </w:t>
            </w:r>
          </w:p>
          <w:p w14:paraId="4CCEE2B2" w14:textId="77777777" w:rsidR="00E755DB" w:rsidRPr="008034D0" w:rsidRDefault="00E755DB" w:rsidP="00E755DB">
            <w:pPr>
              <w:autoSpaceDE w:val="0"/>
              <w:autoSpaceDN w:val="0"/>
              <w:adjustRightInd w:val="0"/>
              <w:rPr>
                <w:rFonts w:ascii="Calibri" w:hAnsi="Calibri" w:cs="AdvP7B6C"/>
                <w:color w:val="000000"/>
              </w:rPr>
            </w:pPr>
          </w:p>
          <w:p w14:paraId="37DBB748" w14:textId="77777777" w:rsidR="007734BA" w:rsidRPr="00457256" w:rsidRDefault="007734BA" w:rsidP="008B374D">
            <w:pPr>
              <w:rPr>
                <w:rFonts w:ascii="Calibri" w:hAnsi="Calibri"/>
              </w:rPr>
            </w:pPr>
          </w:p>
        </w:tc>
      </w:tr>
    </w:tbl>
    <w:p w14:paraId="0FA18DED" w14:textId="77777777" w:rsidR="001D423C" w:rsidRDefault="001D423C">
      <w:pPr>
        <w:rPr>
          <w:rFonts w:ascii="Calibri" w:hAnsi="Calibri"/>
        </w:rPr>
      </w:pPr>
    </w:p>
    <w:p w14:paraId="43CE63C3" w14:textId="77777777" w:rsidR="005F6F8F" w:rsidRDefault="005F6F8F">
      <w:pPr>
        <w:rPr>
          <w:rFonts w:ascii="Calibri" w:hAnsi="Calibri"/>
        </w:rPr>
      </w:pPr>
    </w:p>
    <w:p w14:paraId="5FD61631" w14:textId="77777777" w:rsidR="005F6F8F" w:rsidRDefault="005F6F8F">
      <w:pPr>
        <w:rPr>
          <w:rFonts w:ascii="Calibri" w:hAnsi="Calibri"/>
        </w:rPr>
      </w:pPr>
    </w:p>
    <w:p w14:paraId="331E3449" w14:textId="5ED86B72" w:rsidR="005F6F8F" w:rsidRDefault="005F6F8F">
      <w:pPr>
        <w:rPr>
          <w:rFonts w:ascii="Calibri" w:hAnsi="Calibri"/>
        </w:rPr>
      </w:pPr>
    </w:p>
    <w:p w14:paraId="2F9EEC27" w14:textId="7ED651AE" w:rsidR="00794F9D" w:rsidRDefault="00794F9D">
      <w:pPr>
        <w:rPr>
          <w:rFonts w:ascii="Calibri" w:hAnsi="Calibri"/>
        </w:rPr>
      </w:pPr>
    </w:p>
    <w:p w14:paraId="7F088548" w14:textId="04EE0BC7" w:rsidR="00794F9D" w:rsidRDefault="00794F9D">
      <w:pPr>
        <w:rPr>
          <w:rFonts w:ascii="Calibri" w:hAnsi="Calibri"/>
        </w:rPr>
      </w:pPr>
    </w:p>
    <w:p w14:paraId="3B468512" w14:textId="1B6BCAB9" w:rsidR="00794F9D" w:rsidRDefault="00794F9D">
      <w:pPr>
        <w:rPr>
          <w:rFonts w:ascii="Calibri" w:hAnsi="Calibri"/>
        </w:rPr>
      </w:pPr>
    </w:p>
    <w:p w14:paraId="114CE41E" w14:textId="4DD7FC42" w:rsidR="00794F9D" w:rsidRDefault="00794F9D">
      <w:pPr>
        <w:rPr>
          <w:rFonts w:ascii="Calibri" w:hAnsi="Calibri"/>
        </w:rPr>
      </w:pPr>
    </w:p>
    <w:p w14:paraId="71F55401" w14:textId="6BA49702" w:rsidR="00794F9D" w:rsidRDefault="00794F9D">
      <w:pPr>
        <w:rPr>
          <w:rFonts w:ascii="Calibri" w:hAnsi="Calibri"/>
        </w:rPr>
      </w:pPr>
    </w:p>
    <w:p w14:paraId="24421041" w14:textId="15765014" w:rsidR="00794F9D" w:rsidRDefault="00794F9D">
      <w:pPr>
        <w:rPr>
          <w:rFonts w:ascii="Calibri" w:hAnsi="Calibri"/>
        </w:rPr>
      </w:pPr>
    </w:p>
    <w:p w14:paraId="76EAC729" w14:textId="27E75D11" w:rsidR="00794F9D" w:rsidRDefault="00794F9D">
      <w:pPr>
        <w:rPr>
          <w:rFonts w:ascii="Calibri" w:hAnsi="Calibri"/>
        </w:rPr>
      </w:pPr>
    </w:p>
    <w:p w14:paraId="71EA21AD" w14:textId="3E1AD525" w:rsidR="00794F9D" w:rsidRDefault="00794F9D">
      <w:pPr>
        <w:rPr>
          <w:rFonts w:ascii="Calibri" w:hAnsi="Calibri"/>
        </w:rPr>
      </w:pPr>
    </w:p>
    <w:p w14:paraId="266FCA7A" w14:textId="29B78296" w:rsidR="00794F9D" w:rsidRDefault="00794F9D">
      <w:pPr>
        <w:rPr>
          <w:rFonts w:ascii="Calibri" w:hAnsi="Calibri"/>
        </w:rPr>
      </w:pPr>
    </w:p>
    <w:p w14:paraId="00198D49" w14:textId="77777777" w:rsidR="00794F9D" w:rsidRDefault="00794F9D">
      <w:pPr>
        <w:rPr>
          <w:rFonts w:ascii="Calibri" w:hAnsi="Calibri"/>
        </w:rPr>
      </w:pPr>
    </w:p>
    <w:p w14:paraId="28C8B03C" w14:textId="77777777" w:rsidR="005F6F8F" w:rsidRDefault="005F6F8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5660"/>
      </w:tblGrid>
      <w:tr w:rsidR="005C1CA8" w:rsidRPr="005C1CA8" w14:paraId="41F767DD" w14:textId="77777777" w:rsidTr="005A7CD3">
        <w:tc>
          <w:tcPr>
            <w:tcW w:w="8306" w:type="dxa"/>
            <w:gridSpan w:val="2"/>
            <w:tcBorders>
              <w:top w:val="nil"/>
              <w:left w:val="nil"/>
              <w:bottom w:val="nil"/>
              <w:right w:val="nil"/>
            </w:tcBorders>
            <w:shd w:val="clear" w:color="auto" w:fill="FF6600"/>
          </w:tcPr>
          <w:p w14:paraId="0E17CBF0" w14:textId="1FFA4291" w:rsidR="005C1CA8" w:rsidRPr="005C1CA8" w:rsidRDefault="00586B0A" w:rsidP="005C1CA8">
            <w:pPr>
              <w:keepNext/>
              <w:spacing w:before="240" w:after="60"/>
              <w:outlineLvl w:val="2"/>
              <w:rPr>
                <w:rFonts w:ascii="Calibri" w:hAnsi="Calibri" w:cs="Arial"/>
                <w:b/>
                <w:bCs/>
                <w:sz w:val="26"/>
                <w:szCs w:val="26"/>
              </w:rPr>
            </w:pPr>
            <w:r>
              <w:rPr>
                <w:rFonts w:ascii="Calibri" w:hAnsi="Calibri"/>
              </w:rPr>
              <w:br w:type="page"/>
            </w:r>
            <w:r w:rsidR="00C64243">
              <w:rPr>
                <w:rFonts w:ascii="Calibri" w:hAnsi="Calibri"/>
              </w:rPr>
              <w:br w:type="page"/>
            </w:r>
            <w:r w:rsidR="005C1CA8" w:rsidRPr="005C1CA8">
              <w:rPr>
                <w:rFonts w:ascii="Calibri" w:hAnsi="Calibri" w:cs="Arial"/>
                <w:b/>
                <w:bCs/>
                <w:sz w:val="26"/>
                <w:szCs w:val="26"/>
              </w:rPr>
              <w:t>Brivaracetam</w:t>
            </w:r>
          </w:p>
        </w:tc>
      </w:tr>
      <w:tr w:rsidR="005C1CA8" w:rsidRPr="005C1CA8" w14:paraId="1B5517FA" w14:textId="77777777" w:rsidTr="005A7CD3">
        <w:tc>
          <w:tcPr>
            <w:tcW w:w="8306" w:type="dxa"/>
            <w:gridSpan w:val="2"/>
            <w:tcBorders>
              <w:top w:val="nil"/>
            </w:tcBorders>
            <w:shd w:val="clear" w:color="auto" w:fill="000000"/>
          </w:tcPr>
          <w:p w14:paraId="4B587388" w14:textId="77777777" w:rsidR="005C1CA8" w:rsidRPr="005C1CA8" w:rsidRDefault="005C1CA8" w:rsidP="005C1CA8">
            <w:pPr>
              <w:rPr>
                <w:rFonts w:ascii="Calibri" w:hAnsi="Calibri"/>
              </w:rPr>
            </w:pPr>
          </w:p>
        </w:tc>
      </w:tr>
      <w:tr w:rsidR="005C1CA8" w:rsidRPr="005C1CA8" w14:paraId="52F759A2" w14:textId="77777777" w:rsidTr="005A7CD3">
        <w:tc>
          <w:tcPr>
            <w:tcW w:w="2646" w:type="dxa"/>
            <w:shd w:val="clear" w:color="auto" w:fill="auto"/>
          </w:tcPr>
          <w:p w14:paraId="2A85970E" w14:textId="77777777" w:rsidR="005C1CA8" w:rsidRPr="005C1CA8" w:rsidRDefault="005C1CA8" w:rsidP="005C1CA8">
            <w:pPr>
              <w:rPr>
                <w:rFonts w:ascii="Calibri" w:hAnsi="Calibri"/>
              </w:rPr>
            </w:pPr>
            <w:r w:rsidRPr="005C1CA8">
              <w:rPr>
                <w:rFonts w:ascii="Calibri" w:hAnsi="Calibri"/>
              </w:rPr>
              <w:t>Liquid</w:t>
            </w:r>
          </w:p>
        </w:tc>
        <w:tc>
          <w:tcPr>
            <w:tcW w:w="5660" w:type="dxa"/>
            <w:shd w:val="clear" w:color="auto" w:fill="auto"/>
          </w:tcPr>
          <w:p w14:paraId="6200C7A1" w14:textId="77777777" w:rsidR="005C1CA8" w:rsidRPr="005C1CA8" w:rsidRDefault="005C1CA8" w:rsidP="005C1CA8">
            <w:pPr>
              <w:rPr>
                <w:rFonts w:ascii="Calibri" w:hAnsi="Calibri"/>
              </w:rPr>
            </w:pPr>
            <w:r w:rsidRPr="005C1CA8">
              <w:rPr>
                <w:rFonts w:ascii="Calibri" w:hAnsi="Calibri"/>
              </w:rPr>
              <w:t>10mg/ml</w:t>
            </w:r>
          </w:p>
        </w:tc>
      </w:tr>
      <w:tr w:rsidR="005C1CA8" w:rsidRPr="005C1CA8" w14:paraId="35301D31" w14:textId="77777777" w:rsidTr="005A7CD3">
        <w:tc>
          <w:tcPr>
            <w:tcW w:w="2646" w:type="dxa"/>
            <w:shd w:val="clear" w:color="auto" w:fill="auto"/>
          </w:tcPr>
          <w:p w14:paraId="76367623" w14:textId="77777777" w:rsidR="005C1CA8" w:rsidRPr="005C1CA8" w:rsidRDefault="005C1CA8" w:rsidP="005C1CA8">
            <w:pPr>
              <w:rPr>
                <w:rFonts w:ascii="Calibri" w:hAnsi="Calibri"/>
              </w:rPr>
            </w:pPr>
            <w:r w:rsidRPr="005C1CA8">
              <w:rPr>
                <w:rFonts w:ascii="Calibri" w:hAnsi="Calibri"/>
              </w:rPr>
              <w:t>Tablets</w:t>
            </w:r>
          </w:p>
        </w:tc>
        <w:tc>
          <w:tcPr>
            <w:tcW w:w="5660" w:type="dxa"/>
            <w:shd w:val="clear" w:color="auto" w:fill="auto"/>
          </w:tcPr>
          <w:p w14:paraId="225F1833" w14:textId="77777777" w:rsidR="005C1CA8" w:rsidRPr="005C1CA8" w:rsidRDefault="005C1CA8" w:rsidP="005C1CA8">
            <w:pPr>
              <w:rPr>
                <w:rFonts w:ascii="Calibri" w:hAnsi="Calibri"/>
              </w:rPr>
            </w:pPr>
            <w:r w:rsidRPr="005C1CA8">
              <w:rPr>
                <w:rFonts w:ascii="Calibri" w:hAnsi="Calibri"/>
              </w:rPr>
              <w:t>10mg, 25mg, 50mg, 75mg, 100mg</w:t>
            </w:r>
          </w:p>
        </w:tc>
      </w:tr>
      <w:tr w:rsidR="00F258D2" w:rsidRPr="005C1CA8" w14:paraId="5CA9EED2" w14:textId="77777777" w:rsidTr="005A7CD3">
        <w:tc>
          <w:tcPr>
            <w:tcW w:w="2646" w:type="dxa"/>
            <w:shd w:val="clear" w:color="auto" w:fill="auto"/>
          </w:tcPr>
          <w:p w14:paraId="76F2BF97" w14:textId="2CFD3CBD" w:rsidR="00F258D2" w:rsidRPr="005C1CA8" w:rsidRDefault="00F258D2" w:rsidP="005C1CA8">
            <w:pPr>
              <w:rPr>
                <w:rFonts w:ascii="Calibri" w:hAnsi="Calibri"/>
              </w:rPr>
            </w:pPr>
            <w:r>
              <w:rPr>
                <w:rFonts w:ascii="Calibri" w:hAnsi="Calibri"/>
              </w:rPr>
              <w:t>Injection/Infusion</w:t>
            </w:r>
          </w:p>
        </w:tc>
        <w:tc>
          <w:tcPr>
            <w:tcW w:w="5660" w:type="dxa"/>
            <w:shd w:val="clear" w:color="auto" w:fill="auto"/>
          </w:tcPr>
          <w:p w14:paraId="59ACFE70" w14:textId="534F63D0" w:rsidR="00F258D2" w:rsidRPr="005C1CA8" w:rsidRDefault="00F258D2" w:rsidP="005C1CA8">
            <w:pPr>
              <w:rPr>
                <w:rFonts w:ascii="Calibri" w:hAnsi="Calibri"/>
              </w:rPr>
            </w:pPr>
            <w:r>
              <w:rPr>
                <w:rFonts w:ascii="Calibri" w:hAnsi="Calibri"/>
              </w:rPr>
              <w:t>10mg/ml</w:t>
            </w:r>
          </w:p>
        </w:tc>
      </w:tr>
      <w:tr w:rsidR="005A7CD3" w:rsidRPr="005C1CA8" w14:paraId="77AD2B1B" w14:textId="77777777" w:rsidTr="005A7CD3">
        <w:tc>
          <w:tcPr>
            <w:tcW w:w="2646" w:type="dxa"/>
            <w:shd w:val="clear" w:color="auto" w:fill="auto"/>
          </w:tcPr>
          <w:p w14:paraId="7C2FBBEE" w14:textId="5E485406" w:rsidR="005A7CD3" w:rsidRPr="005C1CA8" w:rsidRDefault="005A7CD3" w:rsidP="005C1CA8">
            <w:pPr>
              <w:rPr>
                <w:rFonts w:ascii="Calibri" w:hAnsi="Calibri"/>
              </w:rPr>
            </w:pPr>
            <w:r>
              <w:rPr>
                <w:rFonts w:ascii="Calibri" w:hAnsi="Calibri"/>
              </w:rPr>
              <w:lastRenderedPageBreak/>
              <w:t>Brands available</w:t>
            </w:r>
          </w:p>
        </w:tc>
        <w:tc>
          <w:tcPr>
            <w:tcW w:w="5660" w:type="dxa"/>
            <w:shd w:val="clear" w:color="auto" w:fill="auto"/>
          </w:tcPr>
          <w:p w14:paraId="4E499385" w14:textId="352F974F" w:rsidR="005A7CD3" w:rsidRPr="005C1CA8" w:rsidRDefault="005A7CD3" w:rsidP="005C1CA8">
            <w:pPr>
              <w:rPr>
                <w:rFonts w:ascii="Calibri" w:hAnsi="Calibri"/>
              </w:rPr>
            </w:pPr>
            <w:r w:rsidRPr="005C1CA8">
              <w:rPr>
                <w:rFonts w:ascii="Calibri" w:hAnsi="Calibri"/>
              </w:rPr>
              <w:t>Briviact</w:t>
            </w:r>
          </w:p>
        </w:tc>
      </w:tr>
      <w:tr w:rsidR="005C1CA8" w:rsidRPr="005C1CA8" w14:paraId="0A35D776" w14:textId="77777777" w:rsidTr="005A7CD3">
        <w:tc>
          <w:tcPr>
            <w:tcW w:w="8306" w:type="dxa"/>
            <w:gridSpan w:val="2"/>
            <w:shd w:val="clear" w:color="auto" w:fill="FF6600"/>
          </w:tcPr>
          <w:p w14:paraId="6DE8774E" w14:textId="77777777" w:rsidR="005C1CA8" w:rsidRPr="005C1CA8" w:rsidRDefault="005C1CA8" w:rsidP="005C1CA8">
            <w:pPr>
              <w:rPr>
                <w:rFonts w:ascii="Calibri" w:hAnsi="Calibri"/>
              </w:rPr>
            </w:pPr>
            <w:r w:rsidRPr="005C1CA8">
              <w:rPr>
                <w:rFonts w:ascii="Calibri" w:hAnsi="Calibri"/>
              </w:rPr>
              <w:t>Recommendation</w:t>
            </w:r>
          </w:p>
        </w:tc>
      </w:tr>
      <w:tr w:rsidR="005C1CA8" w:rsidRPr="005C1CA8" w14:paraId="6148F9AC" w14:textId="77777777" w:rsidTr="005A7CD3">
        <w:tc>
          <w:tcPr>
            <w:tcW w:w="8306" w:type="dxa"/>
            <w:gridSpan w:val="2"/>
            <w:shd w:val="clear" w:color="auto" w:fill="auto"/>
          </w:tcPr>
          <w:p w14:paraId="4E97818A" w14:textId="369A3577" w:rsidR="005C1CA8" w:rsidRPr="005C1CA8" w:rsidRDefault="005C1CA8" w:rsidP="005C1CA8">
            <w:pPr>
              <w:ind w:left="360"/>
              <w:jc w:val="both"/>
              <w:rPr>
                <w:rFonts w:ascii="Calibri" w:hAnsi="Calibri"/>
              </w:rPr>
            </w:pPr>
            <w:r w:rsidRPr="005C1CA8">
              <w:rPr>
                <w:rFonts w:ascii="Calibri" w:hAnsi="Calibri"/>
              </w:rPr>
              <w:t xml:space="preserve">These recommendations should not be used without consulting the ‘principles for switching’ section on page </w:t>
            </w:r>
            <w:r w:rsidR="00281BB5">
              <w:rPr>
                <w:rFonts w:ascii="Calibri" w:hAnsi="Calibri"/>
              </w:rPr>
              <w:t>10.</w:t>
            </w:r>
            <w:r w:rsidRPr="005C1CA8">
              <w:rPr>
                <w:rFonts w:ascii="Calibri" w:hAnsi="Calibri"/>
              </w:rPr>
              <w:t xml:space="preserve">  Consider each formulation as well as brand.</w:t>
            </w:r>
          </w:p>
          <w:p w14:paraId="25516366" w14:textId="77777777" w:rsidR="005C1CA8" w:rsidRPr="005C1CA8" w:rsidRDefault="005C1CA8" w:rsidP="005C1CA8">
            <w:pPr>
              <w:numPr>
                <w:ilvl w:val="0"/>
                <w:numId w:val="8"/>
              </w:numPr>
              <w:jc w:val="both"/>
              <w:rPr>
                <w:rFonts w:ascii="Calibri" w:hAnsi="Calibri"/>
              </w:rPr>
            </w:pPr>
            <w:r w:rsidRPr="005C1CA8">
              <w:rPr>
                <w:rFonts w:ascii="Calibri" w:hAnsi="Calibri"/>
              </w:rPr>
              <w:t>There are no generics available for brivaracetam</w:t>
            </w:r>
          </w:p>
          <w:p w14:paraId="3E5F18D8" w14:textId="77777777" w:rsidR="005C1CA8" w:rsidRPr="005C1CA8" w:rsidRDefault="005C1CA8" w:rsidP="005C1CA8">
            <w:pPr>
              <w:ind w:left="720"/>
              <w:jc w:val="both"/>
              <w:rPr>
                <w:rFonts w:ascii="Calibri" w:hAnsi="Calibri"/>
              </w:rPr>
            </w:pPr>
          </w:p>
        </w:tc>
      </w:tr>
      <w:tr w:rsidR="005C1CA8" w:rsidRPr="005C1CA8" w14:paraId="3FD6423C" w14:textId="77777777" w:rsidTr="005A7CD3">
        <w:tc>
          <w:tcPr>
            <w:tcW w:w="8306" w:type="dxa"/>
            <w:gridSpan w:val="2"/>
            <w:shd w:val="clear" w:color="auto" w:fill="FF6600"/>
          </w:tcPr>
          <w:p w14:paraId="479F2835" w14:textId="77777777" w:rsidR="005C1CA8" w:rsidRPr="005C1CA8" w:rsidRDefault="005C1CA8" w:rsidP="005C1CA8">
            <w:pPr>
              <w:rPr>
                <w:rFonts w:ascii="Calibri" w:hAnsi="Calibri"/>
              </w:rPr>
            </w:pPr>
            <w:r w:rsidRPr="005C1CA8">
              <w:rPr>
                <w:rFonts w:ascii="Calibri" w:hAnsi="Calibri"/>
              </w:rPr>
              <w:t>Rationale</w:t>
            </w:r>
          </w:p>
        </w:tc>
      </w:tr>
      <w:tr w:rsidR="005C1CA8" w:rsidRPr="005C1CA8" w14:paraId="577D3195" w14:textId="77777777" w:rsidTr="005A7CD3">
        <w:tc>
          <w:tcPr>
            <w:tcW w:w="8306" w:type="dxa"/>
            <w:gridSpan w:val="2"/>
            <w:shd w:val="clear" w:color="auto" w:fill="auto"/>
          </w:tcPr>
          <w:p w14:paraId="19B7CE7E" w14:textId="77777777" w:rsidR="005C1CA8" w:rsidRPr="005C1CA8" w:rsidRDefault="005C1CA8" w:rsidP="005C1CA8">
            <w:pPr>
              <w:jc w:val="both"/>
              <w:rPr>
                <w:rFonts w:ascii="Calibri" w:hAnsi="Calibri"/>
              </w:rPr>
            </w:pPr>
          </w:p>
          <w:p w14:paraId="1CA1B3FD" w14:textId="77777777" w:rsidR="001853C3" w:rsidRDefault="001853C3" w:rsidP="009E28EC">
            <w:pPr>
              <w:jc w:val="both"/>
              <w:rPr>
                <w:rFonts w:ascii="Calibri" w:hAnsi="Calibri"/>
              </w:rPr>
            </w:pPr>
            <w:r w:rsidRPr="00265D6C">
              <w:rPr>
                <w:rFonts w:ascii="Calibri" w:hAnsi="Calibri"/>
                <w:b/>
                <w:bCs/>
              </w:rPr>
              <w:t>MHRA-Category 3</w:t>
            </w:r>
            <w:r>
              <w:rPr>
                <w:rFonts w:ascii="Calibri" w:hAnsi="Calibri"/>
              </w:rPr>
              <w:t xml:space="preserve">: The potential for clinically relevant differences to exist between different manufacturers’ products is considered to be extremely low.  However, consider other patient/carer-related factors, such as negative perceptions about alternative products and/or issues related to the patient. </w:t>
            </w:r>
          </w:p>
          <w:p w14:paraId="6B243B63" w14:textId="77777777" w:rsidR="001853C3" w:rsidRPr="005C1CA8" w:rsidRDefault="001853C3" w:rsidP="005C1CA8">
            <w:pPr>
              <w:jc w:val="both"/>
              <w:rPr>
                <w:rFonts w:ascii="Calibri" w:hAnsi="Calibri"/>
              </w:rPr>
            </w:pPr>
          </w:p>
          <w:p w14:paraId="4C3BB446" w14:textId="4EA96832" w:rsidR="005C1CA8" w:rsidRPr="005C1CA8" w:rsidRDefault="005C1CA8" w:rsidP="005C1CA8">
            <w:pPr>
              <w:autoSpaceDE w:val="0"/>
              <w:autoSpaceDN w:val="0"/>
              <w:adjustRightInd w:val="0"/>
              <w:jc w:val="both"/>
              <w:rPr>
                <w:rFonts w:ascii="Calibri" w:hAnsi="Calibri"/>
              </w:rPr>
            </w:pPr>
            <w:r w:rsidRPr="005C1CA8">
              <w:rPr>
                <w:rFonts w:ascii="Calibri" w:hAnsi="Calibri"/>
                <w:b/>
                <w:bCs/>
              </w:rPr>
              <w:t xml:space="preserve">Half life: </w:t>
            </w:r>
            <w:r w:rsidRPr="00411BD9">
              <w:rPr>
                <w:rFonts w:ascii="Calibri" w:hAnsi="Calibri"/>
              </w:rPr>
              <w:t>9 hours (</w:t>
            </w:r>
            <w:r w:rsidR="00411BD9">
              <w:rPr>
                <w:rFonts w:ascii="Calibri" w:hAnsi="Calibri"/>
              </w:rPr>
              <w:t>SPC 2020</w:t>
            </w:r>
            <w:r w:rsidRPr="00411BD9">
              <w:rPr>
                <w:rFonts w:ascii="Calibri" w:hAnsi="Calibri"/>
              </w:rPr>
              <w:t>)</w:t>
            </w:r>
            <w:r w:rsidRPr="005C1CA8">
              <w:rPr>
                <w:rFonts w:ascii="Calibri" w:hAnsi="Calibri"/>
              </w:rPr>
              <w:t xml:space="preserve"> </w:t>
            </w:r>
          </w:p>
          <w:p w14:paraId="297FC2D7" w14:textId="77777777" w:rsidR="005C1CA8" w:rsidRPr="005C1CA8" w:rsidRDefault="005C1CA8" w:rsidP="005C1CA8">
            <w:pPr>
              <w:autoSpaceDE w:val="0"/>
              <w:autoSpaceDN w:val="0"/>
              <w:adjustRightInd w:val="0"/>
              <w:jc w:val="both"/>
              <w:rPr>
                <w:rFonts w:ascii="Calibri" w:hAnsi="Calibri" w:cs="AdvPS9779"/>
                <w:b/>
              </w:rPr>
            </w:pPr>
          </w:p>
          <w:p w14:paraId="29DBBE2B" w14:textId="77777777" w:rsidR="00A04412" w:rsidRDefault="005C1CA8" w:rsidP="008A7E9A">
            <w:pPr>
              <w:jc w:val="both"/>
              <w:rPr>
                <w:rFonts w:ascii="Calibri" w:hAnsi="Calibri" w:cs="AdvP7B6C"/>
                <w:color w:val="000000"/>
              </w:rPr>
            </w:pPr>
            <w:r w:rsidRPr="005C1CA8">
              <w:rPr>
                <w:rFonts w:ascii="Calibri" w:hAnsi="Calibri"/>
                <w:b/>
              </w:rPr>
              <w:t>Biopharmaceutics Classification System</w:t>
            </w:r>
            <w:r w:rsidRPr="005C1CA8">
              <w:rPr>
                <w:rFonts w:ascii="Calibri" w:hAnsi="Calibri" w:cs="Arial"/>
                <w:b/>
              </w:rPr>
              <w:t>:</w:t>
            </w:r>
            <w:r w:rsidRPr="005C1CA8">
              <w:rPr>
                <w:rFonts w:ascii="Calibri" w:hAnsi="Calibri" w:cs="Arial"/>
              </w:rPr>
              <w:t xml:space="preserve"> </w:t>
            </w:r>
            <w:r w:rsidRPr="005C1CA8">
              <w:rPr>
                <w:rFonts w:ascii="Calibri" w:hAnsi="Calibri" w:cs="Arial"/>
                <w:b/>
              </w:rPr>
              <w:t>:</w:t>
            </w:r>
            <w:r w:rsidRPr="005C1CA8">
              <w:rPr>
                <w:rFonts w:ascii="Calibri" w:hAnsi="Calibri" w:cs="Arial"/>
              </w:rPr>
              <w:t xml:space="preserve"> I</w:t>
            </w:r>
            <w:r w:rsidRPr="005C1CA8">
              <w:rPr>
                <w:rFonts w:ascii="Calibri" w:hAnsi="Calibri" w:cs="AdvP7B6C"/>
                <w:color w:val="000000"/>
              </w:rPr>
              <w:t xml:space="preserve">  (high solubility/high permeability)</w:t>
            </w:r>
            <w:r w:rsidR="008A7E9A">
              <w:rPr>
                <w:rFonts w:ascii="Calibri" w:hAnsi="Calibri" w:cs="AdvP7B6C"/>
                <w:color w:val="000000"/>
              </w:rPr>
              <w:t xml:space="preserve"> </w:t>
            </w:r>
          </w:p>
          <w:p w14:paraId="4BA34E02" w14:textId="17E79214" w:rsidR="005C1CA8" w:rsidRPr="008A7E9A" w:rsidRDefault="008A7E9A" w:rsidP="008A7E9A">
            <w:pPr>
              <w:jc w:val="both"/>
              <w:rPr>
                <w:rFonts w:ascii="Calibri" w:hAnsi="Calibri" w:cs="Arial"/>
              </w:rPr>
            </w:pPr>
            <w:r>
              <w:rPr>
                <w:rFonts w:ascii="Calibri" w:hAnsi="Calibri" w:cs="AdvP7B6C"/>
                <w:color w:val="000000"/>
              </w:rPr>
              <w:t>(Aus TGA 2017)</w:t>
            </w:r>
          </w:p>
          <w:p w14:paraId="52F4706D" w14:textId="77777777" w:rsidR="005C1CA8" w:rsidRPr="005C1CA8" w:rsidRDefault="005C1CA8" w:rsidP="005C1CA8">
            <w:pPr>
              <w:autoSpaceDE w:val="0"/>
              <w:autoSpaceDN w:val="0"/>
              <w:adjustRightInd w:val="0"/>
              <w:rPr>
                <w:rFonts w:ascii="Calibri" w:hAnsi="Calibri" w:cs="AdvP7B6C"/>
                <w:color w:val="000000"/>
              </w:rPr>
            </w:pPr>
          </w:p>
          <w:p w14:paraId="0689ED4D" w14:textId="77777777" w:rsidR="005C1CA8" w:rsidRPr="005C1CA8" w:rsidRDefault="005C1CA8" w:rsidP="005C1CA8">
            <w:pPr>
              <w:jc w:val="both"/>
              <w:rPr>
                <w:rFonts w:ascii="Calibri" w:hAnsi="Calibri"/>
              </w:rPr>
            </w:pPr>
            <w:r w:rsidRPr="005C1CA8">
              <w:rPr>
                <w:rFonts w:ascii="Calibri" w:hAnsi="Calibri"/>
              </w:rPr>
              <w:t>A literature search retrieved no relevant studies.</w:t>
            </w:r>
          </w:p>
          <w:p w14:paraId="7461656E" w14:textId="77777777" w:rsidR="005C1CA8" w:rsidRPr="005C1CA8" w:rsidRDefault="005C1CA8" w:rsidP="005C1CA8">
            <w:pPr>
              <w:rPr>
                <w:rFonts w:ascii="Calibri" w:hAnsi="Calibri"/>
              </w:rPr>
            </w:pPr>
          </w:p>
        </w:tc>
      </w:tr>
    </w:tbl>
    <w:p w14:paraId="361DADDD" w14:textId="21620598" w:rsidR="00D9226A" w:rsidRDefault="00D9226A">
      <w:pPr>
        <w:rPr>
          <w:rFonts w:ascii="Calibri" w:hAnsi="Calibri"/>
        </w:rPr>
      </w:pPr>
    </w:p>
    <w:p w14:paraId="23C0A409" w14:textId="3061A3F9" w:rsidR="00B01E9C" w:rsidRDefault="00B01E9C">
      <w:pPr>
        <w:rPr>
          <w:rFonts w:ascii="Calibri" w:hAnsi="Calibri"/>
        </w:rPr>
      </w:pPr>
    </w:p>
    <w:p w14:paraId="2CDC4281" w14:textId="5A825F49" w:rsidR="00B01E9C" w:rsidRDefault="00B01E9C">
      <w:pPr>
        <w:rPr>
          <w:rFonts w:ascii="Calibri" w:hAnsi="Calibri"/>
        </w:rPr>
      </w:pPr>
    </w:p>
    <w:p w14:paraId="568E652F" w14:textId="2FCCAAF8" w:rsidR="005772A8" w:rsidRDefault="005772A8">
      <w:pPr>
        <w:rPr>
          <w:rFonts w:ascii="Calibri" w:hAnsi="Calibri"/>
        </w:rPr>
      </w:pPr>
    </w:p>
    <w:p w14:paraId="59C7BF56" w14:textId="5F043EE0" w:rsidR="005772A8" w:rsidRDefault="005772A8">
      <w:pPr>
        <w:rPr>
          <w:rFonts w:ascii="Calibri" w:hAnsi="Calibri"/>
        </w:rPr>
      </w:pPr>
    </w:p>
    <w:p w14:paraId="40ED0226" w14:textId="5F783F6C" w:rsidR="005772A8" w:rsidRDefault="005772A8">
      <w:pPr>
        <w:rPr>
          <w:rFonts w:ascii="Calibri" w:hAnsi="Calibri"/>
        </w:rPr>
      </w:pPr>
    </w:p>
    <w:p w14:paraId="23260759" w14:textId="04F4B781" w:rsidR="005772A8" w:rsidRDefault="005772A8">
      <w:pPr>
        <w:rPr>
          <w:rFonts w:ascii="Calibri" w:hAnsi="Calibri"/>
        </w:rPr>
      </w:pPr>
    </w:p>
    <w:p w14:paraId="3B307EFE" w14:textId="4E84B9C7" w:rsidR="005772A8" w:rsidRDefault="005772A8">
      <w:pPr>
        <w:rPr>
          <w:rFonts w:ascii="Calibri" w:hAnsi="Calibri"/>
        </w:rPr>
      </w:pPr>
    </w:p>
    <w:p w14:paraId="54D7E986" w14:textId="7A269889" w:rsidR="005772A8" w:rsidRDefault="005772A8">
      <w:pPr>
        <w:rPr>
          <w:rFonts w:ascii="Calibri" w:hAnsi="Calibri"/>
        </w:rPr>
      </w:pPr>
    </w:p>
    <w:p w14:paraId="35B6BE53" w14:textId="3EB0480D" w:rsidR="005772A8" w:rsidRDefault="005772A8">
      <w:pPr>
        <w:rPr>
          <w:rFonts w:ascii="Calibri" w:hAnsi="Calibri"/>
        </w:rPr>
      </w:pPr>
    </w:p>
    <w:p w14:paraId="0BC8E2A8" w14:textId="34AC08E5" w:rsidR="005772A8" w:rsidRDefault="005772A8">
      <w:pPr>
        <w:rPr>
          <w:rFonts w:ascii="Calibri" w:hAnsi="Calibri"/>
        </w:rPr>
      </w:pPr>
    </w:p>
    <w:p w14:paraId="46DE0611" w14:textId="4E9BA1F3" w:rsidR="005772A8" w:rsidRDefault="005772A8">
      <w:pPr>
        <w:rPr>
          <w:rFonts w:ascii="Calibri" w:hAnsi="Calibri"/>
        </w:rPr>
      </w:pPr>
    </w:p>
    <w:p w14:paraId="43A0D712" w14:textId="0C67A7AE" w:rsidR="005772A8" w:rsidRDefault="005772A8">
      <w:pPr>
        <w:rPr>
          <w:rFonts w:ascii="Calibri" w:hAnsi="Calibri"/>
        </w:rPr>
      </w:pPr>
    </w:p>
    <w:p w14:paraId="7F988564" w14:textId="19423C99" w:rsidR="005772A8" w:rsidRDefault="005772A8">
      <w:pPr>
        <w:rPr>
          <w:rFonts w:ascii="Calibri" w:hAnsi="Calibri"/>
        </w:rPr>
      </w:pPr>
    </w:p>
    <w:p w14:paraId="1D1B8962" w14:textId="4472393C" w:rsidR="005772A8" w:rsidRDefault="005772A8">
      <w:pPr>
        <w:rPr>
          <w:rFonts w:ascii="Calibri" w:hAnsi="Calibri"/>
        </w:rPr>
      </w:pPr>
    </w:p>
    <w:p w14:paraId="6D0A9B52" w14:textId="4AF5818A" w:rsidR="005772A8" w:rsidRDefault="005772A8">
      <w:pPr>
        <w:rPr>
          <w:rFonts w:ascii="Calibri" w:hAnsi="Calibri"/>
        </w:rPr>
      </w:pPr>
    </w:p>
    <w:p w14:paraId="47776293" w14:textId="4A0D7A44" w:rsidR="005772A8" w:rsidRDefault="005772A8">
      <w:pPr>
        <w:rPr>
          <w:rFonts w:ascii="Calibri" w:hAnsi="Calibri"/>
        </w:rPr>
      </w:pPr>
    </w:p>
    <w:p w14:paraId="02186CE1" w14:textId="7E15B5F9" w:rsidR="005772A8" w:rsidRDefault="005772A8">
      <w:pPr>
        <w:rPr>
          <w:rFonts w:ascii="Calibri" w:hAnsi="Calibri"/>
        </w:rPr>
      </w:pPr>
    </w:p>
    <w:p w14:paraId="21F3012E" w14:textId="77777777" w:rsidR="005772A8" w:rsidRDefault="005772A8">
      <w:pPr>
        <w:rPr>
          <w:rFonts w:ascii="Calibri" w:hAnsi="Calibri"/>
        </w:rPr>
      </w:pPr>
    </w:p>
    <w:p w14:paraId="4B5A0C7C" w14:textId="589DBEBF" w:rsidR="00B01E9C" w:rsidRDefault="00B01E9C">
      <w:pPr>
        <w:rPr>
          <w:rFonts w:ascii="Calibri" w:hAnsi="Calibri"/>
        </w:rPr>
      </w:pPr>
    </w:p>
    <w:p w14:paraId="36AB8D17" w14:textId="77777777" w:rsidR="00B01E9C" w:rsidRPr="0018137D" w:rsidRDefault="00B01E9C">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4006CE" w:rsidRPr="00457256" w14:paraId="42985877" w14:textId="77777777">
        <w:tc>
          <w:tcPr>
            <w:tcW w:w="8522" w:type="dxa"/>
            <w:gridSpan w:val="3"/>
            <w:tcBorders>
              <w:top w:val="nil"/>
              <w:left w:val="nil"/>
              <w:bottom w:val="nil"/>
              <w:right w:val="nil"/>
            </w:tcBorders>
            <w:shd w:val="clear" w:color="auto" w:fill="FF6600"/>
          </w:tcPr>
          <w:p w14:paraId="2BA3B660" w14:textId="77777777" w:rsidR="004006CE" w:rsidRPr="00457256" w:rsidRDefault="004006CE" w:rsidP="00D9226A">
            <w:pPr>
              <w:pStyle w:val="Heading3"/>
              <w:rPr>
                <w:rFonts w:ascii="Calibri" w:hAnsi="Calibri"/>
              </w:rPr>
            </w:pPr>
            <w:bookmarkStart w:id="2" w:name="_Carbamazepine"/>
            <w:bookmarkEnd w:id="2"/>
            <w:r w:rsidRPr="00457256">
              <w:rPr>
                <w:rFonts w:ascii="Calibri" w:hAnsi="Calibri"/>
              </w:rPr>
              <w:t>Carbamazepine</w:t>
            </w:r>
          </w:p>
        </w:tc>
      </w:tr>
      <w:tr w:rsidR="004006CE" w:rsidRPr="00457256" w14:paraId="6FB578D6" w14:textId="77777777">
        <w:tc>
          <w:tcPr>
            <w:tcW w:w="8522" w:type="dxa"/>
            <w:gridSpan w:val="3"/>
            <w:tcBorders>
              <w:top w:val="nil"/>
            </w:tcBorders>
            <w:shd w:val="clear" w:color="auto" w:fill="000000"/>
          </w:tcPr>
          <w:p w14:paraId="6986B408" w14:textId="77777777" w:rsidR="004006CE" w:rsidRPr="00457256" w:rsidRDefault="004006CE">
            <w:pPr>
              <w:rPr>
                <w:rFonts w:ascii="Calibri" w:hAnsi="Calibri"/>
              </w:rPr>
            </w:pPr>
          </w:p>
        </w:tc>
      </w:tr>
      <w:tr w:rsidR="004006CE" w:rsidRPr="00457256" w14:paraId="5B99E343" w14:textId="77777777">
        <w:tc>
          <w:tcPr>
            <w:tcW w:w="1908" w:type="dxa"/>
            <w:vMerge w:val="restart"/>
            <w:shd w:val="clear" w:color="auto" w:fill="auto"/>
            <w:vAlign w:val="center"/>
          </w:tcPr>
          <w:p w14:paraId="1FE99318" w14:textId="77777777" w:rsidR="004006CE" w:rsidRPr="00457256" w:rsidRDefault="004006CE" w:rsidP="004006CE">
            <w:pPr>
              <w:rPr>
                <w:rFonts w:ascii="Calibri" w:hAnsi="Calibri"/>
              </w:rPr>
            </w:pPr>
            <w:r w:rsidRPr="00457256">
              <w:rPr>
                <w:rFonts w:ascii="Calibri" w:hAnsi="Calibri"/>
              </w:rPr>
              <w:t>Forms available</w:t>
            </w:r>
          </w:p>
        </w:tc>
        <w:tc>
          <w:tcPr>
            <w:tcW w:w="2700" w:type="dxa"/>
            <w:shd w:val="clear" w:color="auto" w:fill="auto"/>
          </w:tcPr>
          <w:p w14:paraId="5EBCC22E" w14:textId="77777777" w:rsidR="004006CE" w:rsidRPr="00457256" w:rsidRDefault="004006CE">
            <w:pPr>
              <w:rPr>
                <w:rFonts w:ascii="Calibri" w:hAnsi="Calibri"/>
              </w:rPr>
            </w:pPr>
            <w:r w:rsidRPr="00457256">
              <w:rPr>
                <w:rFonts w:ascii="Calibri" w:hAnsi="Calibri"/>
              </w:rPr>
              <w:t>Chewable tablets</w:t>
            </w:r>
          </w:p>
        </w:tc>
        <w:tc>
          <w:tcPr>
            <w:tcW w:w="3914" w:type="dxa"/>
            <w:shd w:val="clear" w:color="auto" w:fill="auto"/>
          </w:tcPr>
          <w:p w14:paraId="0A723CF9" w14:textId="77777777" w:rsidR="004006CE" w:rsidRPr="00457256" w:rsidRDefault="004006CE">
            <w:pPr>
              <w:rPr>
                <w:rFonts w:ascii="Calibri" w:hAnsi="Calibri"/>
              </w:rPr>
            </w:pPr>
            <w:r w:rsidRPr="00457256">
              <w:rPr>
                <w:rFonts w:ascii="Calibri" w:hAnsi="Calibri"/>
              </w:rPr>
              <w:t>100mg, 200mg</w:t>
            </w:r>
          </w:p>
        </w:tc>
      </w:tr>
      <w:tr w:rsidR="004006CE" w:rsidRPr="00457256" w14:paraId="57094705" w14:textId="77777777">
        <w:tc>
          <w:tcPr>
            <w:tcW w:w="1908" w:type="dxa"/>
            <w:vMerge/>
            <w:shd w:val="clear" w:color="auto" w:fill="auto"/>
          </w:tcPr>
          <w:p w14:paraId="39B07421" w14:textId="77777777" w:rsidR="004006CE" w:rsidRPr="00457256" w:rsidRDefault="004006CE">
            <w:pPr>
              <w:rPr>
                <w:rFonts w:ascii="Calibri" w:hAnsi="Calibri"/>
              </w:rPr>
            </w:pPr>
          </w:p>
        </w:tc>
        <w:tc>
          <w:tcPr>
            <w:tcW w:w="2700" w:type="dxa"/>
            <w:shd w:val="clear" w:color="auto" w:fill="auto"/>
          </w:tcPr>
          <w:p w14:paraId="4163FA51" w14:textId="77777777" w:rsidR="004006CE" w:rsidRPr="00457256" w:rsidRDefault="004006CE">
            <w:pPr>
              <w:rPr>
                <w:rFonts w:ascii="Calibri" w:hAnsi="Calibri"/>
              </w:rPr>
            </w:pPr>
            <w:r w:rsidRPr="00457256">
              <w:rPr>
                <w:rFonts w:ascii="Calibri" w:hAnsi="Calibri"/>
              </w:rPr>
              <w:t>Liquid</w:t>
            </w:r>
          </w:p>
        </w:tc>
        <w:tc>
          <w:tcPr>
            <w:tcW w:w="3914" w:type="dxa"/>
            <w:shd w:val="clear" w:color="auto" w:fill="auto"/>
          </w:tcPr>
          <w:p w14:paraId="3386D795" w14:textId="77777777" w:rsidR="004006CE" w:rsidRPr="00457256" w:rsidRDefault="004006CE">
            <w:pPr>
              <w:rPr>
                <w:rFonts w:ascii="Calibri" w:hAnsi="Calibri"/>
              </w:rPr>
            </w:pPr>
            <w:r w:rsidRPr="00457256">
              <w:rPr>
                <w:rFonts w:ascii="Calibri" w:hAnsi="Calibri"/>
              </w:rPr>
              <w:t>100mg/5ml</w:t>
            </w:r>
          </w:p>
        </w:tc>
      </w:tr>
      <w:tr w:rsidR="004006CE" w:rsidRPr="00457256" w14:paraId="19EEC993" w14:textId="77777777">
        <w:tc>
          <w:tcPr>
            <w:tcW w:w="1908" w:type="dxa"/>
            <w:vMerge/>
            <w:shd w:val="clear" w:color="auto" w:fill="auto"/>
          </w:tcPr>
          <w:p w14:paraId="19F66721" w14:textId="77777777" w:rsidR="004006CE" w:rsidRPr="00457256" w:rsidRDefault="004006CE">
            <w:pPr>
              <w:rPr>
                <w:rFonts w:ascii="Calibri" w:hAnsi="Calibri"/>
              </w:rPr>
            </w:pPr>
          </w:p>
        </w:tc>
        <w:tc>
          <w:tcPr>
            <w:tcW w:w="2700" w:type="dxa"/>
            <w:shd w:val="clear" w:color="auto" w:fill="auto"/>
          </w:tcPr>
          <w:p w14:paraId="1CDF2E70" w14:textId="77777777" w:rsidR="004006CE" w:rsidRPr="00457256" w:rsidRDefault="004006CE">
            <w:pPr>
              <w:rPr>
                <w:rFonts w:ascii="Calibri" w:hAnsi="Calibri"/>
              </w:rPr>
            </w:pPr>
            <w:r w:rsidRPr="00457256">
              <w:rPr>
                <w:rFonts w:ascii="Calibri" w:hAnsi="Calibri"/>
              </w:rPr>
              <w:t>Modified-release tablets</w:t>
            </w:r>
          </w:p>
        </w:tc>
        <w:tc>
          <w:tcPr>
            <w:tcW w:w="3914" w:type="dxa"/>
            <w:shd w:val="clear" w:color="auto" w:fill="auto"/>
          </w:tcPr>
          <w:p w14:paraId="3905432C" w14:textId="77777777" w:rsidR="004006CE" w:rsidRPr="00457256" w:rsidRDefault="004006CE">
            <w:pPr>
              <w:rPr>
                <w:rFonts w:ascii="Calibri" w:hAnsi="Calibri"/>
              </w:rPr>
            </w:pPr>
            <w:r w:rsidRPr="00457256">
              <w:rPr>
                <w:rFonts w:ascii="Calibri" w:hAnsi="Calibri"/>
              </w:rPr>
              <w:t>200mg, 400mg</w:t>
            </w:r>
          </w:p>
        </w:tc>
      </w:tr>
      <w:tr w:rsidR="004006CE" w:rsidRPr="00457256" w14:paraId="6D3E7185" w14:textId="77777777">
        <w:tc>
          <w:tcPr>
            <w:tcW w:w="1908" w:type="dxa"/>
            <w:vMerge/>
            <w:shd w:val="clear" w:color="auto" w:fill="auto"/>
          </w:tcPr>
          <w:p w14:paraId="78B7D707" w14:textId="77777777" w:rsidR="004006CE" w:rsidRPr="00457256" w:rsidRDefault="004006CE">
            <w:pPr>
              <w:rPr>
                <w:rFonts w:ascii="Calibri" w:hAnsi="Calibri"/>
              </w:rPr>
            </w:pPr>
          </w:p>
        </w:tc>
        <w:tc>
          <w:tcPr>
            <w:tcW w:w="2700" w:type="dxa"/>
            <w:shd w:val="clear" w:color="auto" w:fill="auto"/>
          </w:tcPr>
          <w:p w14:paraId="3FC12473" w14:textId="77777777" w:rsidR="004006CE" w:rsidRPr="00457256" w:rsidRDefault="004006CE">
            <w:pPr>
              <w:rPr>
                <w:rFonts w:ascii="Calibri" w:hAnsi="Calibri"/>
              </w:rPr>
            </w:pPr>
            <w:r w:rsidRPr="00457256">
              <w:rPr>
                <w:rFonts w:ascii="Calibri" w:hAnsi="Calibri"/>
              </w:rPr>
              <w:t>Suppositories</w:t>
            </w:r>
          </w:p>
        </w:tc>
        <w:tc>
          <w:tcPr>
            <w:tcW w:w="3914" w:type="dxa"/>
            <w:shd w:val="clear" w:color="auto" w:fill="auto"/>
          </w:tcPr>
          <w:p w14:paraId="6FA021D2" w14:textId="77777777" w:rsidR="004006CE" w:rsidRPr="00457256" w:rsidRDefault="004006CE">
            <w:pPr>
              <w:rPr>
                <w:rFonts w:ascii="Calibri" w:hAnsi="Calibri"/>
              </w:rPr>
            </w:pPr>
            <w:r w:rsidRPr="00457256">
              <w:rPr>
                <w:rFonts w:ascii="Calibri" w:hAnsi="Calibri"/>
              </w:rPr>
              <w:t>125mg, 250mg</w:t>
            </w:r>
          </w:p>
        </w:tc>
      </w:tr>
      <w:tr w:rsidR="004006CE" w:rsidRPr="00457256" w14:paraId="45EA604F" w14:textId="77777777">
        <w:tc>
          <w:tcPr>
            <w:tcW w:w="1908" w:type="dxa"/>
            <w:vMerge/>
            <w:shd w:val="clear" w:color="auto" w:fill="auto"/>
          </w:tcPr>
          <w:p w14:paraId="0F95DB74" w14:textId="77777777" w:rsidR="004006CE" w:rsidRPr="00457256" w:rsidRDefault="004006CE">
            <w:pPr>
              <w:rPr>
                <w:rFonts w:ascii="Calibri" w:hAnsi="Calibri"/>
              </w:rPr>
            </w:pPr>
          </w:p>
        </w:tc>
        <w:tc>
          <w:tcPr>
            <w:tcW w:w="2700" w:type="dxa"/>
            <w:shd w:val="clear" w:color="auto" w:fill="auto"/>
          </w:tcPr>
          <w:p w14:paraId="0310A66B" w14:textId="77777777" w:rsidR="004006CE" w:rsidRPr="00457256" w:rsidRDefault="004006CE">
            <w:pPr>
              <w:rPr>
                <w:rFonts w:ascii="Calibri" w:hAnsi="Calibri"/>
              </w:rPr>
            </w:pPr>
            <w:r w:rsidRPr="00457256">
              <w:rPr>
                <w:rFonts w:ascii="Calibri" w:hAnsi="Calibri"/>
              </w:rPr>
              <w:t>Tablets</w:t>
            </w:r>
          </w:p>
        </w:tc>
        <w:tc>
          <w:tcPr>
            <w:tcW w:w="3914" w:type="dxa"/>
            <w:shd w:val="clear" w:color="auto" w:fill="auto"/>
          </w:tcPr>
          <w:p w14:paraId="30CD0FF8" w14:textId="77777777" w:rsidR="004006CE" w:rsidRPr="00457256" w:rsidRDefault="004006CE">
            <w:pPr>
              <w:rPr>
                <w:rFonts w:ascii="Calibri" w:hAnsi="Calibri"/>
              </w:rPr>
            </w:pPr>
            <w:r w:rsidRPr="00457256">
              <w:rPr>
                <w:rFonts w:ascii="Calibri" w:hAnsi="Calibri"/>
              </w:rPr>
              <w:t>100mg, 200mg, 400mg</w:t>
            </w:r>
          </w:p>
        </w:tc>
      </w:tr>
      <w:tr w:rsidR="00CC7233" w:rsidRPr="00457256" w14:paraId="7613A577" w14:textId="77777777">
        <w:tc>
          <w:tcPr>
            <w:tcW w:w="1908" w:type="dxa"/>
            <w:shd w:val="clear" w:color="auto" w:fill="auto"/>
          </w:tcPr>
          <w:p w14:paraId="4B7D7E8E" w14:textId="77777777" w:rsidR="00CC7233" w:rsidRPr="00457256" w:rsidRDefault="00CC7233">
            <w:pPr>
              <w:rPr>
                <w:rFonts w:ascii="Calibri" w:hAnsi="Calibri"/>
              </w:rPr>
            </w:pPr>
            <w:r w:rsidRPr="00457256">
              <w:rPr>
                <w:rFonts w:ascii="Calibri" w:hAnsi="Calibri"/>
              </w:rPr>
              <w:t>Brands available</w:t>
            </w:r>
          </w:p>
        </w:tc>
        <w:tc>
          <w:tcPr>
            <w:tcW w:w="6614" w:type="dxa"/>
            <w:gridSpan w:val="2"/>
            <w:shd w:val="clear" w:color="auto" w:fill="auto"/>
          </w:tcPr>
          <w:p w14:paraId="286CEED8" w14:textId="77777777" w:rsidR="00CC7233" w:rsidRPr="00457256" w:rsidRDefault="00CC7233">
            <w:pPr>
              <w:rPr>
                <w:rFonts w:ascii="Calibri" w:hAnsi="Calibri"/>
              </w:rPr>
            </w:pPr>
            <w:r w:rsidRPr="00457256">
              <w:rPr>
                <w:rFonts w:ascii="Calibri" w:hAnsi="Calibri"/>
              </w:rPr>
              <w:t>Non-proprietary, Carbagen, Tegretol</w:t>
            </w:r>
          </w:p>
        </w:tc>
      </w:tr>
      <w:tr w:rsidR="004006CE" w:rsidRPr="00457256" w14:paraId="5674ECCD" w14:textId="77777777">
        <w:tc>
          <w:tcPr>
            <w:tcW w:w="8522" w:type="dxa"/>
            <w:gridSpan w:val="3"/>
            <w:shd w:val="clear" w:color="auto" w:fill="FF6600"/>
          </w:tcPr>
          <w:p w14:paraId="6ABFADA1" w14:textId="77777777" w:rsidR="004006CE" w:rsidRPr="00457256" w:rsidRDefault="004006CE">
            <w:pPr>
              <w:rPr>
                <w:rFonts w:ascii="Calibri" w:hAnsi="Calibri"/>
              </w:rPr>
            </w:pPr>
            <w:r w:rsidRPr="00457256">
              <w:rPr>
                <w:rFonts w:ascii="Calibri" w:hAnsi="Calibri"/>
              </w:rPr>
              <w:t>Recommendation</w:t>
            </w:r>
          </w:p>
        </w:tc>
      </w:tr>
      <w:tr w:rsidR="004006CE" w:rsidRPr="00457256" w14:paraId="3B23201D" w14:textId="77777777">
        <w:tc>
          <w:tcPr>
            <w:tcW w:w="8522" w:type="dxa"/>
            <w:gridSpan w:val="3"/>
            <w:shd w:val="clear" w:color="auto" w:fill="auto"/>
          </w:tcPr>
          <w:p w14:paraId="5EAD6337" w14:textId="7AA0E68A" w:rsidR="00E3066E" w:rsidRDefault="00E3066E" w:rsidP="00236351">
            <w:pPr>
              <w:ind w:left="360"/>
              <w:jc w:val="both"/>
              <w:rPr>
                <w:rFonts w:ascii="Calibri" w:hAnsi="Calibri"/>
              </w:rPr>
            </w:pPr>
            <w:r w:rsidRPr="00586B0A">
              <w:rPr>
                <w:rFonts w:ascii="Calibri" w:hAnsi="Calibri"/>
              </w:rPr>
              <w:t xml:space="preserve">These recommendations should not be used without consulting the ‘principles for switching’ section on page </w:t>
            </w:r>
            <w:r w:rsidR="00281BB5">
              <w:rPr>
                <w:rFonts w:ascii="Calibri" w:hAnsi="Calibri"/>
              </w:rPr>
              <w:t>10</w:t>
            </w:r>
            <w:r w:rsidR="00036CF3">
              <w:rPr>
                <w:rFonts w:ascii="Calibri" w:hAnsi="Calibri"/>
              </w:rPr>
              <w:t>.</w:t>
            </w:r>
          </w:p>
          <w:p w14:paraId="3CC420A7" w14:textId="77777777" w:rsidR="008D3C2A" w:rsidRDefault="008D3C2A" w:rsidP="00236351">
            <w:pPr>
              <w:numPr>
                <w:ilvl w:val="0"/>
                <w:numId w:val="8"/>
              </w:numPr>
              <w:jc w:val="both"/>
              <w:rPr>
                <w:rFonts w:ascii="Calibri" w:hAnsi="Calibri"/>
              </w:rPr>
            </w:pPr>
            <w:r>
              <w:rPr>
                <w:rFonts w:ascii="Calibri" w:hAnsi="Calibri"/>
              </w:rPr>
              <w:t>The majority of Carbamazepine immediate re</w:t>
            </w:r>
            <w:r w:rsidR="00F40CD6">
              <w:rPr>
                <w:rFonts w:ascii="Calibri" w:hAnsi="Calibri"/>
              </w:rPr>
              <w:t>lease tablets are</w:t>
            </w:r>
            <w:r>
              <w:rPr>
                <w:rFonts w:ascii="Calibri" w:hAnsi="Calibri"/>
              </w:rPr>
              <w:t xml:space="preserve"> used in </w:t>
            </w:r>
            <w:r w:rsidR="00186D47">
              <w:rPr>
                <w:rFonts w:ascii="Calibri" w:hAnsi="Calibri"/>
              </w:rPr>
              <w:t>non-epileptic</w:t>
            </w:r>
            <w:r>
              <w:rPr>
                <w:rFonts w:ascii="Calibri" w:hAnsi="Calibri"/>
              </w:rPr>
              <w:t xml:space="preserve"> patients and maintenance of blood levels is not critical in these conditions.</w:t>
            </w:r>
          </w:p>
          <w:p w14:paraId="4B25812E" w14:textId="77777777" w:rsidR="004006CE" w:rsidRPr="008E3521" w:rsidRDefault="004006CE" w:rsidP="00236351">
            <w:pPr>
              <w:numPr>
                <w:ilvl w:val="0"/>
                <w:numId w:val="8"/>
              </w:numPr>
              <w:jc w:val="both"/>
              <w:rPr>
                <w:rFonts w:ascii="Calibri" w:hAnsi="Calibri"/>
              </w:rPr>
            </w:pPr>
            <w:r w:rsidRPr="008E3521">
              <w:rPr>
                <w:rFonts w:ascii="Calibri" w:hAnsi="Calibri"/>
              </w:rPr>
              <w:t>Mo</w:t>
            </w:r>
            <w:r w:rsidR="00CC7233" w:rsidRPr="008E3521">
              <w:rPr>
                <w:rFonts w:ascii="Calibri" w:hAnsi="Calibri"/>
              </w:rPr>
              <w:t>dified-release preparations</w:t>
            </w:r>
            <w:r w:rsidR="008D3C2A">
              <w:rPr>
                <w:rFonts w:ascii="Calibri" w:hAnsi="Calibri"/>
              </w:rPr>
              <w:t xml:space="preserve"> in general should not be routinely consider</w:t>
            </w:r>
            <w:r w:rsidR="002D76C2">
              <w:rPr>
                <w:rFonts w:ascii="Calibri" w:hAnsi="Calibri"/>
              </w:rPr>
              <w:t>e</w:t>
            </w:r>
            <w:r w:rsidR="008D3C2A">
              <w:rPr>
                <w:rFonts w:ascii="Calibri" w:hAnsi="Calibri"/>
              </w:rPr>
              <w:t>d for switching.</w:t>
            </w:r>
          </w:p>
          <w:p w14:paraId="519E25F6" w14:textId="63203020" w:rsidR="00A31432" w:rsidRPr="00457256" w:rsidRDefault="004006CE" w:rsidP="004730DA">
            <w:pPr>
              <w:numPr>
                <w:ilvl w:val="0"/>
                <w:numId w:val="8"/>
              </w:numPr>
              <w:jc w:val="both"/>
              <w:rPr>
                <w:rFonts w:ascii="Calibri" w:hAnsi="Calibri"/>
              </w:rPr>
            </w:pPr>
            <w:r w:rsidRPr="008E3521">
              <w:rPr>
                <w:rFonts w:ascii="Calibri" w:hAnsi="Calibri"/>
              </w:rPr>
              <w:t>Suppositories are only for short-term use</w:t>
            </w:r>
            <w:r w:rsidR="004730DA">
              <w:rPr>
                <w:rFonts w:ascii="Calibri" w:hAnsi="Calibri"/>
              </w:rPr>
              <w:t xml:space="preserve"> and so</w:t>
            </w:r>
            <w:r w:rsidRPr="008E3521">
              <w:rPr>
                <w:rFonts w:ascii="Calibri" w:hAnsi="Calibri"/>
              </w:rPr>
              <w:t xml:space="preserve"> substitution is permissible</w:t>
            </w:r>
            <w:r w:rsidR="004730DA">
              <w:rPr>
                <w:rFonts w:ascii="Calibri" w:hAnsi="Calibri"/>
              </w:rPr>
              <w:t xml:space="preserve">. </w:t>
            </w:r>
            <w:r w:rsidRPr="008E3521">
              <w:rPr>
                <w:rFonts w:ascii="Calibri" w:hAnsi="Calibri"/>
              </w:rPr>
              <w:t xml:space="preserve"> </w:t>
            </w:r>
          </w:p>
        </w:tc>
      </w:tr>
      <w:tr w:rsidR="004006CE" w:rsidRPr="00457256" w14:paraId="3BF4934C" w14:textId="77777777">
        <w:tc>
          <w:tcPr>
            <w:tcW w:w="8522" w:type="dxa"/>
            <w:gridSpan w:val="3"/>
            <w:shd w:val="clear" w:color="auto" w:fill="FF6600"/>
          </w:tcPr>
          <w:p w14:paraId="4D93D8E4" w14:textId="77777777" w:rsidR="004006CE" w:rsidRPr="00457256" w:rsidRDefault="004006CE">
            <w:pPr>
              <w:rPr>
                <w:rFonts w:ascii="Calibri" w:hAnsi="Calibri"/>
              </w:rPr>
            </w:pPr>
            <w:r w:rsidRPr="00457256">
              <w:rPr>
                <w:rFonts w:ascii="Calibri" w:hAnsi="Calibri"/>
              </w:rPr>
              <w:t>Rationale</w:t>
            </w:r>
          </w:p>
        </w:tc>
      </w:tr>
      <w:tr w:rsidR="00CC7233" w:rsidRPr="00457256" w14:paraId="10F9F751" w14:textId="77777777">
        <w:tc>
          <w:tcPr>
            <w:tcW w:w="8522" w:type="dxa"/>
            <w:gridSpan w:val="3"/>
            <w:shd w:val="clear" w:color="auto" w:fill="auto"/>
          </w:tcPr>
          <w:p w14:paraId="30C396BD" w14:textId="17B7CF44" w:rsidR="00CC7233" w:rsidRDefault="00CC7233">
            <w:pPr>
              <w:rPr>
                <w:rFonts w:ascii="Calibri" w:hAnsi="Calibri"/>
              </w:rPr>
            </w:pPr>
          </w:p>
          <w:p w14:paraId="01971C47" w14:textId="229A4D74" w:rsidR="00636D65" w:rsidRDefault="00636D65" w:rsidP="009E28EC">
            <w:pPr>
              <w:jc w:val="both"/>
              <w:rPr>
                <w:rFonts w:ascii="Calibri" w:hAnsi="Calibri"/>
              </w:rPr>
            </w:pPr>
            <w:r w:rsidRPr="00775BCE">
              <w:rPr>
                <w:rFonts w:ascii="Calibri" w:hAnsi="Calibri"/>
                <w:b/>
                <w:bCs/>
              </w:rPr>
              <w:t>MHRA</w:t>
            </w:r>
            <w:r w:rsidR="00B776ED">
              <w:rPr>
                <w:rFonts w:ascii="Calibri" w:hAnsi="Calibri"/>
                <w:b/>
                <w:bCs/>
              </w:rPr>
              <w:t>-</w:t>
            </w:r>
            <w:r w:rsidR="00775BCE" w:rsidRPr="00775BCE">
              <w:rPr>
                <w:rFonts w:ascii="Calibri" w:hAnsi="Calibri"/>
                <w:b/>
                <w:bCs/>
              </w:rPr>
              <w:t>Category 1:</w:t>
            </w:r>
            <w:r w:rsidR="00775BCE">
              <w:rPr>
                <w:rFonts w:ascii="Calibri" w:hAnsi="Calibri"/>
              </w:rPr>
              <w:t xml:space="preserve"> Ensure the patient is maintained on a specific manufacturer’s product. </w:t>
            </w:r>
          </w:p>
          <w:p w14:paraId="149A1CB5" w14:textId="77777777" w:rsidR="004F52F1" w:rsidRDefault="004F52F1">
            <w:pPr>
              <w:rPr>
                <w:rFonts w:ascii="Calibri" w:hAnsi="Calibri"/>
              </w:rPr>
            </w:pPr>
          </w:p>
          <w:p w14:paraId="5A7A991D" w14:textId="77777777" w:rsidR="00197049" w:rsidRPr="00385017" w:rsidRDefault="00197049" w:rsidP="00F01116">
            <w:pPr>
              <w:spacing w:before="45" w:after="45"/>
              <w:jc w:val="both"/>
              <w:rPr>
                <w:rFonts w:ascii="Calibri" w:hAnsi="Calibri" w:cs="Arial"/>
                <w:color w:val="000000"/>
              </w:rPr>
            </w:pPr>
            <w:r w:rsidRPr="00D63BD3">
              <w:rPr>
                <w:rFonts w:ascii="Calibri" w:hAnsi="Calibri" w:cs="Arial"/>
                <w:b/>
              </w:rPr>
              <w:t>Half life</w:t>
            </w:r>
            <w:r w:rsidR="000A0573" w:rsidRPr="00D63BD3">
              <w:rPr>
                <w:rFonts w:ascii="Calibri" w:hAnsi="Calibri" w:cs="Arial"/>
                <w:b/>
              </w:rPr>
              <w:t>:</w:t>
            </w:r>
            <w:r w:rsidR="00D63BD3" w:rsidRPr="00D63BD3">
              <w:rPr>
                <w:rFonts w:ascii="Calibri" w:hAnsi="Calibri" w:cs="Arial"/>
                <w:color w:val="000000"/>
              </w:rPr>
              <w:t xml:space="preserve"> </w:t>
            </w:r>
            <w:r w:rsidR="00D63BD3">
              <w:rPr>
                <w:rFonts w:ascii="Calibri" w:hAnsi="Calibri" w:cs="Arial"/>
                <w:color w:val="000000"/>
              </w:rPr>
              <w:t xml:space="preserve"> </w:t>
            </w:r>
            <w:r w:rsidR="00A14A59">
              <w:rPr>
                <w:rFonts w:ascii="Calibri" w:hAnsi="Calibri" w:cs="Arial"/>
                <w:color w:val="000000"/>
              </w:rPr>
              <w:t>Carbamazepine: 25</w:t>
            </w:r>
            <w:r w:rsidR="00D63BD3" w:rsidRPr="00D63BD3">
              <w:rPr>
                <w:rFonts w:ascii="Calibri" w:hAnsi="Calibri" w:cs="Arial"/>
                <w:color w:val="000000"/>
              </w:rPr>
              <w:t xml:space="preserve"> to 65 h</w:t>
            </w:r>
            <w:r w:rsidR="00A14A59">
              <w:rPr>
                <w:rFonts w:ascii="Calibri" w:hAnsi="Calibri" w:cs="Arial"/>
                <w:color w:val="000000"/>
              </w:rPr>
              <w:t>ours</w:t>
            </w:r>
            <w:r w:rsidR="00D63BD3" w:rsidRPr="00D63BD3">
              <w:rPr>
                <w:rFonts w:ascii="Calibri" w:hAnsi="Calibri" w:cs="Arial"/>
                <w:color w:val="000000"/>
              </w:rPr>
              <w:t xml:space="preserve"> initially, then 12 to 17 h</w:t>
            </w:r>
            <w:r w:rsidR="00A14A59">
              <w:rPr>
                <w:rFonts w:ascii="Calibri" w:hAnsi="Calibri" w:cs="Arial"/>
                <w:color w:val="000000"/>
              </w:rPr>
              <w:t>ou</w:t>
            </w:r>
            <w:r w:rsidR="00D63BD3" w:rsidRPr="00D63BD3">
              <w:rPr>
                <w:rFonts w:ascii="Calibri" w:hAnsi="Calibri" w:cs="Arial"/>
                <w:color w:val="000000"/>
              </w:rPr>
              <w:t>r</w:t>
            </w:r>
            <w:r w:rsidR="00A14A59">
              <w:rPr>
                <w:rFonts w:ascii="Calibri" w:hAnsi="Calibri" w:cs="Arial"/>
                <w:color w:val="000000"/>
              </w:rPr>
              <w:t>s</w:t>
            </w:r>
            <w:r w:rsidR="00D63BD3" w:rsidRPr="00D63BD3">
              <w:rPr>
                <w:rFonts w:ascii="Calibri" w:hAnsi="Calibri" w:cs="Arial"/>
                <w:color w:val="000000"/>
              </w:rPr>
              <w:t xml:space="preserve"> after repeated doses (3 to 5 weeks) due to autoinduction</w:t>
            </w:r>
            <w:r w:rsidR="00D63BD3">
              <w:rPr>
                <w:rFonts w:ascii="Calibri" w:hAnsi="Calibri" w:cs="Arial"/>
                <w:color w:val="000000"/>
              </w:rPr>
              <w:t xml:space="preserve">.  </w:t>
            </w:r>
            <w:r w:rsidR="00D63BD3" w:rsidRPr="00D63BD3">
              <w:rPr>
                <w:rFonts w:ascii="Calibri" w:hAnsi="Calibri" w:cs="Arial"/>
                <w:color w:val="000000"/>
              </w:rPr>
              <w:t>Carbamazepine-10,11-epoxide: 6.1 h</w:t>
            </w:r>
            <w:r w:rsidR="00A14A59">
              <w:rPr>
                <w:rFonts w:ascii="Calibri" w:hAnsi="Calibri" w:cs="Arial"/>
                <w:color w:val="000000"/>
              </w:rPr>
              <w:t>ou</w:t>
            </w:r>
            <w:r w:rsidR="00D63BD3" w:rsidRPr="00D63BD3">
              <w:rPr>
                <w:rFonts w:ascii="Calibri" w:hAnsi="Calibri" w:cs="Arial"/>
                <w:color w:val="000000"/>
              </w:rPr>
              <w:t>r</w:t>
            </w:r>
            <w:r w:rsidR="00A14A59">
              <w:rPr>
                <w:rFonts w:ascii="Calibri" w:hAnsi="Calibri" w:cs="Arial"/>
                <w:color w:val="000000"/>
              </w:rPr>
              <w:t>s.</w:t>
            </w:r>
            <w:r w:rsidR="00D63BD3">
              <w:rPr>
                <w:rFonts w:ascii="Calibri" w:hAnsi="Calibri" w:cs="Arial"/>
                <w:color w:val="000000"/>
              </w:rPr>
              <w:t xml:space="preserve">  </w:t>
            </w:r>
            <w:r w:rsidR="00D63BD3" w:rsidRPr="00F01116">
              <w:rPr>
                <w:rFonts w:ascii="Calibri" w:hAnsi="Calibri" w:cs="Arial"/>
                <w:color w:val="000000"/>
              </w:rPr>
              <w:t>(Micromedex 2012)</w:t>
            </w:r>
          </w:p>
          <w:p w14:paraId="2C50E02D" w14:textId="77777777" w:rsidR="00197049" w:rsidRPr="006D2965" w:rsidRDefault="00E715A5" w:rsidP="00F01116">
            <w:pPr>
              <w:jc w:val="both"/>
              <w:rPr>
                <w:rFonts w:ascii="Calibri" w:hAnsi="Calibri" w:cs="Arial"/>
              </w:rPr>
            </w:pPr>
            <w:r w:rsidRPr="00F01116">
              <w:rPr>
                <w:rFonts w:ascii="Calibri" w:hAnsi="Calibri"/>
                <w:b/>
              </w:rPr>
              <w:t>Biopharmaceutics Classification System</w:t>
            </w:r>
            <w:r w:rsidR="000A0573" w:rsidRPr="00D63BD3">
              <w:rPr>
                <w:rFonts w:ascii="Calibri" w:hAnsi="Calibri" w:cs="Arial"/>
                <w:b/>
              </w:rPr>
              <w:t>:</w:t>
            </w:r>
            <w:r w:rsidR="00197049" w:rsidRPr="006D2965">
              <w:rPr>
                <w:rFonts w:ascii="Calibri" w:hAnsi="Calibri" w:cs="Arial"/>
              </w:rPr>
              <w:t xml:space="preserve"> II</w:t>
            </w:r>
            <w:r w:rsidRPr="008034D0">
              <w:rPr>
                <w:rFonts w:ascii="Calibri" w:hAnsi="Calibri" w:cs="AdvP7B6C"/>
                <w:color w:val="000000"/>
              </w:rPr>
              <w:t xml:space="preserve">:  </w:t>
            </w:r>
            <w:r>
              <w:rPr>
                <w:rFonts w:ascii="Calibri" w:hAnsi="Calibri" w:cs="AdvP7B6C"/>
                <w:color w:val="000000"/>
              </w:rPr>
              <w:t>(</w:t>
            </w:r>
            <w:r w:rsidRPr="008034D0">
              <w:rPr>
                <w:rFonts w:ascii="Calibri" w:hAnsi="Calibri" w:cs="AdvP7B6C"/>
                <w:color w:val="000000"/>
              </w:rPr>
              <w:t>low solubility/high permeability</w:t>
            </w:r>
            <w:r>
              <w:rPr>
                <w:rFonts w:ascii="Calibri" w:hAnsi="Calibri" w:cs="AdvP7B6C"/>
                <w:color w:val="000000"/>
              </w:rPr>
              <w:t>)</w:t>
            </w:r>
          </w:p>
          <w:p w14:paraId="35B4F4BE" w14:textId="77777777" w:rsidR="00197049" w:rsidRPr="00F01116" w:rsidRDefault="000A0573" w:rsidP="00F01116">
            <w:pPr>
              <w:autoSpaceDE w:val="0"/>
              <w:autoSpaceDN w:val="0"/>
              <w:adjustRightInd w:val="0"/>
              <w:jc w:val="both"/>
              <w:rPr>
                <w:rFonts w:ascii="Calibri" w:hAnsi="Calibri" w:cs="AdvPS9779"/>
              </w:rPr>
            </w:pPr>
            <w:r w:rsidRPr="00F01116">
              <w:rPr>
                <w:rFonts w:ascii="Calibri" w:hAnsi="Calibri" w:cs="AdvP7B72"/>
              </w:rPr>
              <w:t>(</w:t>
            </w:r>
            <w:r w:rsidR="00197049" w:rsidRPr="00F01116">
              <w:rPr>
                <w:rFonts w:ascii="Calibri" w:hAnsi="Calibri" w:cs="AdvP7B72"/>
              </w:rPr>
              <w:t>Anderson</w:t>
            </w:r>
            <w:r w:rsidRPr="00F01116">
              <w:rPr>
                <w:rFonts w:ascii="Calibri" w:hAnsi="Calibri"/>
              </w:rPr>
              <w:t xml:space="preserve"> 2008)</w:t>
            </w:r>
            <w:r w:rsidR="00E715A5" w:rsidRPr="00F01116">
              <w:rPr>
                <w:rFonts w:ascii="Calibri" w:hAnsi="Calibri"/>
              </w:rPr>
              <w:t xml:space="preserve"> </w:t>
            </w:r>
          </w:p>
          <w:p w14:paraId="7A1DE10E" w14:textId="77777777" w:rsidR="00197049" w:rsidRPr="00197049" w:rsidRDefault="00197049" w:rsidP="00F01116">
            <w:pPr>
              <w:jc w:val="both"/>
              <w:rPr>
                <w:rFonts w:ascii="Calibri" w:hAnsi="Calibri"/>
              </w:rPr>
            </w:pPr>
          </w:p>
          <w:p w14:paraId="674FD397" w14:textId="77777777" w:rsidR="00197049" w:rsidRPr="00197049" w:rsidRDefault="00197049" w:rsidP="00F01116">
            <w:pPr>
              <w:jc w:val="both"/>
              <w:rPr>
                <w:rFonts w:ascii="Calibri" w:hAnsi="Calibri"/>
              </w:rPr>
            </w:pPr>
            <w:r w:rsidRPr="00197049">
              <w:rPr>
                <w:rFonts w:ascii="Calibri" w:hAnsi="Calibri"/>
              </w:rPr>
              <w:t xml:space="preserve">A literature search </w:t>
            </w:r>
            <w:r w:rsidR="00DB1767">
              <w:rPr>
                <w:rFonts w:ascii="Calibri" w:hAnsi="Calibri"/>
              </w:rPr>
              <w:t>retrieved 16</w:t>
            </w:r>
            <w:r w:rsidRPr="00197049">
              <w:rPr>
                <w:rFonts w:ascii="Calibri" w:hAnsi="Calibri"/>
              </w:rPr>
              <w:t xml:space="preserve"> relevant studies.</w:t>
            </w:r>
            <w:r w:rsidR="003C0A74">
              <w:rPr>
                <w:rFonts w:ascii="Calibri" w:hAnsi="Calibri"/>
              </w:rPr>
              <w:t xml:space="preserve">  </w:t>
            </w:r>
            <w:r w:rsidRPr="00197049">
              <w:rPr>
                <w:rFonts w:ascii="Calibri" w:hAnsi="Calibri"/>
              </w:rPr>
              <w:t xml:space="preserve">There were various different types of data found including 9 bioequivalence studies, a survey of physicians’ experiences in the US, 3 data analysis studies from healthcare claims databases (2x US and 1x Canadian), and 6 cases reported in 3 articles. A systematic review was </w:t>
            </w:r>
            <w:r w:rsidR="00385017">
              <w:rPr>
                <w:rFonts w:ascii="Calibri" w:hAnsi="Calibri"/>
              </w:rPr>
              <w:t>also found which reported 12 additional</w:t>
            </w:r>
            <w:r w:rsidRPr="00197049">
              <w:rPr>
                <w:rFonts w:ascii="Calibri" w:hAnsi="Calibri"/>
              </w:rPr>
              <w:t xml:space="preserve"> studies not included in this review.</w:t>
            </w:r>
            <w:r w:rsidR="00DB1767">
              <w:rPr>
                <w:rFonts w:ascii="Calibri" w:hAnsi="Calibri"/>
              </w:rPr>
              <w:t xml:space="preserve">  </w:t>
            </w:r>
          </w:p>
          <w:p w14:paraId="7C752B48" w14:textId="77777777" w:rsidR="00883862" w:rsidRDefault="00883862" w:rsidP="00F01116">
            <w:pPr>
              <w:jc w:val="both"/>
              <w:rPr>
                <w:rFonts w:ascii="Calibri" w:hAnsi="Calibri"/>
              </w:rPr>
            </w:pPr>
          </w:p>
          <w:p w14:paraId="360A6AC8" w14:textId="77777777" w:rsidR="00564B08" w:rsidRDefault="00564B08" w:rsidP="00F01116">
            <w:pPr>
              <w:jc w:val="both"/>
              <w:rPr>
                <w:rFonts w:ascii="Calibri" w:hAnsi="Calibri"/>
              </w:rPr>
            </w:pPr>
            <w:r>
              <w:rPr>
                <w:rFonts w:ascii="Calibri" w:hAnsi="Calibri"/>
              </w:rPr>
              <w:t xml:space="preserve">Due to the volume of information on carbamazepine the evidence reported below is a brief summary and more information can be found in </w:t>
            </w:r>
            <w:r w:rsidRPr="00761B9C">
              <w:rPr>
                <w:rFonts w:ascii="Calibri" w:hAnsi="Calibri"/>
              </w:rPr>
              <w:t xml:space="preserve">appendix </w:t>
            </w:r>
            <w:r w:rsidR="00761B9C" w:rsidRPr="00761B9C">
              <w:rPr>
                <w:rFonts w:ascii="Calibri" w:hAnsi="Calibri"/>
              </w:rPr>
              <w:t>2.</w:t>
            </w:r>
          </w:p>
          <w:p w14:paraId="48AF5DC9" w14:textId="77777777" w:rsidR="00761B9C" w:rsidRDefault="00761B9C" w:rsidP="00F01116">
            <w:pPr>
              <w:jc w:val="both"/>
              <w:rPr>
                <w:rFonts w:ascii="Calibri" w:hAnsi="Calibri"/>
              </w:rPr>
            </w:pPr>
          </w:p>
          <w:p w14:paraId="0AADCDC7" w14:textId="77777777" w:rsidR="00883862" w:rsidRDefault="00883862" w:rsidP="00F01116">
            <w:pPr>
              <w:jc w:val="both"/>
              <w:rPr>
                <w:rFonts w:ascii="Calibri" w:hAnsi="Calibri"/>
              </w:rPr>
            </w:pPr>
            <w:r>
              <w:rPr>
                <w:rFonts w:ascii="Calibri" w:hAnsi="Calibri"/>
              </w:rPr>
              <w:t xml:space="preserve">9 bioequivalence studies included 8 randomised crossover studies and 1 non-randomised study.  The studies assessed between 10 and 40 patients each.  All trials except one found similar AUCs, Cmax for brands and generics with no statistical differences and where reported no significant differences in side-effects or seizures.  The study which did find significant differences in AUC and Cmax tested 3 generics which had already been identified as having large differences in dissolution between the generics and the brand Tegretol.  </w:t>
            </w:r>
            <w:r w:rsidR="00016E1F" w:rsidRPr="00016E1F">
              <w:rPr>
                <w:rFonts w:ascii="Calibri" w:hAnsi="Calibri"/>
                <w:color w:val="000000"/>
              </w:rPr>
              <w:t xml:space="preserve">(Mayer 1999, Oles 1992, Jumao-as 1989, Meyer 1998, </w:t>
            </w:r>
            <w:r w:rsidR="00016E1F" w:rsidRPr="00016E1F">
              <w:rPr>
                <w:rFonts w:ascii="Calibri" w:hAnsi="Calibri" w:cs="Galliard-Bold"/>
                <w:bCs/>
                <w:color w:val="000000"/>
              </w:rPr>
              <w:t xml:space="preserve">Yacobi </w:t>
            </w:r>
            <w:r w:rsidR="00016E1F" w:rsidRPr="00016E1F">
              <w:rPr>
                <w:rFonts w:ascii="Calibri" w:hAnsi="Calibri"/>
                <w:color w:val="000000"/>
              </w:rPr>
              <w:t xml:space="preserve">1999, Bialer </w:t>
            </w:r>
            <w:r w:rsidR="00016E1F" w:rsidRPr="00016E1F">
              <w:rPr>
                <w:rFonts w:ascii="Calibri" w:hAnsi="Calibri"/>
                <w:bCs/>
                <w:iCs/>
                <w:color w:val="000000"/>
              </w:rPr>
              <w:t xml:space="preserve">Epilepsia </w:t>
            </w:r>
            <w:r w:rsidR="00016E1F" w:rsidRPr="00016E1F">
              <w:rPr>
                <w:rFonts w:ascii="Calibri" w:hAnsi="Calibri"/>
                <w:bCs/>
                <w:color w:val="000000"/>
              </w:rPr>
              <w:t xml:space="preserve">1998, </w:t>
            </w:r>
            <w:r w:rsidR="00016E1F" w:rsidRPr="00016E1F">
              <w:rPr>
                <w:rFonts w:ascii="Calibri" w:hAnsi="Calibri"/>
                <w:color w:val="000000"/>
              </w:rPr>
              <w:t xml:space="preserve"> Aldenkamp 1998, </w:t>
            </w:r>
            <w:r w:rsidR="00016E1F" w:rsidRPr="00016E1F">
              <w:rPr>
                <w:rFonts w:ascii="Calibri" w:hAnsi="Calibri"/>
                <w:bCs/>
                <w:color w:val="000000"/>
              </w:rPr>
              <w:t xml:space="preserve">Olling </w:t>
            </w:r>
            <w:r w:rsidR="00016E1F" w:rsidRPr="00016E1F">
              <w:rPr>
                <w:rFonts w:ascii="Calibri" w:hAnsi="Calibri"/>
                <w:color w:val="000000"/>
              </w:rPr>
              <w:t>1999)</w:t>
            </w:r>
            <w:r w:rsidR="00016E1F">
              <w:rPr>
                <w:rFonts w:ascii="Calibri" w:hAnsi="Calibri"/>
                <w:b/>
                <w:color w:val="000000"/>
              </w:rPr>
              <w:t xml:space="preserve">   </w:t>
            </w:r>
          </w:p>
          <w:p w14:paraId="48BBF208" w14:textId="77777777" w:rsidR="00883862" w:rsidRDefault="00883862" w:rsidP="00F01116">
            <w:pPr>
              <w:jc w:val="both"/>
              <w:rPr>
                <w:rFonts w:ascii="Calibri" w:hAnsi="Calibri"/>
              </w:rPr>
            </w:pPr>
          </w:p>
          <w:p w14:paraId="6D40F339" w14:textId="77777777" w:rsidR="00883862" w:rsidRPr="00F94896" w:rsidRDefault="00350D7E" w:rsidP="00F01116">
            <w:pPr>
              <w:jc w:val="both"/>
              <w:rPr>
                <w:rFonts w:ascii="Calibri" w:hAnsi="Calibri"/>
              </w:rPr>
            </w:pPr>
            <w:r>
              <w:rPr>
                <w:rFonts w:ascii="Calibri" w:hAnsi="Calibri"/>
              </w:rPr>
              <w:t xml:space="preserve">A survey of physicians in the US retrieved 7 reports </w:t>
            </w:r>
            <w:r w:rsidR="006D74D2">
              <w:rPr>
                <w:rFonts w:ascii="Calibri" w:hAnsi="Calibri"/>
              </w:rPr>
              <w:t>about carbamazepine causing problems after brand to generic switching</w:t>
            </w:r>
            <w:r>
              <w:rPr>
                <w:rFonts w:ascii="Calibri" w:hAnsi="Calibri"/>
              </w:rPr>
              <w:t xml:space="preserve">.  </w:t>
            </w:r>
            <w:r w:rsidRPr="00F94896">
              <w:rPr>
                <w:rFonts w:ascii="Calibri" w:hAnsi="Calibri"/>
              </w:rPr>
              <w:t xml:space="preserve">The blood levels of patients who were switched to generic carbamazepine decreased by an average of 20% </w:t>
            </w:r>
            <w:r>
              <w:rPr>
                <w:rFonts w:ascii="Calibri" w:hAnsi="Calibri"/>
              </w:rPr>
              <w:t xml:space="preserve">and for </w:t>
            </w:r>
            <w:r w:rsidRPr="00F94896">
              <w:rPr>
                <w:rFonts w:ascii="Calibri" w:hAnsi="Calibri"/>
              </w:rPr>
              <w:t xml:space="preserve">3 patients </w:t>
            </w:r>
            <w:r>
              <w:rPr>
                <w:rFonts w:ascii="Calibri" w:hAnsi="Calibri"/>
              </w:rPr>
              <w:t xml:space="preserve">who </w:t>
            </w:r>
            <w:r w:rsidRPr="00F94896">
              <w:rPr>
                <w:rFonts w:ascii="Calibri" w:hAnsi="Calibri"/>
              </w:rPr>
              <w:t xml:space="preserve">had blood levels after switching back to brand </w:t>
            </w:r>
            <w:r>
              <w:rPr>
                <w:rFonts w:ascii="Calibri" w:hAnsi="Calibri"/>
              </w:rPr>
              <w:t xml:space="preserve">their </w:t>
            </w:r>
            <w:r w:rsidRPr="00F94896">
              <w:rPr>
                <w:rFonts w:ascii="Calibri" w:hAnsi="Calibri"/>
              </w:rPr>
              <w:t xml:space="preserve">levels returned to near the original baseline level.  </w:t>
            </w:r>
            <w:r w:rsidRPr="00F01116">
              <w:rPr>
                <w:rFonts w:ascii="Calibri" w:hAnsi="Calibri"/>
              </w:rPr>
              <w:t xml:space="preserve">(Berg </w:t>
            </w:r>
            <w:r w:rsidRPr="00F01116">
              <w:rPr>
                <w:rFonts w:ascii="Calibri" w:eastAsia="MinionPro-Regular" w:hAnsi="Calibri"/>
              </w:rPr>
              <w:t>2008)</w:t>
            </w:r>
            <w:r>
              <w:rPr>
                <w:rFonts w:ascii="Calibri" w:hAnsi="Calibri"/>
              </w:rPr>
              <w:t xml:space="preserve"> </w:t>
            </w:r>
          </w:p>
          <w:p w14:paraId="6FBFB522" w14:textId="77777777" w:rsidR="00197049" w:rsidRDefault="00197049" w:rsidP="00F01116">
            <w:pPr>
              <w:autoSpaceDE w:val="0"/>
              <w:autoSpaceDN w:val="0"/>
              <w:adjustRightInd w:val="0"/>
              <w:jc w:val="both"/>
              <w:rPr>
                <w:rFonts w:ascii="Calibri" w:eastAsia="MinionPro-Regular" w:hAnsi="Calibri"/>
                <w:b/>
              </w:rPr>
            </w:pPr>
          </w:p>
          <w:p w14:paraId="2894DB0E" w14:textId="77777777" w:rsidR="00360625" w:rsidRPr="00016E1F" w:rsidRDefault="006D74D2" w:rsidP="00F01116">
            <w:pPr>
              <w:autoSpaceDE w:val="0"/>
              <w:autoSpaceDN w:val="0"/>
              <w:adjustRightInd w:val="0"/>
              <w:jc w:val="both"/>
              <w:rPr>
                <w:rFonts w:ascii="Calibri" w:eastAsia="MinionPro-Regular" w:hAnsi="Calibri"/>
              </w:rPr>
            </w:pPr>
            <w:r>
              <w:rPr>
                <w:rFonts w:ascii="Calibri" w:eastAsia="MinionPro-Regular" w:hAnsi="Calibri"/>
              </w:rPr>
              <w:t xml:space="preserve">There are </w:t>
            </w:r>
            <w:r w:rsidR="00360625" w:rsidRPr="00943FCE">
              <w:rPr>
                <w:rFonts w:ascii="Calibri" w:eastAsia="MinionPro-Regular" w:hAnsi="Calibri"/>
              </w:rPr>
              <w:t xml:space="preserve">3 data analysis studies from healthcare claims databases.  One US study found patients who had received emergency care for epilepsy related events were more likely </w:t>
            </w:r>
            <w:r w:rsidR="00360625" w:rsidRPr="00943FCE">
              <w:rPr>
                <w:rFonts w:ascii="Calibri" w:eastAsia="MinionPro-Regular" w:hAnsi="Calibri"/>
              </w:rPr>
              <w:lastRenderedPageBreak/>
              <w:t>to have switched from brand to generic and carbamazepine was one of the top 4 AED</w:t>
            </w:r>
            <w:r>
              <w:rPr>
                <w:rFonts w:ascii="Calibri" w:eastAsia="MinionPro-Regular" w:hAnsi="Calibri"/>
              </w:rPr>
              <w:t>s</w:t>
            </w:r>
            <w:r w:rsidR="00360625" w:rsidRPr="00943FCE">
              <w:rPr>
                <w:rFonts w:ascii="Calibri" w:eastAsia="MinionPro-Regular" w:hAnsi="Calibri"/>
              </w:rPr>
              <w:t xml:space="preserve"> involved.  Two studies, one Canadian and one US, measured switchback rates after patients had been switched from brand to generic and found high switchback rates for carbamazepine 20.8% and 31.5% respectively. </w:t>
            </w:r>
            <w:r w:rsidR="00016E1F" w:rsidRPr="00016E1F">
              <w:rPr>
                <w:rFonts w:ascii="Calibri" w:hAnsi="Calibri"/>
              </w:rPr>
              <w:t>(Hansen 2009, Labiner 2010,</w:t>
            </w:r>
            <w:r w:rsidR="00016E1F" w:rsidRPr="00016E1F">
              <w:rPr>
                <w:rFonts w:ascii="Calibri" w:hAnsi="Calibri"/>
                <w:color w:val="000000"/>
              </w:rPr>
              <w:t xml:space="preserve"> LeLorier  Neurology 2008)</w:t>
            </w:r>
            <w:r w:rsidR="00016E1F" w:rsidRPr="00016E1F">
              <w:rPr>
                <w:rFonts w:ascii="Calibri" w:hAnsi="Calibri"/>
              </w:rPr>
              <w:t xml:space="preserve"> </w:t>
            </w:r>
            <w:r w:rsidR="00360625" w:rsidRPr="00016E1F">
              <w:rPr>
                <w:rFonts w:ascii="Calibri" w:eastAsia="MinionPro-Regular" w:hAnsi="Calibri"/>
              </w:rPr>
              <w:t xml:space="preserve"> </w:t>
            </w:r>
            <w:r w:rsidR="00943FCE" w:rsidRPr="00016E1F">
              <w:rPr>
                <w:rFonts w:ascii="Calibri" w:eastAsia="MinionPro-Regular" w:hAnsi="Calibri"/>
              </w:rPr>
              <w:t xml:space="preserve"> </w:t>
            </w:r>
          </w:p>
          <w:p w14:paraId="71A46BBE" w14:textId="77777777" w:rsidR="00360625" w:rsidRPr="00943FCE" w:rsidRDefault="00360625" w:rsidP="00F01116">
            <w:pPr>
              <w:autoSpaceDE w:val="0"/>
              <w:autoSpaceDN w:val="0"/>
              <w:adjustRightInd w:val="0"/>
              <w:jc w:val="both"/>
              <w:rPr>
                <w:rFonts w:ascii="Calibri" w:eastAsia="MinionPro-Regular" w:hAnsi="Calibri"/>
              </w:rPr>
            </w:pPr>
          </w:p>
          <w:p w14:paraId="4BC6590D" w14:textId="77777777" w:rsidR="003544AE" w:rsidRPr="00016E1F" w:rsidRDefault="008F4362" w:rsidP="00F01116">
            <w:pPr>
              <w:jc w:val="both"/>
              <w:rPr>
                <w:rFonts w:ascii="Calibri" w:hAnsi="Calibri"/>
                <w:color w:val="000000"/>
              </w:rPr>
            </w:pPr>
            <w:r w:rsidRPr="00943FCE">
              <w:rPr>
                <w:rFonts w:ascii="Calibri" w:hAnsi="Calibri"/>
              </w:rPr>
              <w:t xml:space="preserve">There are </w:t>
            </w:r>
            <w:r w:rsidR="003544AE" w:rsidRPr="00943FCE">
              <w:rPr>
                <w:rFonts w:ascii="Calibri" w:hAnsi="Calibri"/>
                <w:color w:val="000000"/>
              </w:rPr>
              <w:t>6 case reports of patients who were taking branded carbamazepine and experienced proble</w:t>
            </w:r>
            <w:r w:rsidR="006D74D2">
              <w:rPr>
                <w:rFonts w:ascii="Calibri" w:hAnsi="Calibri"/>
                <w:color w:val="000000"/>
              </w:rPr>
              <w:t xml:space="preserve">ms after switching to generic. </w:t>
            </w:r>
            <w:r w:rsidR="003544AE" w:rsidRPr="00943FCE">
              <w:rPr>
                <w:rFonts w:ascii="Calibri" w:hAnsi="Calibri"/>
                <w:color w:val="000000"/>
              </w:rPr>
              <w:t>Two paediatric patients experienced adverse effects with generic carbamazepine and 4 adult patients suffered increased seizures after switching to generic</w:t>
            </w:r>
            <w:r w:rsidR="003544AE" w:rsidRPr="00016E1F">
              <w:rPr>
                <w:rFonts w:ascii="Calibri" w:hAnsi="Calibri"/>
                <w:color w:val="000000"/>
              </w:rPr>
              <w:t>.</w:t>
            </w:r>
            <w:r w:rsidR="00016E1F" w:rsidRPr="00016E1F">
              <w:rPr>
                <w:rFonts w:ascii="Calibri" w:hAnsi="Calibri"/>
                <w:color w:val="000000"/>
              </w:rPr>
              <w:t xml:space="preserve"> (Gilman 1993, </w:t>
            </w:r>
            <w:r w:rsidR="00016E1F" w:rsidRPr="00016E1F">
              <w:rPr>
                <w:rFonts w:ascii="Calibri" w:hAnsi="Calibri"/>
              </w:rPr>
              <w:t>Koch 1987,</w:t>
            </w:r>
            <w:r w:rsidR="00016E1F" w:rsidRPr="00016E1F">
              <w:rPr>
                <w:rFonts w:ascii="Calibri" w:hAnsi="Calibri"/>
                <w:color w:val="000000"/>
              </w:rPr>
              <w:t xml:space="preserve"> Sachdeo 1987)</w:t>
            </w:r>
            <w:r w:rsidR="00016E1F" w:rsidRPr="00016E1F">
              <w:rPr>
                <w:rFonts w:ascii="Calibri" w:hAnsi="Calibri"/>
              </w:rPr>
              <w:t xml:space="preserve"> </w:t>
            </w:r>
          </w:p>
          <w:p w14:paraId="13531979" w14:textId="77777777" w:rsidR="003544AE" w:rsidRDefault="003544AE" w:rsidP="00F01116">
            <w:pPr>
              <w:jc w:val="both"/>
              <w:rPr>
                <w:rFonts w:ascii="Calibri" w:hAnsi="Calibri"/>
                <w:b/>
                <w:color w:val="000000"/>
              </w:rPr>
            </w:pPr>
            <w:r>
              <w:rPr>
                <w:rFonts w:ascii="Calibri" w:hAnsi="Calibri"/>
                <w:b/>
                <w:color w:val="000000"/>
              </w:rPr>
              <w:t xml:space="preserve">  </w:t>
            </w:r>
          </w:p>
          <w:p w14:paraId="7604F0F3" w14:textId="77777777" w:rsidR="006C0699" w:rsidRPr="00493883" w:rsidRDefault="006C0699" w:rsidP="00F01116">
            <w:pPr>
              <w:jc w:val="both"/>
              <w:rPr>
                <w:rFonts w:ascii="Calibri" w:hAnsi="Calibri"/>
                <w:color w:val="000000"/>
              </w:rPr>
            </w:pPr>
            <w:r>
              <w:rPr>
                <w:rFonts w:ascii="Calibri" w:hAnsi="Calibri"/>
                <w:color w:val="000000"/>
              </w:rPr>
              <w:t>A systematic review</w:t>
            </w:r>
            <w:r w:rsidR="002534F1">
              <w:rPr>
                <w:rFonts w:ascii="Calibri" w:hAnsi="Calibri"/>
                <w:color w:val="000000"/>
              </w:rPr>
              <w:t xml:space="preserve"> looking at potential problems wi</w:t>
            </w:r>
            <w:r w:rsidR="006D74D2">
              <w:rPr>
                <w:rFonts w:ascii="Calibri" w:hAnsi="Calibri"/>
                <w:color w:val="000000"/>
              </w:rPr>
              <w:t xml:space="preserve">th generic substitution of AEDs </w:t>
            </w:r>
            <w:r>
              <w:rPr>
                <w:rFonts w:ascii="Calibri" w:hAnsi="Calibri"/>
                <w:color w:val="000000"/>
              </w:rPr>
              <w:t>mentioned</w:t>
            </w:r>
            <w:r w:rsidR="00F01116">
              <w:rPr>
                <w:rFonts w:ascii="Calibri" w:hAnsi="Calibri"/>
                <w:color w:val="000000"/>
              </w:rPr>
              <w:t xml:space="preserve"> </w:t>
            </w:r>
            <w:r w:rsidRPr="00493883">
              <w:rPr>
                <w:rFonts w:ascii="Calibri" w:hAnsi="Calibri"/>
                <w:color w:val="000000"/>
              </w:rPr>
              <w:t xml:space="preserve">12 </w:t>
            </w:r>
            <w:r>
              <w:rPr>
                <w:rFonts w:ascii="Calibri" w:hAnsi="Calibri"/>
                <w:color w:val="000000"/>
              </w:rPr>
              <w:t xml:space="preserve">additional studies that have not been appraised in detail for this monograph.  The extra studies are briefly summarised </w:t>
            </w:r>
            <w:r w:rsidR="008F4362">
              <w:rPr>
                <w:rFonts w:ascii="Calibri" w:hAnsi="Calibri"/>
                <w:color w:val="000000"/>
              </w:rPr>
              <w:t xml:space="preserve">in </w:t>
            </w:r>
            <w:r w:rsidR="008F4362" w:rsidRPr="002A0967">
              <w:rPr>
                <w:rFonts w:ascii="Calibri" w:hAnsi="Calibri"/>
                <w:color w:val="000000"/>
              </w:rPr>
              <w:t>appendix</w:t>
            </w:r>
            <w:r w:rsidR="002A0967" w:rsidRPr="002A0967">
              <w:rPr>
                <w:rFonts w:ascii="Calibri" w:hAnsi="Calibri"/>
                <w:color w:val="000000"/>
              </w:rPr>
              <w:t xml:space="preserve"> 2</w:t>
            </w:r>
            <w:r>
              <w:rPr>
                <w:rFonts w:ascii="Calibri" w:hAnsi="Calibri"/>
                <w:color w:val="000000"/>
              </w:rPr>
              <w:t xml:space="preserve"> as they appear in th</w:t>
            </w:r>
            <w:r w:rsidR="002534F1">
              <w:rPr>
                <w:rFonts w:ascii="Calibri" w:hAnsi="Calibri"/>
                <w:color w:val="000000"/>
              </w:rPr>
              <w:t>e original</w:t>
            </w:r>
            <w:r>
              <w:rPr>
                <w:rFonts w:ascii="Calibri" w:hAnsi="Calibri"/>
                <w:color w:val="000000"/>
              </w:rPr>
              <w:t xml:space="preserve"> paper</w:t>
            </w:r>
            <w:r w:rsidR="008F4362">
              <w:rPr>
                <w:rFonts w:ascii="Calibri" w:hAnsi="Calibri"/>
                <w:color w:val="000000"/>
              </w:rPr>
              <w:t>.</w:t>
            </w:r>
            <w:r w:rsidR="002534F1">
              <w:rPr>
                <w:rFonts w:ascii="Calibri" w:hAnsi="Calibri"/>
                <w:b/>
                <w:color w:val="000000"/>
              </w:rPr>
              <w:t xml:space="preserve"> </w:t>
            </w:r>
            <w:r w:rsidR="002534F1" w:rsidRPr="00F01116">
              <w:rPr>
                <w:rFonts w:ascii="Calibri" w:hAnsi="Calibri"/>
                <w:color w:val="000000"/>
              </w:rPr>
              <w:t>(Crawford 2006)</w:t>
            </w:r>
            <w:r w:rsidR="002534F1">
              <w:rPr>
                <w:rFonts w:ascii="Calibri" w:hAnsi="Calibri"/>
                <w:b/>
                <w:color w:val="000000"/>
              </w:rPr>
              <w:t xml:space="preserve">  </w:t>
            </w:r>
          </w:p>
          <w:p w14:paraId="369C8ABF" w14:textId="77777777" w:rsidR="003544AE" w:rsidRPr="00F94896" w:rsidRDefault="003544AE" w:rsidP="00F01116">
            <w:pPr>
              <w:jc w:val="both"/>
              <w:rPr>
                <w:rFonts w:ascii="Calibri" w:hAnsi="Calibri"/>
                <w:b/>
                <w:color w:val="000000"/>
              </w:rPr>
            </w:pPr>
          </w:p>
          <w:p w14:paraId="2E838D97" w14:textId="77777777" w:rsidR="00197049" w:rsidRPr="00F94896" w:rsidRDefault="00197049" w:rsidP="00F01116">
            <w:pPr>
              <w:jc w:val="both"/>
              <w:rPr>
                <w:rFonts w:ascii="Calibri" w:hAnsi="Calibri"/>
                <w:b/>
                <w:color w:val="000000"/>
              </w:rPr>
            </w:pPr>
          </w:p>
          <w:p w14:paraId="07DBA949" w14:textId="77777777" w:rsidR="00CD15DE" w:rsidRPr="00457256" w:rsidRDefault="00CD15DE" w:rsidP="006C0699">
            <w:pPr>
              <w:rPr>
                <w:rFonts w:ascii="Calibri" w:hAnsi="Calibri"/>
              </w:rPr>
            </w:pPr>
          </w:p>
        </w:tc>
      </w:tr>
    </w:tbl>
    <w:p w14:paraId="60918ED4" w14:textId="77777777" w:rsidR="00F80726" w:rsidRDefault="00F80726"/>
    <w:p w14:paraId="4B2141E4" w14:textId="77777777" w:rsidR="00F80726" w:rsidRDefault="00F80726"/>
    <w:p w14:paraId="55E9B0BA" w14:textId="77777777" w:rsidR="00F80726" w:rsidRDefault="00F80726"/>
    <w:p w14:paraId="012DB4CD" w14:textId="77777777" w:rsidR="00F80726" w:rsidRDefault="000E09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D9226A" w:rsidRPr="00457256" w14:paraId="64E6F4B2" w14:textId="77777777">
        <w:tc>
          <w:tcPr>
            <w:tcW w:w="8522" w:type="dxa"/>
            <w:gridSpan w:val="3"/>
            <w:tcBorders>
              <w:top w:val="nil"/>
              <w:left w:val="nil"/>
              <w:bottom w:val="nil"/>
              <w:right w:val="nil"/>
            </w:tcBorders>
            <w:shd w:val="clear" w:color="auto" w:fill="FF6600"/>
          </w:tcPr>
          <w:p w14:paraId="517DDF28" w14:textId="77777777" w:rsidR="00D9226A" w:rsidRPr="00457256" w:rsidRDefault="00D9226A" w:rsidP="001D423C">
            <w:pPr>
              <w:pStyle w:val="Heading3"/>
              <w:rPr>
                <w:rFonts w:ascii="Calibri" w:hAnsi="Calibri"/>
              </w:rPr>
            </w:pPr>
            <w:bookmarkStart w:id="3" w:name="_Clobazam"/>
            <w:bookmarkEnd w:id="3"/>
            <w:r w:rsidRPr="00457256">
              <w:rPr>
                <w:rFonts w:ascii="Calibri" w:hAnsi="Calibri"/>
              </w:rPr>
              <w:lastRenderedPageBreak/>
              <w:t>Clobazam</w:t>
            </w:r>
          </w:p>
        </w:tc>
      </w:tr>
      <w:tr w:rsidR="00D9226A" w:rsidRPr="00457256" w14:paraId="209C88B9" w14:textId="77777777">
        <w:tc>
          <w:tcPr>
            <w:tcW w:w="8522" w:type="dxa"/>
            <w:gridSpan w:val="3"/>
            <w:tcBorders>
              <w:top w:val="nil"/>
            </w:tcBorders>
            <w:shd w:val="clear" w:color="auto" w:fill="000000"/>
          </w:tcPr>
          <w:p w14:paraId="0B463CF0" w14:textId="77777777" w:rsidR="00D9226A" w:rsidRPr="00457256" w:rsidRDefault="00D9226A" w:rsidP="006E675F">
            <w:pPr>
              <w:rPr>
                <w:rFonts w:ascii="Calibri" w:hAnsi="Calibri"/>
              </w:rPr>
            </w:pPr>
          </w:p>
        </w:tc>
      </w:tr>
      <w:tr w:rsidR="00D9226A" w:rsidRPr="00457256" w14:paraId="0B7A556B" w14:textId="77777777">
        <w:tc>
          <w:tcPr>
            <w:tcW w:w="1908" w:type="dxa"/>
            <w:shd w:val="clear" w:color="auto" w:fill="auto"/>
          </w:tcPr>
          <w:p w14:paraId="3035EA43" w14:textId="77777777" w:rsidR="00D9226A" w:rsidRPr="00457256" w:rsidRDefault="0060219D" w:rsidP="006E675F">
            <w:pPr>
              <w:rPr>
                <w:rFonts w:ascii="Calibri" w:hAnsi="Calibri"/>
              </w:rPr>
            </w:pPr>
            <w:r w:rsidRPr="00457256">
              <w:rPr>
                <w:rFonts w:ascii="Calibri" w:hAnsi="Calibri"/>
              </w:rPr>
              <w:t>Forms available</w:t>
            </w:r>
          </w:p>
        </w:tc>
        <w:tc>
          <w:tcPr>
            <w:tcW w:w="2700" w:type="dxa"/>
            <w:shd w:val="clear" w:color="auto" w:fill="auto"/>
          </w:tcPr>
          <w:p w14:paraId="1F68EA01" w14:textId="77777777" w:rsidR="00D9226A" w:rsidRPr="00457256" w:rsidRDefault="0060219D" w:rsidP="006E675F">
            <w:pPr>
              <w:rPr>
                <w:rFonts w:ascii="Calibri" w:hAnsi="Calibri"/>
              </w:rPr>
            </w:pPr>
            <w:r w:rsidRPr="00457256">
              <w:rPr>
                <w:rFonts w:ascii="Calibri" w:hAnsi="Calibri"/>
              </w:rPr>
              <w:t>Tablets</w:t>
            </w:r>
          </w:p>
        </w:tc>
        <w:tc>
          <w:tcPr>
            <w:tcW w:w="3914" w:type="dxa"/>
            <w:shd w:val="clear" w:color="auto" w:fill="auto"/>
          </w:tcPr>
          <w:p w14:paraId="16E5DDCA" w14:textId="77777777" w:rsidR="00D9226A" w:rsidRPr="00457256" w:rsidRDefault="0060219D" w:rsidP="006E675F">
            <w:pPr>
              <w:rPr>
                <w:rFonts w:ascii="Calibri" w:hAnsi="Calibri"/>
              </w:rPr>
            </w:pPr>
            <w:r w:rsidRPr="00457256">
              <w:rPr>
                <w:rFonts w:ascii="Calibri" w:hAnsi="Calibri"/>
              </w:rPr>
              <w:t>10mg</w:t>
            </w:r>
          </w:p>
        </w:tc>
      </w:tr>
      <w:tr w:rsidR="00D9226A" w:rsidRPr="00457256" w14:paraId="082629F9" w14:textId="77777777">
        <w:tc>
          <w:tcPr>
            <w:tcW w:w="1908" w:type="dxa"/>
            <w:shd w:val="clear" w:color="auto" w:fill="auto"/>
          </w:tcPr>
          <w:p w14:paraId="6F2BA4D6" w14:textId="77777777" w:rsidR="00D9226A" w:rsidRPr="00457256" w:rsidRDefault="00D9226A" w:rsidP="006E675F">
            <w:pPr>
              <w:rPr>
                <w:rFonts w:ascii="Calibri" w:hAnsi="Calibri"/>
              </w:rPr>
            </w:pPr>
            <w:r w:rsidRPr="00457256">
              <w:rPr>
                <w:rFonts w:ascii="Calibri" w:hAnsi="Calibri"/>
              </w:rPr>
              <w:t>Brands available</w:t>
            </w:r>
          </w:p>
        </w:tc>
        <w:tc>
          <w:tcPr>
            <w:tcW w:w="6614" w:type="dxa"/>
            <w:gridSpan w:val="2"/>
            <w:shd w:val="clear" w:color="auto" w:fill="auto"/>
          </w:tcPr>
          <w:p w14:paraId="785FA411" w14:textId="77777777" w:rsidR="00D9226A" w:rsidRPr="00457256" w:rsidRDefault="00D9226A" w:rsidP="006E675F">
            <w:pPr>
              <w:rPr>
                <w:rFonts w:ascii="Calibri" w:hAnsi="Calibri"/>
              </w:rPr>
            </w:pPr>
            <w:r w:rsidRPr="00457256">
              <w:rPr>
                <w:rFonts w:ascii="Calibri" w:hAnsi="Calibri"/>
              </w:rPr>
              <w:t>Non-proprietary</w:t>
            </w:r>
          </w:p>
        </w:tc>
      </w:tr>
      <w:tr w:rsidR="00D9226A" w:rsidRPr="00457256" w14:paraId="124267EA" w14:textId="77777777">
        <w:tc>
          <w:tcPr>
            <w:tcW w:w="8522" w:type="dxa"/>
            <w:gridSpan w:val="3"/>
            <w:shd w:val="clear" w:color="auto" w:fill="FF6600"/>
          </w:tcPr>
          <w:p w14:paraId="3B24EA6F"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0579FAAE" w14:textId="77777777">
        <w:tc>
          <w:tcPr>
            <w:tcW w:w="8522" w:type="dxa"/>
            <w:gridSpan w:val="3"/>
            <w:shd w:val="clear" w:color="auto" w:fill="auto"/>
          </w:tcPr>
          <w:p w14:paraId="18992958" w14:textId="50E05CF2" w:rsidR="00E3066E" w:rsidRPr="000E09AF" w:rsidRDefault="00E3066E" w:rsidP="005565DC">
            <w:pPr>
              <w:ind w:left="360"/>
              <w:jc w:val="both"/>
              <w:rPr>
                <w:rFonts w:ascii="Calibri" w:hAnsi="Calibri"/>
              </w:rPr>
            </w:pPr>
            <w:r w:rsidRPr="000E09AF">
              <w:rPr>
                <w:rFonts w:ascii="Calibri" w:hAnsi="Calibri"/>
              </w:rPr>
              <w:t>These recommendations should not be used without consulting the ‘principles f</w:t>
            </w:r>
            <w:r w:rsidR="000E09AF" w:rsidRPr="000E09AF">
              <w:rPr>
                <w:rFonts w:ascii="Calibri" w:hAnsi="Calibri"/>
              </w:rPr>
              <w:t>or switching’ section on page</w:t>
            </w:r>
            <w:r w:rsidR="00036CF3">
              <w:rPr>
                <w:rFonts w:ascii="Calibri" w:hAnsi="Calibri"/>
              </w:rPr>
              <w:t xml:space="preserve"> </w:t>
            </w:r>
            <w:r w:rsidR="00281BB5">
              <w:rPr>
                <w:rFonts w:ascii="Calibri" w:hAnsi="Calibri"/>
              </w:rPr>
              <w:t>10</w:t>
            </w:r>
            <w:r w:rsidR="00036CF3">
              <w:rPr>
                <w:rFonts w:ascii="Calibri" w:hAnsi="Calibri"/>
              </w:rPr>
              <w:t>.</w:t>
            </w:r>
          </w:p>
          <w:p w14:paraId="46D3C453" w14:textId="77777777" w:rsidR="00F65043" w:rsidRPr="00824220" w:rsidRDefault="00F65043" w:rsidP="005565DC">
            <w:pPr>
              <w:numPr>
                <w:ilvl w:val="0"/>
                <w:numId w:val="8"/>
              </w:numPr>
              <w:jc w:val="both"/>
              <w:rPr>
                <w:rFonts w:ascii="Calibri" w:hAnsi="Calibri"/>
              </w:rPr>
            </w:pPr>
            <w:r w:rsidRPr="000E09AF">
              <w:rPr>
                <w:rFonts w:ascii="Calibri" w:hAnsi="Calibri" w:cs="Courier New"/>
              </w:rPr>
              <w:t>There are no specific data</w:t>
            </w:r>
            <w:r w:rsidRPr="00824220">
              <w:rPr>
                <w:rFonts w:ascii="Calibri" w:hAnsi="Calibri" w:cs="Courier New"/>
              </w:rPr>
              <w:t xml:space="preserve"> to </w:t>
            </w:r>
            <w:r w:rsidR="00602288">
              <w:rPr>
                <w:rFonts w:ascii="Calibri" w:hAnsi="Calibri" w:cs="Courier New"/>
              </w:rPr>
              <w:t>suggest that switching causes</w:t>
            </w:r>
            <w:r w:rsidRPr="00824220">
              <w:rPr>
                <w:rFonts w:ascii="Calibri" w:hAnsi="Calibri" w:cs="Courier New"/>
              </w:rPr>
              <w:t xml:space="preserve"> problems in clinical practice.  In these circumstances it seems reasonable to allow switching for most patients</w:t>
            </w:r>
          </w:p>
          <w:p w14:paraId="451F7633" w14:textId="77777777" w:rsidR="00F46F73" w:rsidRPr="00F23066" w:rsidRDefault="00F46F73" w:rsidP="005565DC">
            <w:pPr>
              <w:numPr>
                <w:ilvl w:val="0"/>
                <w:numId w:val="8"/>
              </w:numPr>
              <w:jc w:val="both"/>
              <w:rPr>
                <w:rFonts w:ascii="Calibri" w:hAnsi="Calibri"/>
              </w:rPr>
            </w:pPr>
            <w:r w:rsidRPr="00824220">
              <w:rPr>
                <w:rFonts w:ascii="Calibri" w:hAnsi="Calibri"/>
              </w:rPr>
              <w:t xml:space="preserve">The effects of </w:t>
            </w:r>
            <w:r w:rsidR="002D7812">
              <w:rPr>
                <w:rFonts w:ascii="Calibri" w:hAnsi="Calibri"/>
              </w:rPr>
              <w:t>c</w:t>
            </w:r>
            <w:r w:rsidR="00D61D2A" w:rsidRPr="00824220">
              <w:rPr>
                <w:rFonts w:ascii="Calibri" w:hAnsi="Calibri"/>
              </w:rPr>
              <w:t>lobazam</w:t>
            </w:r>
            <w:r w:rsidR="00824220">
              <w:rPr>
                <w:rFonts w:ascii="Calibri" w:hAnsi="Calibri"/>
              </w:rPr>
              <w:t xml:space="preserve"> wear</w:t>
            </w:r>
            <w:r w:rsidR="00D61D2A" w:rsidRPr="00824220">
              <w:rPr>
                <w:rFonts w:ascii="Calibri" w:hAnsi="Calibri"/>
              </w:rPr>
              <w:t xml:space="preserve"> off over time</w:t>
            </w:r>
            <w:r w:rsidR="002D7812">
              <w:rPr>
                <w:rFonts w:ascii="Calibri" w:hAnsi="Calibri"/>
              </w:rPr>
              <w:t xml:space="preserve"> </w:t>
            </w:r>
            <w:r w:rsidR="002D7812" w:rsidRPr="005565DC">
              <w:rPr>
                <w:rFonts w:ascii="Calibri" w:hAnsi="Calibri"/>
              </w:rPr>
              <w:t>(SPC 2011)</w:t>
            </w:r>
          </w:p>
          <w:p w14:paraId="63065865" w14:textId="77777777" w:rsidR="00F23066" w:rsidRPr="00457256" w:rsidRDefault="00F23066" w:rsidP="00F23066">
            <w:pPr>
              <w:ind w:left="360"/>
              <w:rPr>
                <w:rFonts w:ascii="Calibri" w:hAnsi="Calibri"/>
              </w:rPr>
            </w:pPr>
          </w:p>
        </w:tc>
      </w:tr>
      <w:tr w:rsidR="00D9226A" w:rsidRPr="00457256" w14:paraId="1823DEB1" w14:textId="77777777">
        <w:tc>
          <w:tcPr>
            <w:tcW w:w="8522" w:type="dxa"/>
            <w:gridSpan w:val="3"/>
            <w:shd w:val="clear" w:color="auto" w:fill="FF6600"/>
          </w:tcPr>
          <w:p w14:paraId="33928C79" w14:textId="77777777" w:rsidR="00D9226A" w:rsidRPr="00457256" w:rsidRDefault="00D9226A" w:rsidP="006E675F">
            <w:pPr>
              <w:rPr>
                <w:rFonts w:ascii="Calibri" w:hAnsi="Calibri"/>
              </w:rPr>
            </w:pPr>
            <w:r w:rsidRPr="00457256">
              <w:rPr>
                <w:rFonts w:ascii="Calibri" w:hAnsi="Calibri"/>
              </w:rPr>
              <w:t>Rationale</w:t>
            </w:r>
          </w:p>
        </w:tc>
      </w:tr>
      <w:tr w:rsidR="00D9226A" w:rsidRPr="00457256" w14:paraId="710E7EF9" w14:textId="77777777">
        <w:tc>
          <w:tcPr>
            <w:tcW w:w="8522" w:type="dxa"/>
            <w:gridSpan w:val="3"/>
            <w:shd w:val="clear" w:color="auto" w:fill="auto"/>
          </w:tcPr>
          <w:p w14:paraId="3322F2E2" w14:textId="538DD9CF" w:rsidR="00DE6842" w:rsidRDefault="00DE6842" w:rsidP="00BB1BA0">
            <w:pPr>
              <w:rPr>
                <w:rFonts w:ascii="Calibri" w:hAnsi="Calibri"/>
              </w:rPr>
            </w:pPr>
          </w:p>
          <w:p w14:paraId="03E9B863" w14:textId="279216AD" w:rsidR="009C41C1" w:rsidRDefault="009C41C1" w:rsidP="006303B2">
            <w:pPr>
              <w:jc w:val="both"/>
              <w:rPr>
                <w:rFonts w:ascii="Calibri" w:hAnsi="Calibri"/>
              </w:rPr>
            </w:pPr>
            <w:r w:rsidRPr="00FA2FC2">
              <w:rPr>
                <w:rFonts w:ascii="Calibri" w:hAnsi="Calibri"/>
                <w:b/>
                <w:bCs/>
              </w:rPr>
              <w:t>MHRA</w:t>
            </w:r>
            <w:r w:rsidR="00B776ED" w:rsidRPr="00FA2FC2">
              <w:rPr>
                <w:rFonts w:ascii="Calibri" w:hAnsi="Calibri"/>
                <w:b/>
                <w:bCs/>
              </w:rPr>
              <w:t>-Category 2:</w:t>
            </w:r>
            <w:r w:rsidR="00B776ED">
              <w:rPr>
                <w:rFonts w:ascii="Calibri" w:hAnsi="Calibri"/>
              </w:rPr>
              <w:t xml:space="preserve"> </w:t>
            </w:r>
            <w:r w:rsidR="00B55BBB">
              <w:rPr>
                <w:rFonts w:ascii="Calibri" w:hAnsi="Calibri"/>
              </w:rPr>
              <w:t xml:space="preserve">Base the need for continued supply of particular manufacturers’ product on clinical judgement and consultation with </w:t>
            </w:r>
            <w:r w:rsidR="00B55BBB" w:rsidRPr="00F65579">
              <w:rPr>
                <w:rFonts w:ascii="Calibri" w:hAnsi="Calibri"/>
              </w:rPr>
              <w:t>pa</w:t>
            </w:r>
            <w:r w:rsidR="00F65579" w:rsidRPr="00F65579">
              <w:rPr>
                <w:rFonts w:ascii="Calibri" w:hAnsi="Calibri"/>
              </w:rPr>
              <w:t>ti</w:t>
            </w:r>
            <w:r w:rsidR="00B55BBB" w:rsidRPr="00F65579">
              <w:rPr>
                <w:rFonts w:ascii="Calibri" w:hAnsi="Calibri"/>
              </w:rPr>
              <w:t>ent</w:t>
            </w:r>
            <w:r w:rsidR="00B55BBB">
              <w:rPr>
                <w:rFonts w:ascii="Calibri" w:hAnsi="Calibri"/>
              </w:rPr>
              <w:t xml:space="preserve"> and/or carer, taking into account factors such as seizure frequency and treatment history.  Take into account patient/carer-related factors such as their negative perceptions about alternative products and/or other issues related to the patient</w:t>
            </w:r>
            <w:r w:rsidR="00FA2FC2">
              <w:rPr>
                <w:rFonts w:ascii="Calibri" w:hAnsi="Calibri"/>
              </w:rPr>
              <w:t xml:space="preserve">. </w:t>
            </w:r>
          </w:p>
          <w:p w14:paraId="2053DBC9" w14:textId="77777777" w:rsidR="008C0A31" w:rsidRDefault="008C0A31" w:rsidP="005565DC">
            <w:pPr>
              <w:spacing w:before="45" w:after="45"/>
              <w:jc w:val="both"/>
              <w:rPr>
                <w:rFonts w:ascii="Calibri" w:hAnsi="Calibri"/>
                <w:b/>
              </w:rPr>
            </w:pPr>
          </w:p>
          <w:p w14:paraId="5ECCA5FC" w14:textId="33E2D6B6" w:rsidR="00A14A59" w:rsidRPr="005565DC" w:rsidRDefault="00DE6842" w:rsidP="005565DC">
            <w:pPr>
              <w:spacing w:before="45" w:after="45"/>
              <w:jc w:val="both"/>
              <w:rPr>
                <w:rFonts w:ascii="Calibri" w:hAnsi="Calibri" w:cs="Arial"/>
                <w:color w:val="000000"/>
              </w:rPr>
            </w:pPr>
            <w:r w:rsidRPr="00256F61">
              <w:rPr>
                <w:rFonts w:ascii="Calibri" w:hAnsi="Calibri"/>
                <w:b/>
              </w:rPr>
              <w:t>Half life</w:t>
            </w:r>
            <w:r w:rsidR="003F7119" w:rsidRPr="005565DC">
              <w:rPr>
                <w:rFonts w:ascii="Calibri" w:hAnsi="Calibri"/>
              </w:rPr>
              <w:t>:</w:t>
            </w:r>
            <w:r w:rsidR="00A14A59" w:rsidRPr="005565DC">
              <w:rPr>
                <w:rFonts w:ascii="Calibri" w:hAnsi="Calibri"/>
              </w:rPr>
              <w:t xml:space="preserve">  </w:t>
            </w:r>
            <w:r w:rsidR="002D7812" w:rsidRPr="005565DC">
              <w:rPr>
                <w:rFonts w:ascii="Calibri" w:hAnsi="Calibri" w:cs="Arial"/>
                <w:color w:val="000000"/>
              </w:rPr>
              <w:t>C</w:t>
            </w:r>
            <w:r w:rsidR="00A14A59" w:rsidRPr="005565DC">
              <w:rPr>
                <w:rFonts w:ascii="Calibri" w:hAnsi="Calibri" w:cs="Arial"/>
                <w:color w:val="000000"/>
              </w:rPr>
              <w:t>lobazam: 36 to 42 hours.  N-desmethylclobazam: 71 to 82 hours.</w:t>
            </w:r>
            <w:r w:rsidR="00EF76D9" w:rsidRPr="005565DC">
              <w:rPr>
                <w:rFonts w:ascii="Calibri" w:hAnsi="Calibri" w:cs="Arial"/>
                <w:color w:val="000000"/>
              </w:rPr>
              <w:t xml:space="preserve"> (Micromedex 2011)</w:t>
            </w:r>
          </w:p>
          <w:p w14:paraId="6C08A53D" w14:textId="77777777" w:rsidR="00C02A0F" w:rsidRPr="005565DC" w:rsidRDefault="00C02A0F" w:rsidP="005565DC">
            <w:pPr>
              <w:jc w:val="both"/>
              <w:rPr>
                <w:rFonts w:ascii="Calibri" w:hAnsi="Calibri" w:cs="Arial"/>
              </w:rPr>
            </w:pPr>
            <w:r w:rsidRPr="00256F61">
              <w:rPr>
                <w:rFonts w:ascii="Calibri" w:hAnsi="Calibri"/>
                <w:b/>
              </w:rPr>
              <w:t>Biophar</w:t>
            </w:r>
            <w:r w:rsidR="005565DC" w:rsidRPr="00256F61">
              <w:rPr>
                <w:rFonts w:ascii="Calibri" w:hAnsi="Calibri"/>
                <w:b/>
              </w:rPr>
              <w:t>maceutics Classification System</w:t>
            </w:r>
            <w:r w:rsidRPr="00256F61">
              <w:rPr>
                <w:rFonts w:ascii="Calibri" w:hAnsi="Calibri" w:cs="Arial"/>
                <w:b/>
              </w:rPr>
              <w:t>:</w:t>
            </w:r>
            <w:r w:rsidRPr="005565DC">
              <w:rPr>
                <w:rFonts w:ascii="Calibri" w:hAnsi="Calibri" w:cs="Arial"/>
              </w:rPr>
              <w:t xml:space="preserve"> No data</w:t>
            </w:r>
          </w:p>
          <w:p w14:paraId="22B7F632" w14:textId="77777777" w:rsidR="00C02A0F" w:rsidRPr="005565DC" w:rsidRDefault="00C02A0F" w:rsidP="005565DC">
            <w:pPr>
              <w:autoSpaceDE w:val="0"/>
              <w:autoSpaceDN w:val="0"/>
              <w:adjustRightInd w:val="0"/>
              <w:jc w:val="both"/>
              <w:rPr>
                <w:rFonts w:ascii="Calibri" w:hAnsi="Calibri" w:cs="AdvPS9779"/>
              </w:rPr>
            </w:pPr>
            <w:r w:rsidRPr="005565DC">
              <w:rPr>
                <w:rFonts w:ascii="Calibri" w:hAnsi="Calibri" w:cs="AdvP7B72"/>
              </w:rPr>
              <w:t>(Anderson</w:t>
            </w:r>
            <w:r w:rsidRPr="005565DC">
              <w:rPr>
                <w:rFonts w:ascii="Calibri" w:hAnsi="Calibri"/>
              </w:rPr>
              <w:t xml:space="preserve"> 2008) </w:t>
            </w:r>
          </w:p>
          <w:p w14:paraId="066C9856" w14:textId="77777777" w:rsidR="00DE6842" w:rsidRPr="005565DC" w:rsidRDefault="00DE6842" w:rsidP="005565DC">
            <w:pPr>
              <w:jc w:val="both"/>
              <w:rPr>
                <w:rFonts w:ascii="Calibri" w:hAnsi="Calibri"/>
              </w:rPr>
            </w:pPr>
          </w:p>
          <w:p w14:paraId="0F1CC940" w14:textId="77777777" w:rsidR="00BB1BA0" w:rsidRPr="005565DC" w:rsidRDefault="00BB1BA0" w:rsidP="005565DC">
            <w:pPr>
              <w:jc w:val="both"/>
              <w:rPr>
                <w:rFonts w:ascii="Calibri" w:hAnsi="Calibri"/>
              </w:rPr>
            </w:pPr>
            <w:r w:rsidRPr="005565DC">
              <w:rPr>
                <w:rFonts w:ascii="Calibri" w:hAnsi="Calibri"/>
              </w:rPr>
              <w:t>A literature search retrieved 2 relevant studies, both of which were data analyses of healthcare claims in Canada.</w:t>
            </w:r>
          </w:p>
          <w:p w14:paraId="5E6163F4" w14:textId="77777777" w:rsidR="00BB1BA0" w:rsidRPr="005565DC" w:rsidRDefault="00BB1BA0" w:rsidP="005565DC">
            <w:pPr>
              <w:jc w:val="both"/>
              <w:rPr>
                <w:rFonts w:ascii="Calibri" w:hAnsi="Calibri"/>
              </w:rPr>
            </w:pPr>
            <w:r w:rsidRPr="005565DC">
              <w:rPr>
                <w:rFonts w:ascii="Calibri" w:hAnsi="Calibri"/>
              </w:rPr>
              <w:t xml:space="preserve"> </w:t>
            </w:r>
          </w:p>
          <w:p w14:paraId="59448153" w14:textId="77777777" w:rsidR="00BB1BA0" w:rsidRPr="005565DC" w:rsidRDefault="00BB1BA0" w:rsidP="005565DC">
            <w:pPr>
              <w:autoSpaceDE w:val="0"/>
              <w:autoSpaceDN w:val="0"/>
              <w:adjustRightInd w:val="0"/>
              <w:jc w:val="both"/>
              <w:rPr>
                <w:rFonts w:ascii="Calibri" w:hAnsi="Calibri"/>
                <w:color w:val="000000"/>
              </w:rPr>
            </w:pPr>
            <w:r w:rsidRPr="005565DC">
              <w:rPr>
                <w:rFonts w:ascii="Calibri" w:hAnsi="Calibri"/>
              </w:rPr>
              <w:t xml:space="preserve">A Canadian study analysed </w:t>
            </w:r>
            <w:r w:rsidRPr="005565DC">
              <w:rPr>
                <w:rFonts w:ascii="Calibri" w:hAnsi="Calibri" w:cs="Times-Roman"/>
              </w:rPr>
              <w:t>prescription drug dispensing claims paid for by the Ontario Drug Benefit (ODB) Formulary to identify patients on lamotrigine, clobazam or valproic acid / divalproex in January 2002 to March 2006.  Rates of switch back to brand were determined [Lamictal, Frisium and Depakene (</w:t>
            </w:r>
            <w:r w:rsidR="006D74D2">
              <w:rPr>
                <w:rFonts w:ascii="Calibri" w:hAnsi="Calibri" w:cs="Times-Roman"/>
              </w:rPr>
              <w:t>valproic acid</w:t>
            </w:r>
            <w:r w:rsidRPr="005565DC">
              <w:rPr>
                <w:rFonts w:ascii="Calibri" w:hAnsi="Calibri" w:cs="Times-Roman"/>
              </w:rPr>
              <w:t xml:space="preserve">; divalproex)] and these were compared with non-AED long-term therapies, antihyperlipidemics and antidepressants.  </w:t>
            </w:r>
            <w:r w:rsidRPr="005565DC">
              <w:rPr>
                <w:rFonts w:ascii="Calibri" w:hAnsi="Calibri"/>
                <w:color w:val="000000"/>
              </w:rPr>
              <w:t xml:space="preserve">There were 1483 generic clobazam patients (136 monotherapy and 1347 polytherapy 90.8%). </w:t>
            </w:r>
            <w:r w:rsidRPr="005565DC">
              <w:rPr>
                <w:rFonts w:ascii="Calibri" w:hAnsi="Calibri" w:cs="Times-Roman"/>
              </w:rPr>
              <w:t xml:space="preserve"> AEDs had much higher switchback rates compared with other long-term drugs.  The switchback rate for clobazam was 20.7% (valproic acid / divalproex 20.9% and lamotrigin</w:t>
            </w:r>
            <w:r w:rsidR="00602288" w:rsidRPr="005565DC">
              <w:rPr>
                <w:rFonts w:ascii="Calibri" w:hAnsi="Calibri" w:cs="Times-Roman"/>
              </w:rPr>
              <w:t>e</w:t>
            </w:r>
            <w:r w:rsidRPr="005565DC">
              <w:rPr>
                <w:rFonts w:ascii="Calibri" w:hAnsi="Calibri" w:cs="Times-Roman"/>
              </w:rPr>
              <w:t xml:space="preserve"> 12.9%).  The switchback rates for non-AEDs were substantially lower at 1.5–2.9%.  The rate of switchback was lower for polytherapy for clobazam (19.8 vs. 27.1%) than patients on monotherapy.</w:t>
            </w:r>
            <w:r w:rsidR="003F7119" w:rsidRPr="005565DC">
              <w:rPr>
                <w:rFonts w:ascii="Calibri" w:hAnsi="Calibri" w:cs="Times-Roman"/>
              </w:rPr>
              <w:t xml:space="preserve">  </w:t>
            </w:r>
            <w:r w:rsidR="003F7119" w:rsidRPr="005565DC">
              <w:rPr>
                <w:rFonts w:ascii="Calibri" w:hAnsi="Calibri"/>
                <w:color w:val="000000"/>
              </w:rPr>
              <w:t>(Andermann</w:t>
            </w:r>
            <w:r w:rsidRPr="005565DC">
              <w:rPr>
                <w:rFonts w:ascii="Calibri" w:hAnsi="Calibri"/>
                <w:iCs/>
                <w:color w:val="000000"/>
              </w:rPr>
              <w:t xml:space="preserve"> </w:t>
            </w:r>
            <w:r w:rsidRPr="005565DC">
              <w:rPr>
                <w:rFonts w:ascii="Calibri" w:hAnsi="Calibri"/>
                <w:color w:val="000000"/>
              </w:rPr>
              <w:t>2007</w:t>
            </w:r>
            <w:r w:rsidR="003F7119" w:rsidRPr="005565DC">
              <w:rPr>
                <w:rFonts w:ascii="Calibri" w:hAnsi="Calibri"/>
                <w:color w:val="000000"/>
              </w:rPr>
              <w:t>)</w:t>
            </w:r>
            <w:r w:rsidRPr="005565DC">
              <w:rPr>
                <w:rFonts w:ascii="Calibri" w:hAnsi="Calibri"/>
                <w:color w:val="000000"/>
              </w:rPr>
              <w:t xml:space="preserve"> </w:t>
            </w:r>
          </w:p>
          <w:p w14:paraId="34222665" w14:textId="77777777" w:rsidR="00BB1BA0" w:rsidRPr="005565DC" w:rsidRDefault="00BB1BA0" w:rsidP="005565DC">
            <w:pPr>
              <w:jc w:val="both"/>
              <w:rPr>
                <w:rFonts w:ascii="Calibri" w:hAnsi="Calibri"/>
              </w:rPr>
            </w:pPr>
          </w:p>
          <w:p w14:paraId="1D27B0FB" w14:textId="77777777" w:rsidR="00BB1BA0" w:rsidRPr="005565DC" w:rsidRDefault="00BB1BA0" w:rsidP="005565DC">
            <w:pPr>
              <w:autoSpaceDE w:val="0"/>
              <w:autoSpaceDN w:val="0"/>
              <w:adjustRightInd w:val="0"/>
              <w:jc w:val="both"/>
              <w:rPr>
                <w:rFonts w:ascii="Calibri" w:hAnsi="Calibri"/>
              </w:rPr>
            </w:pPr>
            <w:r w:rsidRPr="005565DC">
              <w:rPr>
                <w:rFonts w:ascii="Calibri" w:hAnsi="Calibri"/>
              </w:rPr>
              <w:t>A Canadian study used medical and pharmacy claims data from Re´gie de l’Assurance Maladie du Que´be</w:t>
            </w:r>
            <w:r w:rsidR="001029CD" w:rsidRPr="005565DC">
              <w:rPr>
                <w:rFonts w:ascii="Calibri" w:hAnsi="Calibri"/>
              </w:rPr>
              <w:t>c database between April 1998 and</w:t>
            </w:r>
            <w:r w:rsidRPr="005565DC">
              <w:rPr>
                <w:rFonts w:ascii="Calibri" w:hAnsi="Calibri"/>
              </w:rPr>
              <w:t xml:space="preserve"> July 2006. The study was analysing lamotrigine and compared the switch back to brand rates with those of 3 other AEDs and 3 non-AEDs.  1060 patients were on clobazam of which 995 (93.9%) were on polytherapy.  </w:t>
            </w:r>
            <w:r w:rsidR="00602288" w:rsidRPr="005565DC">
              <w:rPr>
                <w:rFonts w:ascii="Calibri" w:hAnsi="Calibri"/>
              </w:rPr>
              <w:t>51.8 – 93.9% of p</w:t>
            </w:r>
            <w:r w:rsidRPr="005565DC">
              <w:rPr>
                <w:rFonts w:ascii="Calibri" w:hAnsi="Calibri"/>
              </w:rPr>
              <w:t>atients on lamotrigine, clobazam and carbamazepine</w:t>
            </w:r>
            <w:r w:rsidR="00602288" w:rsidRPr="005565DC">
              <w:rPr>
                <w:rFonts w:ascii="Calibri" w:hAnsi="Calibri"/>
              </w:rPr>
              <w:t xml:space="preserve"> were</w:t>
            </w:r>
            <w:r w:rsidRPr="005565DC">
              <w:rPr>
                <w:rFonts w:ascii="Calibri" w:hAnsi="Calibri"/>
              </w:rPr>
              <w:t xml:space="preserve"> on polytherapy.  In contrast, polytherapy users represented 2.2% to 3.0% of patients for non-AED study populations (simvastatin, fosinopril, carvedilol).  </w:t>
            </w:r>
          </w:p>
          <w:p w14:paraId="16BD612E" w14:textId="77777777" w:rsidR="00BB1BA0" w:rsidRPr="005565DC" w:rsidRDefault="00BB1BA0" w:rsidP="005565DC">
            <w:pPr>
              <w:autoSpaceDE w:val="0"/>
              <w:autoSpaceDN w:val="0"/>
              <w:adjustRightInd w:val="0"/>
              <w:jc w:val="both"/>
              <w:rPr>
                <w:rFonts w:ascii="Calibri" w:hAnsi="Calibri"/>
              </w:rPr>
            </w:pPr>
            <w:r w:rsidRPr="005565DC">
              <w:rPr>
                <w:rFonts w:ascii="Calibri" w:hAnsi="Calibri"/>
              </w:rPr>
              <w:t>18.9% of clobazam patients switched to a generic and 44.1% switched back to brand.</w:t>
            </w:r>
          </w:p>
          <w:p w14:paraId="7A45ECF0" w14:textId="77777777" w:rsidR="00BB1BA0" w:rsidRPr="005565DC" w:rsidRDefault="00BB1BA0" w:rsidP="005565DC">
            <w:pPr>
              <w:autoSpaceDE w:val="0"/>
              <w:autoSpaceDN w:val="0"/>
              <w:adjustRightInd w:val="0"/>
              <w:jc w:val="both"/>
              <w:rPr>
                <w:rFonts w:ascii="Calibri" w:hAnsi="Calibri"/>
              </w:rPr>
            </w:pPr>
            <w:r w:rsidRPr="005565DC">
              <w:rPr>
                <w:rFonts w:ascii="Calibri" w:hAnsi="Calibri"/>
              </w:rPr>
              <w:lastRenderedPageBreak/>
              <w:t xml:space="preserve">This compared to 45% gabapentin switched and 30.9% switched back; 72.3% carbamazepine CR switched and 20.8% switched back and lamotrigine 27.9% switched and 27.5% switched back.  For non-AED 40.8 to 90.2% switched and 7.7 – 9.1% switched back. </w:t>
            </w:r>
            <w:r w:rsidRPr="005565DC">
              <w:rPr>
                <w:rFonts w:ascii="Calibri" w:hAnsi="Calibri"/>
                <w:color w:val="000000"/>
              </w:rPr>
              <w:t>There were no results reported for the reasons for these switches or rates of seizures in clobazam patients.</w:t>
            </w:r>
            <w:r w:rsidRPr="005565DC">
              <w:rPr>
                <w:rFonts w:ascii="Calibri" w:hAnsi="Calibri"/>
              </w:rPr>
              <w:t xml:space="preserve">  </w:t>
            </w:r>
            <w:r w:rsidR="003F7119" w:rsidRPr="005565DC">
              <w:rPr>
                <w:rFonts w:ascii="Calibri" w:hAnsi="Calibri"/>
              </w:rPr>
              <w:t>(</w:t>
            </w:r>
            <w:r w:rsidRPr="005565DC">
              <w:rPr>
                <w:rFonts w:ascii="Calibri" w:hAnsi="Calibri"/>
                <w:color w:val="000000"/>
              </w:rPr>
              <w:t xml:space="preserve">LeLorier </w:t>
            </w:r>
            <w:r w:rsidR="001F2EE5" w:rsidRPr="005565DC">
              <w:rPr>
                <w:rFonts w:ascii="Calibri" w:hAnsi="Calibri"/>
                <w:color w:val="000000"/>
              </w:rPr>
              <w:t xml:space="preserve">Neurology </w:t>
            </w:r>
            <w:r w:rsidRPr="005565DC">
              <w:rPr>
                <w:rFonts w:ascii="Calibri" w:hAnsi="Calibri"/>
                <w:color w:val="000000"/>
              </w:rPr>
              <w:t>2</w:t>
            </w:r>
            <w:r w:rsidR="001F2EE5" w:rsidRPr="005565DC">
              <w:rPr>
                <w:rFonts w:ascii="Calibri" w:hAnsi="Calibri"/>
                <w:color w:val="000000"/>
              </w:rPr>
              <w:t>008</w:t>
            </w:r>
            <w:r w:rsidR="003F7119" w:rsidRPr="005565DC">
              <w:rPr>
                <w:rFonts w:ascii="Calibri" w:hAnsi="Calibri"/>
                <w:color w:val="000000"/>
              </w:rPr>
              <w:t>)</w:t>
            </w:r>
          </w:p>
          <w:p w14:paraId="679F9B1C" w14:textId="77777777" w:rsidR="00D9226A" w:rsidRPr="00457256" w:rsidRDefault="00D9226A" w:rsidP="006E675F">
            <w:pPr>
              <w:rPr>
                <w:rFonts w:ascii="Calibri" w:hAnsi="Calibri"/>
              </w:rPr>
            </w:pPr>
          </w:p>
        </w:tc>
      </w:tr>
    </w:tbl>
    <w:p w14:paraId="542A15AF" w14:textId="77777777" w:rsidR="00D9226A" w:rsidRPr="0018137D" w:rsidRDefault="00D9226A">
      <w:pPr>
        <w:rPr>
          <w:rFonts w:ascii="Calibri" w:hAnsi="Calibri"/>
        </w:rPr>
      </w:pPr>
    </w:p>
    <w:p w14:paraId="6D8EC4E5" w14:textId="77777777" w:rsidR="00D9226A" w:rsidRPr="0018137D" w:rsidRDefault="000E09AF">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D9226A" w:rsidRPr="00457256" w14:paraId="27AB7633" w14:textId="77777777">
        <w:tc>
          <w:tcPr>
            <w:tcW w:w="8522" w:type="dxa"/>
            <w:gridSpan w:val="3"/>
            <w:tcBorders>
              <w:top w:val="nil"/>
              <w:left w:val="nil"/>
              <w:bottom w:val="nil"/>
              <w:right w:val="nil"/>
            </w:tcBorders>
            <w:shd w:val="clear" w:color="auto" w:fill="FF6600"/>
          </w:tcPr>
          <w:p w14:paraId="19247BBB" w14:textId="77777777" w:rsidR="00D9226A" w:rsidRPr="00457256" w:rsidRDefault="00D9226A" w:rsidP="001D423C">
            <w:pPr>
              <w:pStyle w:val="Heading3"/>
              <w:rPr>
                <w:rFonts w:ascii="Calibri" w:hAnsi="Calibri"/>
              </w:rPr>
            </w:pPr>
            <w:bookmarkStart w:id="4" w:name="_Clonazepam"/>
            <w:bookmarkEnd w:id="4"/>
            <w:r w:rsidRPr="00457256">
              <w:rPr>
                <w:rFonts w:ascii="Calibri" w:hAnsi="Calibri"/>
              </w:rPr>
              <w:lastRenderedPageBreak/>
              <w:t>Clonazepam</w:t>
            </w:r>
          </w:p>
        </w:tc>
      </w:tr>
      <w:tr w:rsidR="00D9226A" w:rsidRPr="00457256" w14:paraId="3D722833" w14:textId="77777777">
        <w:tc>
          <w:tcPr>
            <w:tcW w:w="8522" w:type="dxa"/>
            <w:gridSpan w:val="3"/>
            <w:tcBorders>
              <w:top w:val="nil"/>
            </w:tcBorders>
            <w:shd w:val="clear" w:color="auto" w:fill="000000"/>
          </w:tcPr>
          <w:p w14:paraId="77E23E04" w14:textId="77777777" w:rsidR="00D9226A" w:rsidRPr="00457256" w:rsidRDefault="00D9226A" w:rsidP="006E675F">
            <w:pPr>
              <w:rPr>
                <w:rFonts w:ascii="Calibri" w:hAnsi="Calibri"/>
              </w:rPr>
            </w:pPr>
          </w:p>
        </w:tc>
      </w:tr>
      <w:tr w:rsidR="00D9226A" w:rsidRPr="00457256" w14:paraId="3528F720" w14:textId="77777777">
        <w:tc>
          <w:tcPr>
            <w:tcW w:w="1908" w:type="dxa"/>
            <w:shd w:val="clear" w:color="auto" w:fill="auto"/>
            <w:vAlign w:val="center"/>
          </w:tcPr>
          <w:p w14:paraId="5F7CF309" w14:textId="77777777" w:rsidR="00D9226A" w:rsidRPr="00457256" w:rsidRDefault="00D9226A" w:rsidP="006E675F">
            <w:pPr>
              <w:rPr>
                <w:rFonts w:ascii="Calibri" w:hAnsi="Calibri"/>
              </w:rPr>
            </w:pPr>
            <w:r w:rsidRPr="00457256">
              <w:rPr>
                <w:rFonts w:ascii="Calibri" w:hAnsi="Calibri"/>
              </w:rPr>
              <w:t>Forms available</w:t>
            </w:r>
          </w:p>
        </w:tc>
        <w:tc>
          <w:tcPr>
            <w:tcW w:w="2700" w:type="dxa"/>
            <w:shd w:val="clear" w:color="auto" w:fill="auto"/>
          </w:tcPr>
          <w:p w14:paraId="5784772F" w14:textId="77777777" w:rsidR="00D9226A" w:rsidRPr="00457256" w:rsidRDefault="0060219D" w:rsidP="006E675F">
            <w:pPr>
              <w:rPr>
                <w:rFonts w:ascii="Calibri" w:hAnsi="Calibri"/>
              </w:rPr>
            </w:pPr>
            <w:r w:rsidRPr="00457256">
              <w:rPr>
                <w:rFonts w:ascii="Calibri" w:hAnsi="Calibri"/>
              </w:rPr>
              <w:t>Tablets</w:t>
            </w:r>
          </w:p>
        </w:tc>
        <w:tc>
          <w:tcPr>
            <w:tcW w:w="3914" w:type="dxa"/>
            <w:shd w:val="clear" w:color="auto" w:fill="auto"/>
          </w:tcPr>
          <w:p w14:paraId="0FDD3AE4" w14:textId="77777777" w:rsidR="00D9226A" w:rsidRPr="00457256" w:rsidRDefault="0060219D" w:rsidP="006E675F">
            <w:pPr>
              <w:rPr>
                <w:rFonts w:ascii="Calibri" w:hAnsi="Calibri"/>
              </w:rPr>
            </w:pPr>
            <w:r w:rsidRPr="00457256">
              <w:rPr>
                <w:rFonts w:ascii="Calibri" w:hAnsi="Calibri"/>
              </w:rPr>
              <w:t>500mcg, 2mg</w:t>
            </w:r>
          </w:p>
        </w:tc>
      </w:tr>
      <w:tr w:rsidR="00D9226A" w:rsidRPr="00457256" w14:paraId="40215F93" w14:textId="77777777">
        <w:tc>
          <w:tcPr>
            <w:tcW w:w="1908" w:type="dxa"/>
            <w:shd w:val="clear" w:color="auto" w:fill="auto"/>
          </w:tcPr>
          <w:p w14:paraId="7F9D463C" w14:textId="77777777" w:rsidR="00D9226A" w:rsidRPr="00457256" w:rsidRDefault="00D9226A" w:rsidP="006E675F">
            <w:pPr>
              <w:rPr>
                <w:rFonts w:ascii="Calibri" w:hAnsi="Calibri"/>
              </w:rPr>
            </w:pPr>
            <w:r w:rsidRPr="00457256">
              <w:rPr>
                <w:rFonts w:ascii="Calibri" w:hAnsi="Calibri"/>
              </w:rPr>
              <w:t>Brands available</w:t>
            </w:r>
          </w:p>
        </w:tc>
        <w:tc>
          <w:tcPr>
            <w:tcW w:w="6614" w:type="dxa"/>
            <w:gridSpan w:val="2"/>
            <w:shd w:val="clear" w:color="auto" w:fill="auto"/>
          </w:tcPr>
          <w:p w14:paraId="4F9C742A" w14:textId="77777777" w:rsidR="00D9226A" w:rsidRPr="00457256" w:rsidRDefault="0060219D" w:rsidP="006E675F">
            <w:pPr>
              <w:rPr>
                <w:rFonts w:ascii="Calibri" w:hAnsi="Calibri"/>
              </w:rPr>
            </w:pPr>
            <w:r w:rsidRPr="00457256">
              <w:rPr>
                <w:rFonts w:ascii="Calibri" w:hAnsi="Calibri"/>
              </w:rPr>
              <w:t>Rivotril</w:t>
            </w:r>
          </w:p>
        </w:tc>
      </w:tr>
      <w:tr w:rsidR="00D9226A" w:rsidRPr="00457256" w14:paraId="04197DB5" w14:textId="77777777">
        <w:tc>
          <w:tcPr>
            <w:tcW w:w="8522" w:type="dxa"/>
            <w:gridSpan w:val="3"/>
            <w:shd w:val="clear" w:color="auto" w:fill="FF6600"/>
          </w:tcPr>
          <w:p w14:paraId="5B5C6EF4"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1CC5AA07" w14:textId="77777777">
        <w:tc>
          <w:tcPr>
            <w:tcW w:w="8522" w:type="dxa"/>
            <w:gridSpan w:val="3"/>
            <w:shd w:val="clear" w:color="auto" w:fill="auto"/>
          </w:tcPr>
          <w:p w14:paraId="60F82DEB" w14:textId="43C50AD2" w:rsidR="00E3066E" w:rsidRPr="000E09AF" w:rsidRDefault="00E3066E" w:rsidP="005565DC">
            <w:pPr>
              <w:ind w:left="360"/>
              <w:jc w:val="both"/>
              <w:rPr>
                <w:rFonts w:ascii="Calibri" w:hAnsi="Calibri"/>
              </w:rPr>
            </w:pPr>
            <w:r w:rsidRPr="000E09AF">
              <w:rPr>
                <w:rFonts w:ascii="Calibri" w:hAnsi="Calibri"/>
              </w:rPr>
              <w:t>These recommendations should not be used without consulting the ‘principles f</w:t>
            </w:r>
            <w:r w:rsidR="000E09AF" w:rsidRPr="000E09AF">
              <w:rPr>
                <w:rFonts w:ascii="Calibri" w:hAnsi="Calibri"/>
              </w:rPr>
              <w:t>or switching’ section on page</w:t>
            </w:r>
            <w:r w:rsidR="00036CF3">
              <w:rPr>
                <w:rFonts w:ascii="Calibri" w:hAnsi="Calibri"/>
              </w:rPr>
              <w:t xml:space="preserve"> </w:t>
            </w:r>
            <w:r w:rsidR="00281BB5">
              <w:rPr>
                <w:rFonts w:ascii="Calibri" w:hAnsi="Calibri"/>
              </w:rPr>
              <w:t>10</w:t>
            </w:r>
            <w:r w:rsidR="000E09AF" w:rsidRPr="000E09AF">
              <w:rPr>
                <w:rFonts w:ascii="Calibri" w:hAnsi="Calibri"/>
              </w:rPr>
              <w:t>.</w:t>
            </w:r>
          </w:p>
          <w:p w14:paraId="2C066DCF" w14:textId="77777777" w:rsidR="00D61D2A" w:rsidRPr="00602288" w:rsidRDefault="00824220" w:rsidP="005565DC">
            <w:pPr>
              <w:numPr>
                <w:ilvl w:val="0"/>
                <w:numId w:val="8"/>
              </w:numPr>
              <w:jc w:val="both"/>
              <w:rPr>
                <w:rFonts w:ascii="Calibri" w:hAnsi="Calibri"/>
              </w:rPr>
            </w:pPr>
            <w:r w:rsidRPr="000E09AF">
              <w:rPr>
                <w:rFonts w:ascii="Calibri" w:hAnsi="Calibri" w:cs="Courier New"/>
              </w:rPr>
              <w:t>There are</w:t>
            </w:r>
            <w:r w:rsidRPr="00824220">
              <w:rPr>
                <w:rFonts w:ascii="Calibri" w:hAnsi="Calibri" w:cs="Courier New"/>
              </w:rPr>
              <w:t xml:space="preserve"> no specific data to suggest that swit</w:t>
            </w:r>
            <w:r w:rsidR="00602288">
              <w:rPr>
                <w:rFonts w:ascii="Calibri" w:hAnsi="Calibri" w:cs="Courier New"/>
              </w:rPr>
              <w:t>ching causes</w:t>
            </w:r>
            <w:r w:rsidRPr="00824220">
              <w:rPr>
                <w:rFonts w:ascii="Calibri" w:hAnsi="Calibri" w:cs="Courier New"/>
              </w:rPr>
              <w:t xml:space="preserve"> problems in clinical practice.  In these circumstances it seems reasonable to allow switching for most patients</w:t>
            </w:r>
            <w:r w:rsidR="00602288">
              <w:rPr>
                <w:rFonts w:ascii="Calibri" w:hAnsi="Calibri" w:cs="Courier New"/>
              </w:rPr>
              <w:t>.</w:t>
            </w:r>
          </w:p>
          <w:p w14:paraId="0DAF6516" w14:textId="77777777" w:rsidR="00602288" w:rsidRPr="00D61D2A" w:rsidRDefault="00602288" w:rsidP="00602288">
            <w:pPr>
              <w:ind w:left="360"/>
              <w:rPr>
                <w:rFonts w:ascii="Calibri" w:hAnsi="Calibri"/>
              </w:rPr>
            </w:pPr>
          </w:p>
        </w:tc>
      </w:tr>
      <w:tr w:rsidR="00D9226A" w:rsidRPr="00457256" w14:paraId="5635207F" w14:textId="77777777">
        <w:tc>
          <w:tcPr>
            <w:tcW w:w="8522" w:type="dxa"/>
            <w:gridSpan w:val="3"/>
            <w:shd w:val="clear" w:color="auto" w:fill="FF6600"/>
          </w:tcPr>
          <w:p w14:paraId="66188863" w14:textId="77777777" w:rsidR="00D9226A" w:rsidRPr="00457256" w:rsidRDefault="00D9226A" w:rsidP="006E675F">
            <w:pPr>
              <w:rPr>
                <w:rFonts w:ascii="Calibri" w:hAnsi="Calibri"/>
              </w:rPr>
            </w:pPr>
            <w:r w:rsidRPr="00457256">
              <w:rPr>
                <w:rFonts w:ascii="Calibri" w:hAnsi="Calibri"/>
              </w:rPr>
              <w:t>Rationale</w:t>
            </w:r>
          </w:p>
        </w:tc>
      </w:tr>
      <w:tr w:rsidR="00D9226A" w:rsidRPr="00457256" w14:paraId="7AB46F2E" w14:textId="77777777">
        <w:tc>
          <w:tcPr>
            <w:tcW w:w="8522" w:type="dxa"/>
            <w:gridSpan w:val="3"/>
            <w:shd w:val="clear" w:color="auto" w:fill="auto"/>
          </w:tcPr>
          <w:p w14:paraId="4F2C7C81" w14:textId="023DCD55" w:rsidR="002C4B37" w:rsidRDefault="002C4B37" w:rsidP="006303B2">
            <w:pPr>
              <w:jc w:val="both"/>
              <w:rPr>
                <w:rFonts w:ascii="Calibri" w:hAnsi="Calibri"/>
              </w:rPr>
            </w:pPr>
          </w:p>
          <w:p w14:paraId="11DF88DD" w14:textId="209401AA" w:rsidR="00004BB7" w:rsidRDefault="00004BB7" w:rsidP="006303B2">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w:t>
            </w:r>
            <w:r w:rsidR="000B7EE5">
              <w:rPr>
                <w:rFonts w:ascii="Calibri" w:hAnsi="Calibri"/>
              </w:rPr>
              <w:t>patient</w:t>
            </w:r>
            <w:r>
              <w:rPr>
                <w:rFonts w:ascii="Calibri" w:hAnsi="Calibri"/>
              </w:rPr>
              <w:t xml:space="preserve"> and/or carer, taking into account factors such as seizure frequency and treatment history.  Take into account patient/carer-related factors such as their negative perceptions about alternative products and/or other issues related to the patient. </w:t>
            </w:r>
          </w:p>
          <w:p w14:paraId="767DF9EF" w14:textId="77777777" w:rsidR="00004BB7" w:rsidRDefault="00004BB7" w:rsidP="003A3A37">
            <w:pPr>
              <w:rPr>
                <w:rFonts w:ascii="Calibri" w:hAnsi="Calibri"/>
              </w:rPr>
            </w:pPr>
          </w:p>
          <w:p w14:paraId="78B14EEE" w14:textId="77777777" w:rsidR="003A3A37" w:rsidRPr="005565DC" w:rsidRDefault="003A3A37" w:rsidP="005565DC">
            <w:pPr>
              <w:jc w:val="both"/>
              <w:rPr>
                <w:rFonts w:ascii="Calibri" w:hAnsi="Calibri"/>
              </w:rPr>
            </w:pPr>
            <w:r w:rsidRPr="00256F61">
              <w:rPr>
                <w:rFonts w:ascii="Calibri" w:hAnsi="Calibri"/>
                <w:b/>
              </w:rPr>
              <w:t>Half life</w:t>
            </w:r>
            <w:r w:rsidR="003F7119" w:rsidRPr="00256F61">
              <w:rPr>
                <w:rFonts w:ascii="Calibri" w:hAnsi="Calibri"/>
                <w:b/>
              </w:rPr>
              <w:t>:</w:t>
            </w:r>
            <w:r w:rsidR="00EF76D9" w:rsidRPr="005565DC">
              <w:rPr>
                <w:rFonts w:ascii="Calibri" w:hAnsi="Calibri"/>
              </w:rPr>
              <w:t xml:space="preserve"> Clonazepam </w:t>
            </w:r>
            <w:r w:rsidR="00EF76D9" w:rsidRPr="005565DC">
              <w:rPr>
                <w:rFonts w:ascii="Calibri" w:hAnsi="Calibri" w:cs="Arial"/>
                <w:color w:val="000000"/>
              </w:rPr>
              <w:t>30 to 40 hours.  (Micromedex 2012)</w:t>
            </w:r>
          </w:p>
          <w:p w14:paraId="452DFA25" w14:textId="77777777" w:rsidR="00C02A0F" w:rsidRPr="005565DC" w:rsidRDefault="00C02A0F" w:rsidP="005565DC">
            <w:pPr>
              <w:jc w:val="both"/>
              <w:rPr>
                <w:rFonts w:ascii="Calibri" w:hAnsi="Calibri" w:cs="Arial"/>
              </w:rPr>
            </w:pPr>
            <w:r w:rsidRPr="00256F61">
              <w:rPr>
                <w:rFonts w:ascii="Calibri" w:hAnsi="Calibri"/>
                <w:b/>
              </w:rPr>
              <w:t>Biopharmaceutics Classification System</w:t>
            </w:r>
            <w:r w:rsidRPr="005565DC">
              <w:rPr>
                <w:rFonts w:ascii="Calibri" w:hAnsi="Calibri" w:cs="Arial"/>
              </w:rPr>
              <w:t>: II</w:t>
            </w:r>
            <w:r w:rsidRPr="005565DC">
              <w:rPr>
                <w:rFonts w:ascii="Calibri" w:hAnsi="Calibri" w:cs="AdvP7B6C"/>
                <w:color w:val="000000"/>
              </w:rPr>
              <w:t>:  (low solubility/high permeability)</w:t>
            </w:r>
          </w:p>
          <w:p w14:paraId="0FE236AF" w14:textId="77777777" w:rsidR="00C02A0F" w:rsidRPr="005565DC" w:rsidRDefault="00C02A0F" w:rsidP="005565DC">
            <w:pPr>
              <w:autoSpaceDE w:val="0"/>
              <w:autoSpaceDN w:val="0"/>
              <w:adjustRightInd w:val="0"/>
              <w:jc w:val="both"/>
              <w:rPr>
                <w:rFonts w:ascii="Calibri" w:hAnsi="Calibri" w:cs="AdvPS9779"/>
              </w:rPr>
            </w:pPr>
            <w:r w:rsidRPr="005565DC">
              <w:rPr>
                <w:rFonts w:ascii="Calibri" w:hAnsi="Calibri" w:cs="AdvP7B72"/>
              </w:rPr>
              <w:t>(Anderson</w:t>
            </w:r>
            <w:r w:rsidRPr="005565DC">
              <w:rPr>
                <w:rFonts w:ascii="Calibri" w:hAnsi="Calibri"/>
              </w:rPr>
              <w:t xml:space="preserve"> 2008) </w:t>
            </w:r>
          </w:p>
          <w:p w14:paraId="745897DC" w14:textId="77777777" w:rsidR="003A3A37" w:rsidRPr="005565DC" w:rsidRDefault="003A3A37" w:rsidP="005565DC">
            <w:pPr>
              <w:jc w:val="both"/>
              <w:rPr>
                <w:rFonts w:ascii="Calibri" w:hAnsi="Calibri"/>
              </w:rPr>
            </w:pPr>
          </w:p>
          <w:p w14:paraId="05C6CD49" w14:textId="77777777" w:rsidR="003A3A37" w:rsidRPr="005565DC" w:rsidRDefault="003A3A37" w:rsidP="005565DC">
            <w:pPr>
              <w:jc w:val="both"/>
              <w:rPr>
                <w:rFonts w:ascii="Calibri" w:hAnsi="Calibri"/>
              </w:rPr>
            </w:pPr>
            <w:r w:rsidRPr="005565DC">
              <w:rPr>
                <w:rFonts w:ascii="Calibri" w:hAnsi="Calibri"/>
              </w:rPr>
              <w:t>A literature search retrieved 2 relevant studies, both of which were data analyses of healthcare claims in the US.</w:t>
            </w:r>
          </w:p>
          <w:p w14:paraId="36BE0E76" w14:textId="77777777" w:rsidR="003A3A37" w:rsidRPr="005565DC" w:rsidRDefault="003A3A37" w:rsidP="005565DC">
            <w:pPr>
              <w:jc w:val="both"/>
              <w:rPr>
                <w:rFonts w:ascii="Calibri" w:hAnsi="Calibri"/>
              </w:rPr>
            </w:pPr>
          </w:p>
          <w:p w14:paraId="343D8D66" w14:textId="77777777" w:rsidR="003A3A37" w:rsidRPr="005565DC" w:rsidRDefault="003A3A37" w:rsidP="005565DC">
            <w:pPr>
              <w:jc w:val="both"/>
              <w:rPr>
                <w:rFonts w:ascii="Calibri" w:hAnsi="Calibri"/>
                <w:color w:val="000000"/>
              </w:rPr>
            </w:pPr>
            <w:r w:rsidRPr="005565DC">
              <w:rPr>
                <w:rFonts w:ascii="Calibri" w:hAnsi="Calibri"/>
                <w:color w:val="000000"/>
              </w:rPr>
              <w:t>A US retrospective case-control analysis identified claims from the Ingenix LabRx Database between 7/1/2006 and 12/31/2006. This time period was shortly after the introduction of generic zonisamide to the market in the US.  Epileptic patients who had received</w:t>
            </w:r>
            <w:r w:rsidR="00602288" w:rsidRPr="005565DC">
              <w:rPr>
                <w:rFonts w:ascii="Calibri" w:hAnsi="Calibri"/>
                <w:color w:val="000000"/>
              </w:rPr>
              <w:t xml:space="preserve"> emergency care for epilepsy-</w:t>
            </w:r>
            <w:r w:rsidRPr="005565DC">
              <w:rPr>
                <w:rFonts w:ascii="Calibri" w:hAnsi="Calibri"/>
                <w:color w:val="000000"/>
              </w:rPr>
              <w:t xml:space="preserve">related events (cases) were more likely to have been switched between brand and generic AEDs (47/416, 11.3%), than epileptic patients seen in outpatients (controls) during the same period (81/1248, 6.5%).  </w:t>
            </w:r>
          </w:p>
          <w:p w14:paraId="3866554D" w14:textId="77777777" w:rsidR="003A3A37" w:rsidRPr="005565DC" w:rsidRDefault="003A3A37" w:rsidP="005565DC">
            <w:pPr>
              <w:autoSpaceDE w:val="0"/>
              <w:autoSpaceDN w:val="0"/>
              <w:adjustRightInd w:val="0"/>
              <w:jc w:val="both"/>
              <w:rPr>
                <w:rFonts w:ascii="Calibri" w:hAnsi="Calibri"/>
              </w:rPr>
            </w:pPr>
            <w:r w:rsidRPr="005565DC">
              <w:rPr>
                <w:rFonts w:ascii="Calibri" w:hAnsi="Calibri"/>
              </w:rPr>
              <w:t xml:space="preserve">Clonazepam accounted for 12/47 cases </w:t>
            </w:r>
            <w:r w:rsidR="00602288" w:rsidRPr="005565DC">
              <w:rPr>
                <w:rFonts w:ascii="Calibri" w:hAnsi="Calibri"/>
              </w:rPr>
              <w:t xml:space="preserve">and </w:t>
            </w:r>
            <w:r w:rsidRPr="005565DC">
              <w:rPr>
                <w:rFonts w:ascii="Calibri" w:hAnsi="Calibri"/>
              </w:rPr>
              <w:t>15/81 controls who had switched. The majority of patients experiencing switches (70 of 128, 54.7%) across all AED matched cases and controls occurred within 2 months of the index date.  Cases (n = 416) had 81</w:t>
            </w:r>
            <w:r w:rsidR="00602288" w:rsidRPr="005565DC">
              <w:rPr>
                <w:rFonts w:ascii="Calibri" w:hAnsi="Calibri"/>
              </w:rPr>
              <w:t xml:space="preserve">% greater odds of having had an </w:t>
            </w:r>
            <w:r w:rsidRPr="005565DC">
              <w:rPr>
                <w:rFonts w:ascii="Calibri" w:hAnsi="Calibri"/>
              </w:rPr>
              <w:t xml:space="preserve">AED formulation switch [odds ratio (OR) = 1.81; 95% confidence interval (CI) = 1.25 to 2.63] relative to controls (n = 1248). There were no significant differences between groups regarding demographics or diagnosis.  </w:t>
            </w:r>
            <w:r w:rsidR="003F7119" w:rsidRPr="005565DC">
              <w:rPr>
                <w:rFonts w:ascii="Calibri" w:hAnsi="Calibri"/>
              </w:rPr>
              <w:t>(</w:t>
            </w:r>
            <w:r w:rsidRPr="005565DC">
              <w:rPr>
                <w:rFonts w:ascii="Calibri" w:hAnsi="Calibri"/>
              </w:rPr>
              <w:t xml:space="preserve">Zachry </w:t>
            </w:r>
            <w:r w:rsidR="003F7119" w:rsidRPr="005565DC">
              <w:rPr>
                <w:rFonts w:ascii="Calibri" w:hAnsi="Calibri"/>
              </w:rPr>
              <w:t>2009</w:t>
            </w:r>
            <w:r w:rsidRPr="005565DC">
              <w:rPr>
                <w:rFonts w:ascii="Calibri" w:hAnsi="Calibri"/>
              </w:rPr>
              <w:t xml:space="preserve">) </w:t>
            </w:r>
          </w:p>
          <w:p w14:paraId="48E33D3E" w14:textId="77777777" w:rsidR="003A3A37" w:rsidRPr="005565DC" w:rsidRDefault="003A3A37" w:rsidP="005565DC">
            <w:pPr>
              <w:jc w:val="both"/>
              <w:rPr>
                <w:rFonts w:ascii="Calibri" w:hAnsi="Calibri"/>
              </w:rPr>
            </w:pPr>
          </w:p>
          <w:p w14:paraId="50B15E4C" w14:textId="77777777" w:rsidR="003A3A37" w:rsidRPr="005565DC" w:rsidRDefault="003A3A37" w:rsidP="005565DC">
            <w:pPr>
              <w:autoSpaceDE w:val="0"/>
              <w:autoSpaceDN w:val="0"/>
              <w:adjustRightInd w:val="0"/>
              <w:jc w:val="both"/>
              <w:rPr>
                <w:rFonts w:ascii="Calibri" w:hAnsi="Calibri"/>
              </w:rPr>
            </w:pPr>
            <w:r w:rsidRPr="005565DC">
              <w:rPr>
                <w:rFonts w:ascii="Calibri" w:hAnsi="Calibri"/>
              </w:rPr>
              <w:t>In another study in 2006 claims from a US pharmacy claims database (Thomson Healthcare MarketScan) were analysed.  This was a time period shortly after the introduction of generic zonisamide.  It was found that patients who had recei</w:t>
            </w:r>
            <w:r w:rsidR="000F502D" w:rsidRPr="005565DC">
              <w:rPr>
                <w:rFonts w:ascii="Calibri" w:hAnsi="Calibri"/>
              </w:rPr>
              <w:t>ved emergency care for epilepsy-</w:t>
            </w:r>
            <w:r w:rsidRPr="005565DC">
              <w:rPr>
                <w:rFonts w:ascii="Calibri" w:hAnsi="Calibri"/>
              </w:rPr>
              <w:t xml:space="preserve">related events (cases) were more likely to have been switched between brand and generic AED (84/757, 11.1%) compared to epileptic patients who were seen in outpatients (controls) during the same period (147/2271, 6.5%).  The odds of emergency treated epilepsy-related event was 1.78 </w:t>
            </w:r>
            <w:r w:rsidRPr="005565DC">
              <w:rPr>
                <w:rFonts w:ascii="Calibri" w:hAnsi="Calibri"/>
              </w:rPr>
              <w:br/>
              <w:t xml:space="preserve">(95% CI 1.35 – 2.36) for those who experienced a switch.  The majority of switches in </w:t>
            </w:r>
            <w:r w:rsidRPr="005565DC">
              <w:rPr>
                <w:rFonts w:ascii="Calibri" w:hAnsi="Calibri"/>
              </w:rPr>
              <w:lastRenderedPageBreak/>
              <w:t>both cases and controls involved 1 of 4 AEDs, including clonazepam. The highest number of switches among cases occurred with zonisamide (n = 23), clonazepam (n = 21), and phenytoin (n = 19), whereas most switches among controls involved phenytoin (n = 41), zonisamide (n = 40), and carbamazepine (n = 19).  There was no breakdown of the number of patients on clonazepam the control group and case group to determine or compare incidence.</w:t>
            </w:r>
            <w:r w:rsidR="003F7119" w:rsidRPr="005565DC">
              <w:rPr>
                <w:rFonts w:ascii="Calibri" w:hAnsi="Calibri"/>
              </w:rPr>
              <w:t xml:space="preserve"> (</w:t>
            </w:r>
            <w:r w:rsidRPr="005565DC">
              <w:rPr>
                <w:rFonts w:ascii="Calibri" w:hAnsi="Calibri"/>
              </w:rPr>
              <w:t>Hansen 2009</w:t>
            </w:r>
            <w:r w:rsidR="003F7119" w:rsidRPr="005565DC">
              <w:rPr>
                <w:rFonts w:ascii="Calibri" w:hAnsi="Calibri"/>
              </w:rPr>
              <w:t>)</w:t>
            </w:r>
          </w:p>
          <w:p w14:paraId="3F7B5D3B" w14:textId="77777777" w:rsidR="00D9226A" w:rsidRPr="00457256" w:rsidRDefault="00D9226A" w:rsidP="006E675F">
            <w:pPr>
              <w:rPr>
                <w:rFonts w:ascii="Calibri" w:hAnsi="Calibri"/>
              </w:rPr>
            </w:pPr>
          </w:p>
        </w:tc>
      </w:tr>
    </w:tbl>
    <w:p w14:paraId="771A343D" w14:textId="77777777" w:rsidR="00D9226A" w:rsidRDefault="00D9226A">
      <w:pPr>
        <w:rPr>
          <w:rFonts w:ascii="Calibri" w:hAnsi="Calibri"/>
        </w:rPr>
      </w:pPr>
    </w:p>
    <w:p w14:paraId="4353042B" w14:textId="77777777" w:rsidR="003F53C8" w:rsidRDefault="003F53C8">
      <w:pPr>
        <w:rPr>
          <w:rFonts w:ascii="Calibri" w:hAnsi="Calibri"/>
        </w:rPr>
      </w:pPr>
    </w:p>
    <w:p w14:paraId="62D3B0C6" w14:textId="77777777" w:rsidR="003F53C8" w:rsidRDefault="003F53C8">
      <w:pPr>
        <w:rPr>
          <w:rFonts w:ascii="Calibri" w:hAnsi="Calibri"/>
        </w:rPr>
      </w:pPr>
    </w:p>
    <w:p w14:paraId="6E317CE2" w14:textId="77777777" w:rsidR="003F53C8" w:rsidRDefault="003F53C8">
      <w:pPr>
        <w:rPr>
          <w:rFonts w:ascii="Calibri" w:hAnsi="Calibri"/>
        </w:rPr>
      </w:pPr>
    </w:p>
    <w:p w14:paraId="7B90EBF3" w14:textId="77777777" w:rsidR="003F53C8" w:rsidRDefault="003F53C8">
      <w:pPr>
        <w:rPr>
          <w:rFonts w:ascii="Calibri" w:hAnsi="Calibri"/>
        </w:rPr>
      </w:pPr>
    </w:p>
    <w:p w14:paraId="01B8C13E" w14:textId="77777777" w:rsidR="003F53C8" w:rsidRPr="0018137D" w:rsidRDefault="003F53C8">
      <w:pPr>
        <w:rPr>
          <w:rFonts w:ascii="Calibri" w:hAnsi="Calibri"/>
        </w:rPr>
      </w:pPr>
    </w:p>
    <w:p w14:paraId="27DA13A8" w14:textId="77777777" w:rsidR="00764490" w:rsidRPr="0018137D" w:rsidRDefault="000E09AF" w:rsidP="00764490">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764490" w:rsidRPr="00457256" w14:paraId="140E4D98" w14:textId="77777777">
        <w:tc>
          <w:tcPr>
            <w:tcW w:w="8522" w:type="dxa"/>
            <w:gridSpan w:val="3"/>
            <w:tcBorders>
              <w:top w:val="nil"/>
              <w:left w:val="nil"/>
              <w:bottom w:val="nil"/>
              <w:right w:val="nil"/>
            </w:tcBorders>
            <w:shd w:val="clear" w:color="auto" w:fill="FF6600"/>
          </w:tcPr>
          <w:p w14:paraId="7430ED58" w14:textId="77777777" w:rsidR="00764490" w:rsidRPr="00457256" w:rsidRDefault="00764490" w:rsidP="00764490">
            <w:pPr>
              <w:pStyle w:val="Heading3"/>
              <w:rPr>
                <w:rFonts w:ascii="Calibri" w:hAnsi="Calibri"/>
              </w:rPr>
            </w:pPr>
            <w:bookmarkStart w:id="5" w:name="_Eslicarbazepine"/>
            <w:bookmarkEnd w:id="5"/>
            <w:r w:rsidRPr="00457256">
              <w:rPr>
                <w:rFonts w:ascii="Calibri" w:hAnsi="Calibri"/>
              </w:rPr>
              <w:lastRenderedPageBreak/>
              <w:t>Eslicarbazepine</w:t>
            </w:r>
          </w:p>
        </w:tc>
      </w:tr>
      <w:tr w:rsidR="00764490" w:rsidRPr="00457256" w14:paraId="7F25A3B5" w14:textId="77777777">
        <w:tc>
          <w:tcPr>
            <w:tcW w:w="8522" w:type="dxa"/>
            <w:gridSpan w:val="3"/>
            <w:tcBorders>
              <w:top w:val="nil"/>
            </w:tcBorders>
            <w:shd w:val="clear" w:color="auto" w:fill="000000"/>
          </w:tcPr>
          <w:p w14:paraId="03C3872E" w14:textId="77777777" w:rsidR="00764490" w:rsidRPr="00457256" w:rsidRDefault="00764490" w:rsidP="00764490">
            <w:pPr>
              <w:rPr>
                <w:rFonts w:ascii="Calibri" w:hAnsi="Calibri"/>
              </w:rPr>
            </w:pPr>
          </w:p>
        </w:tc>
      </w:tr>
      <w:tr w:rsidR="00764490" w:rsidRPr="00457256" w14:paraId="2D63265C" w14:textId="77777777">
        <w:tc>
          <w:tcPr>
            <w:tcW w:w="1908" w:type="dxa"/>
            <w:shd w:val="clear" w:color="auto" w:fill="auto"/>
            <w:vAlign w:val="center"/>
          </w:tcPr>
          <w:p w14:paraId="62065934" w14:textId="77777777" w:rsidR="00764490" w:rsidRPr="00457256" w:rsidRDefault="00764490" w:rsidP="00764490">
            <w:pPr>
              <w:rPr>
                <w:rFonts w:ascii="Calibri" w:hAnsi="Calibri"/>
              </w:rPr>
            </w:pPr>
            <w:r w:rsidRPr="00457256">
              <w:rPr>
                <w:rFonts w:ascii="Calibri" w:hAnsi="Calibri"/>
              </w:rPr>
              <w:t>Forms available</w:t>
            </w:r>
          </w:p>
        </w:tc>
        <w:tc>
          <w:tcPr>
            <w:tcW w:w="2700" w:type="dxa"/>
            <w:shd w:val="clear" w:color="auto" w:fill="auto"/>
          </w:tcPr>
          <w:p w14:paraId="289902DF" w14:textId="77777777" w:rsidR="00764490" w:rsidRPr="00457256" w:rsidRDefault="00764490" w:rsidP="00764490">
            <w:pPr>
              <w:rPr>
                <w:rFonts w:ascii="Calibri" w:hAnsi="Calibri"/>
              </w:rPr>
            </w:pPr>
            <w:r w:rsidRPr="00457256">
              <w:rPr>
                <w:rFonts w:ascii="Calibri" w:hAnsi="Calibri"/>
              </w:rPr>
              <w:t>Tablets</w:t>
            </w:r>
          </w:p>
        </w:tc>
        <w:tc>
          <w:tcPr>
            <w:tcW w:w="3914" w:type="dxa"/>
            <w:shd w:val="clear" w:color="auto" w:fill="auto"/>
          </w:tcPr>
          <w:p w14:paraId="110FFCD5" w14:textId="77777777" w:rsidR="00764490" w:rsidRPr="00457256" w:rsidRDefault="00764490" w:rsidP="00764490">
            <w:pPr>
              <w:rPr>
                <w:rFonts w:ascii="Calibri" w:hAnsi="Calibri"/>
              </w:rPr>
            </w:pPr>
            <w:r w:rsidRPr="00457256">
              <w:rPr>
                <w:rFonts w:ascii="Calibri" w:hAnsi="Calibri"/>
              </w:rPr>
              <w:t>800mg</w:t>
            </w:r>
          </w:p>
        </w:tc>
      </w:tr>
      <w:tr w:rsidR="00764490" w:rsidRPr="00457256" w14:paraId="03365DB7" w14:textId="77777777">
        <w:tc>
          <w:tcPr>
            <w:tcW w:w="1908" w:type="dxa"/>
            <w:shd w:val="clear" w:color="auto" w:fill="auto"/>
          </w:tcPr>
          <w:p w14:paraId="4FC36CFD" w14:textId="77777777" w:rsidR="00764490" w:rsidRPr="00457256" w:rsidRDefault="00764490" w:rsidP="00764490">
            <w:pPr>
              <w:rPr>
                <w:rFonts w:ascii="Calibri" w:hAnsi="Calibri"/>
              </w:rPr>
            </w:pPr>
            <w:r w:rsidRPr="00457256">
              <w:rPr>
                <w:rFonts w:ascii="Calibri" w:hAnsi="Calibri"/>
              </w:rPr>
              <w:t>Brands available</w:t>
            </w:r>
          </w:p>
        </w:tc>
        <w:tc>
          <w:tcPr>
            <w:tcW w:w="6614" w:type="dxa"/>
            <w:gridSpan w:val="2"/>
            <w:shd w:val="clear" w:color="auto" w:fill="auto"/>
          </w:tcPr>
          <w:p w14:paraId="17391063" w14:textId="77777777" w:rsidR="00764490" w:rsidRPr="00457256" w:rsidRDefault="00764490" w:rsidP="00764490">
            <w:pPr>
              <w:rPr>
                <w:rFonts w:ascii="Calibri" w:hAnsi="Calibri"/>
              </w:rPr>
            </w:pPr>
            <w:r w:rsidRPr="00457256">
              <w:rPr>
                <w:rFonts w:ascii="Calibri" w:hAnsi="Calibri"/>
              </w:rPr>
              <w:t>Zebinix</w:t>
            </w:r>
          </w:p>
        </w:tc>
      </w:tr>
      <w:tr w:rsidR="00764490" w:rsidRPr="00457256" w14:paraId="7985C75D" w14:textId="77777777">
        <w:tc>
          <w:tcPr>
            <w:tcW w:w="8522" w:type="dxa"/>
            <w:gridSpan w:val="3"/>
            <w:shd w:val="clear" w:color="auto" w:fill="FF6600"/>
          </w:tcPr>
          <w:p w14:paraId="57B5EE5A" w14:textId="77777777" w:rsidR="00764490" w:rsidRPr="00457256" w:rsidRDefault="00764490" w:rsidP="00764490">
            <w:pPr>
              <w:rPr>
                <w:rFonts w:ascii="Calibri" w:hAnsi="Calibri"/>
              </w:rPr>
            </w:pPr>
            <w:r w:rsidRPr="00457256">
              <w:rPr>
                <w:rFonts w:ascii="Calibri" w:hAnsi="Calibri"/>
              </w:rPr>
              <w:t>Recommendation</w:t>
            </w:r>
          </w:p>
        </w:tc>
      </w:tr>
      <w:tr w:rsidR="00764490" w:rsidRPr="00457256" w14:paraId="04A58B57" w14:textId="77777777">
        <w:tc>
          <w:tcPr>
            <w:tcW w:w="8522" w:type="dxa"/>
            <w:gridSpan w:val="3"/>
            <w:shd w:val="clear" w:color="auto" w:fill="auto"/>
          </w:tcPr>
          <w:p w14:paraId="1C3E355F" w14:textId="4CDCECD6" w:rsidR="00E3066E" w:rsidRPr="000E09AF" w:rsidRDefault="00E3066E" w:rsidP="00236351">
            <w:pPr>
              <w:ind w:left="360"/>
              <w:jc w:val="both"/>
              <w:rPr>
                <w:rFonts w:ascii="Calibri" w:hAnsi="Calibri"/>
              </w:rPr>
            </w:pPr>
            <w:r w:rsidRPr="000E09AF">
              <w:rPr>
                <w:rFonts w:ascii="Calibri" w:hAnsi="Calibri"/>
              </w:rPr>
              <w:t>These recommendations should not be used without consulting the ‘principles f</w:t>
            </w:r>
            <w:r w:rsidR="000E09AF" w:rsidRPr="000E09AF">
              <w:rPr>
                <w:rFonts w:ascii="Calibri" w:hAnsi="Calibri"/>
              </w:rPr>
              <w:t>or switching’ section on page</w:t>
            </w:r>
            <w:r w:rsidR="00036CF3">
              <w:rPr>
                <w:rFonts w:ascii="Calibri" w:hAnsi="Calibri"/>
              </w:rPr>
              <w:t xml:space="preserve"> </w:t>
            </w:r>
            <w:r w:rsidR="00281BB5">
              <w:rPr>
                <w:rFonts w:ascii="Calibri" w:hAnsi="Calibri"/>
              </w:rPr>
              <w:t>10</w:t>
            </w:r>
            <w:r w:rsidR="00036CF3">
              <w:rPr>
                <w:rFonts w:ascii="Calibri" w:hAnsi="Calibri"/>
              </w:rPr>
              <w:t>.</w:t>
            </w:r>
            <w:r w:rsidR="000E09AF" w:rsidRPr="000E09AF">
              <w:rPr>
                <w:rFonts w:ascii="Calibri" w:hAnsi="Calibri"/>
              </w:rPr>
              <w:t xml:space="preserve"> </w:t>
            </w:r>
          </w:p>
          <w:p w14:paraId="19923749" w14:textId="77777777" w:rsidR="00C02A0F" w:rsidRPr="00B768EF" w:rsidRDefault="00824220" w:rsidP="00236351">
            <w:pPr>
              <w:numPr>
                <w:ilvl w:val="0"/>
                <w:numId w:val="8"/>
              </w:numPr>
              <w:jc w:val="both"/>
              <w:rPr>
                <w:rFonts w:ascii="Calibri" w:hAnsi="Calibri"/>
              </w:rPr>
            </w:pPr>
            <w:r w:rsidRPr="00B768EF">
              <w:rPr>
                <w:rFonts w:ascii="Calibri" w:hAnsi="Calibri" w:cs="Courier New"/>
              </w:rPr>
              <w:t xml:space="preserve">There are no </w:t>
            </w:r>
            <w:r w:rsidR="00B768EF" w:rsidRPr="00B768EF">
              <w:rPr>
                <w:rFonts w:ascii="Calibri" w:hAnsi="Calibri" w:cs="Courier New"/>
              </w:rPr>
              <w:t xml:space="preserve">generics available for eslicarbazepine.  </w:t>
            </w:r>
            <w:r w:rsidR="00C02A0F" w:rsidRPr="00B768EF">
              <w:rPr>
                <w:rFonts w:ascii="Calibri" w:hAnsi="Calibri" w:cs="Courier New"/>
              </w:rPr>
              <w:t xml:space="preserve">Patent expiry: </w:t>
            </w:r>
            <w:r w:rsidR="0009063B">
              <w:rPr>
                <w:rFonts w:ascii="Calibri" w:hAnsi="Calibri" w:cs="Courier New"/>
              </w:rPr>
              <w:t>2021</w:t>
            </w:r>
            <w:r w:rsidR="00C02A0F" w:rsidRPr="00B768EF">
              <w:rPr>
                <w:rFonts w:ascii="Calibri" w:hAnsi="Calibri" w:cs="Courier New"/>
              </w:rPr>
              <w:t>.</w:t>
            </w:r>
          </w:p>
          <w:p w14:paraId="195FA0B9" w14:textId="77777777" w:rsidR="000F502D" w:rsidRPr="00D61D2A" w:rsidRDefault="000F502D" w:rsidP="00B768EF">
            <w:pPr>
              <w:ind w:left="360"/>
              <w:jc w:val="both"/>
              <w:rPr>
                <w:rFonts w:ascii="Calibri" w:hAnsi="Calibri"/>
              </w:rPr>
            </w:pPr>
          </w:p>
        </w:tc>
      </w:tr>
      <w:tr w:rsidR="00764490" w:rsidRPr="00457256" w14:paraId="554AC33E" w14:textId="77777777">
        <w:tc>
          <w:tcPr>
            <w:tcW w:w="8522" w:type="dxa"/>
            <w:gridSpan w:val="3"/>
            <w:shd w:val="clear" w:color="auto" w:fill="FF6600"/>
          </w:tcPr>
          <w:p w14:paraId="5DDF2993" w14:textId="77777777" w:rsidR="00764490" w:rsidRPr="00457256" w:rsidRDefault="00764490" w:rsidP="00764490">
            <w:pPr>
              <w:rPr>
                <w:rFonts w:ascii="Calibri" w:hAnsi="Calibri"/>
              </w:rPr>
            </w:pPr>
            <w:r w:rsidRPr="00457256">
              <w:rPr>
                <w:rFonts w:ascii="Calibri" w:hAnsi="Calibri"/>
              </w:rPr>
              <w:t>Rationale</w:t>
            </w:r>
          </w:p>
        </w:tc>
      </w:tr>
      <w:tr w:rsidR="00764490" w:rsidRPr="00457256" w14:paraId="2027FDEF" w14:textId="77777777">
        <w:tc>
          <w:tcPr>
            <w:tcW w:w="8522" w:type="dxa"/>
            <w:gridSpan w:val="3"/>
            <w:shd w:val="clear" w:color="auto" w:fill="auto"/>
          </w:tcPr>
          <w:p w14:paraId="30310F5F" w14:textId="6A52BFEC" w:rsidR="00A70E9D" w:rsidRDefault="00A70E9D" w:rsidP="00764490">
            <w:pPr>
              <w:rPr>
                <w:rFonts w:ascii="Calibri" w:hAnsi="Calibri"/>
              </w:rPr>
            </w:pPr>
          </w:p>
          <w:p w14:paraId="293D7EA1" w14:textId="65DBBF64" w:rsidR="007A721F" w:rsidRDefault="007A721F" w:rsidP="006303B2">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pa</w:t>
            </w:r>
            <w:r w:rsidR="000B7EE5">
              <w:rPr>
                <w:rFonts w:ascii="Calibri" w:hAnsi="Calibri"/>
              </w:rPr>
              <w:t>t</w:t>
            </w:r>
            <w:r w:rsidR="008E16FC">
              <w:rPr>
                <w:rFonts w:ascii="Calibri" w:hAnsi="Calibri"/>
              </w:rPr>
              <w:t>i</w:t>
            </w:r>
            <w:r>
              <w:rPr>
                <w:rFonts w:ascii="Calibri" w:hAnsi="Calibri"/>
              </w:rPr>
              <w:t xml:space="preserve">ent and/or carer, taking into account factors such as seizure frequency and treatment history.  Take into account patient/carer-related factors such as their negative perceptions about alternative products and/or other issues related to the patient. </w:t>
            </w:r>
          </w:p>
          <w:p w14:paraId="4E658F76" w14:textId="77777777" w:rsidR="007A721F" w:rsidRDefault="007A721F" w:rsidP="00764490">
            <w:pPr>
              <w:rPr>
                <w:rFonts w:ascii="Calibri" w:hAnsi="Calibri"/>
              </w:rPr>
            </w:pPr>
          </w:p>
          <w:p w14:paraId="65276DED" w14:textId="77777777" w:rsidR="00A70E9D" w:rsidRDefault="00A70E9D" w:rsidP="00236351">
            <w:pPr>
              <w:jc w:val="both"/>
              <w:rPr>
                <w:rFonts w:ascii="Calibri" w:hAnsi="Calibri" w:cs="Arial"/>
                <w:b/>
              </w:rPr>
            </w:pPr>
            <w:r w:rsidRPr="003C60FB">
              <w:rPr>
                <w:rFonts w:ascii="Calibri" w:hAnsi="Calibri"/>
                <w:b/>
              </w:rPr>
              <w:t>Half life</w:t>
            </w:r>
            <w:r w:rsidR="003F7119" w:rsidRPr="003C60FB">
              <w:rPr>
                <w:rFonts w:ascii="Calibri" w:hAnsi="Calibri"/>
              </w:rPr>
              <w:t>:</w:t>
            </w:r>
            <w:r w:rsidR="003C60FB" w:rsidRPr="003C60FB">
              <w:rPr>
                <w:rFonts w:ascii="Calibri" w:hAnsi="Calibri"/>
              </w:rPr>
              <w:t xml:space="preserve"> Eslicarbazepine:</w:t>
            </w:r>
            <w:r w:rsidR="003C60FB">
              <w:rPr>
                <w:rFonts w:ascii="Calibri" w:hAnsi="Calibri" w:cs="Arial"/>
              </w:rPr>
              <w:t xml:space="preserve"> 20 to </w:t>
            </w:r>
            <w:r w:rsidR="003C60FB" w:rsidRPr="003C60FB">
              <w:rPr>
                <w:rFonts w:ascii="Calibri" w:hAnsi="Calibri" w:cs="Arial"/>
              </w:rPr>
              <w:t>24 hours; healthy subjects</w:t>
            </w:r>
            <w:r w:rsidR="003C60FB">
              <w:rPr>
                <w:rFonts w:ascii="Calibri" w:hAnsi="Calibri" w:cs="Arial"/>
              </w:rPr>
              <w:t xml:space="preserve">: 10 to </w:t>
            </w:r>
            <w:r w:rsidR="003C60FB" w:rsidRPr="003C60FB">
              <w:rPr>
                <w:rFonts w:ascii="Calibri" w:hAnsi="Calibri" w:cs="Arial"/>
              </w:rPr>
              <w:t>20 hours; epilepsy</w:t>
            </w:r>
            <w:r w:rsidR="003C60FB">
              <w:rPr>
                <w:rFonts w:ascii="Calibri" w:hAnsi="Calibri" w:cs="Arial"/>
              </w:rPr>
              <w:t xml:space="preserve">: 13 to </w:t>
            </w:r>
            <w:r w:rsidR="003C60FB" w:rsidRPr="003C60FB">
              <w:rPr>
                <w:rFonts w:ascii="Calibri" w:hAnsi="Calibri" w:cs="Arial"/>
              </w:rPr>
              <w:t xml:space="preserve">20 hours. </w:t>
            </w:r>
            <w:r w:rsidR="003C60FB" w:rsidRPr="005565DC">
              <w:rPr>
                <w:rFonts w:ascii="Calibri" w:hAnsi="Calibri" w:cs="Arial"/>
              </w:rPr>
              <w:t>(SPC 2012)</w:t>
            </w:r>
          </w:p>
          <w:p w14:paraId="34B102B4" w14:textId="77777777" w:rsidR="00C02A0F" w:rsidRDefault="00C02A0F" w:rsidP="00236351">
            <w:pPr>
              <w:jc w:val="both"/>
              <w:rPr>
                <w:rFonts w:ascii="Calibri" w:hAnsi="Calibri" w:cs="Arial"/>
              </w:rPr>
            </w:pPr>
          </w:p>
          <w:p w14:paraId="05C1728F" w14:textId="77777777" w:rsidR="00C02A0F" w:rsidRPr="006D2965" w:rsidRDefault="00C02A0F" w:rsidP="00236351">
            <w:pPr>
              <w:jc w:val="both"/>
              <w:rPr>
                <w:rFonts w:ascii="Calibri" w:hAnsi="Calibri" w:cs="Arial"/>
              </w:rPr>
            </w:pPr>
            <w:r w:rsidRPr="005565DC">
              <w:rPr>
                <w:rFonts w:ascii="Calibri" w:hAnsi="Calibri"/>
                <w:b/>
              </w:rPr>
              <w:t>Biopharmaceutics Classification System</w:t>
            </w:r>
            <w:r w:rsidRPr="00D63BD3">
              <w:rPr>
                <w:rFonts w:ascii="Calibri" w:hAnsi="Calibri" w:cs="Arial"/>
                <w:b/>
              </w:rPr>
              <w:t>:</w:t>
            </w:r>
            <w:r w:rsidRPr="006D2965">
              <w:rPr>
                <w:rFonts w:ascii="Calibri" w:hAnsi="Calibri" w:cs="Arial"/>
              </w:rPr>
              <w:t xml:space="preserve"> </w:t>
            </w:r>
            <w:r>
              <w:rPr>
                <w:rFonts w:ascii="Calibri" w:hAnsi="Calibri" w:cs="Arial"/>
              </w:rPr>
              <w:t>No data</w:t>
            </w:r>
          </w:p>
          <w:p w14:paraId="69549025" w14:textId="77777777" w:rsidR="00C02A0F" w:rsidRPr="005565DC" w:rsidRDefault="00C02A0F" w:rsidP="00236351">
            <w:pPr>
              <w:autoSpaceDE w:val="0"/>
              <w:autoSpaceDN w:val="0"/>
              <w:adjustRightInd w:val="0"/>
              <w:jc w:val="both"/>
              <w:rPr>
                <w:rFonts w:ascii="Calibri" w:hAnsi="Calibri" w:cs="AdvPS9779"/>
              </w:rPr>
            </w:pPr>
            <w:r w:rsidRPr="005565DC">
              <w:rPr>
                <w:rFonts w:ascii="Calibri" w:hAnsi="Calibri" w:cs="AdvP7B72"/>
              </w:rPr>
              <w:t>(Anderson</w:t>
            </w:r>
            <w:r w:rsidRPr="005565DC">
              <w:rPr>
                <w:rFonts w:ascii="Calibri" w:hAnsi="Calibri"/>
              </w:rPr>
              <w:t xml:space="preserve"> 2008) </w:t>
            </w:r>
          </w:p>
          <w:p w14:paraId="6C2ABE1F" w14:textId="77777777" w:rsidR="003C60FB" w:rsidRPr="003C60FB" w:rsidRDefault="003C60FB" w:rsidP="00236351">
            <w:pPr>
              <w:jc w:val="both"/>
              <w:rPr>
                <w:rFonts w:ascii="Calibri" w:hAnsi="Calibri"/>
              </w:rPr>
            </w:pPr>
          </w:p>
          <w:p w14:paraId="3ECC8D91" w14:textId="77777777" w:rsidR="00764490" w:rsidRDefault="003F53C8" w:rsidP="00236351">
            <w:pPr>
              <w:jc w:val="both"/>
              <w:rPr>
                <w:rFonts w:ascii="Calibri" w:hAnsi="Calibri"/>
              </w:rPr>
            </w:pPr>
            <w:r w:rsidRPr="00457256">
              <w:rPr>
                <w:rFonts w:ascii="Calibri" w:hAnsi="Calibri"/>
              </w:rPr>
              <w:t xml:space="preserve">A literature search retrieved </w:t>
            </w:r>
            <w:r w:rsidR="005D3875" w:rsidRPr="00457256">
              <w:rPr>
                <w:rFonts w:ascii="Calibri" w:hAnsi="Calibri"/>
              </w:rPr>
              <w:t>no</w:t>
            </w:r>
            <w:r w:rsidRPr="00457256">
              <w:rPr>
                <w:rFonts w:ascii="Calibri" w:hAnsi="Calibri"/>
              </w:rPr>
              <w:t xml:space="preserve"> relevant studies</w:t>
            </w:r>
            <w:r w:rsidR="005D3875" w:rsidRPr="00457256">
              <w:rPr>
                <w:rFonts w:ascii="Calibri" w:hAnsi="Calibri"/>
              </w:rPr>
              <w:t>.</w:t>
            </w:r>
          </w:p>
          <w:p w14:paraId="485FD981" w14:textId="77777777" w:rsidR="00F355D0" w:rsidRPr="00457256" w:rsidRDefault="00F355D0" w:rsidP="00764490">
            <w:pPr>
              <w:rPr>
                <w:rFonts w:ascii="Calibri" w:hAnsi="Calibri"/>
              </w:rPr>
            </w:pPr>
          </w:p>
        </w:tc>
      </w:tr>
    </w:tbl>
    <w:p w14:paraId="39458C05" w14:textId="77777777" w:rsidR="00764490" w:rsidRPr="0018137D" w:rsidRDefault="00764490" w:rsidP="00764490">
      <w:pPr>
        <w:rPr>
          <w:rFonts w:ascii="Calibri" w:hAnsi="Calibri"/>
        </w:rPr>
      </w:pPr>
    </w:p>
    <w:p w14:paraId="3C197F9F" w14:textId="77777777" w:rsidR="00D9226A" w:rsidRDefault="00D9226A">
      <w:pPr>
        <w:rPr>
          <w:rFonts w:ascii="Calibri" w:hAnsi="Calibri"/>
        </w:rPr>
      </w:pPr>
    </w:p>
    <w:p w14:paraId="3941CE81" w14:textId="77777777" w:rsidR="005D3875" w:rsidRPr="0018137D" w:rsidRDefault="000E09AF">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CC7233" w:rsidRPr="00457256" w14:paraId="76B572D9" w14:textId="77777777">
        <w:tc>
          <w:tcPr>
            <w:tcW w:w="8522" w:type="dxa"/>
            <w:gridSpan w:val="3"/>
            <w:tcBorders>
              <w:top w:val="nil"/>
              <w:left w:val="nil"/>
              <w:bottom w:val="nil"/>
              <w:right w:val="nil"/>
            </w:tcBorders>
            <w:shd w:val="clear" w:color="auto" w:fill="FF6600"/>
          </w:tcPr>
          <w:p w14:paraId="2C9BF93D" w14:textId="77777777" w:rsidR="00CC7233" w:rsidRPr="00457256" w:rsidRDefault="00CC7233" w:rsidP="001D423C">
            <w:pPr>
              <w:pStyle w:val="Heading3"/>
              <w:rPr>
                <w:rFonts w:ascii="Calibri" w:hAnsi="Calibri"/>
              </w:rPr>
            </w:pPr>
            <w:bookmarkStart w:id="6" w:name="_Ethosuximide"/>
            <w:bookmarkEnd w:id="6"/>
            <w:r w:rsidRPr="00457256">
              <w:rPr>
                <w:rFonts w:ascii="Calibri" w:hAnsi="Calibri"/>
              </w:rPr>
              <w:lastRenderedPageBreak/>
              <w:t>Ethosuximide</w:t>
            </w:r>
          </w:p>
        </w:tc>
      </w:tr>
      <w:tr w:rsidR="00CC7233" w:rsidRPr="00457256" w14:paraId="70A60417" w14:textId="77777777">
        <w:tc>
          <w:tcPr>
            <w:tcW w:w="8522" w:type="dxa"/>
            <w:gridSpan w:val="3"/>
            <w:tcBorders>
              <w:top w:val="nil"/>
            </w:tcBorders>
            <w:shd w:val="clear" w:color="auto" w:fill="000000"/>
          </w:tcPr>
          <w:p w14:paraId="2A03D8EF" w14:textId="77777777" w:rsidR="00CC7233" w:rsidRPr="00457256" w:rsidRDefault="00CC7233" w:rsidP="006E675F">
            <w:pPr>
              <w:rPr>
                <w:rFonts w:ascii="Calibri" w:hAnsi="Calibri"/>
              </w:rPr>
            </w:pPr>
          </w:p>
        </w:tc>
      </w:tr>
      <w:tr w:rsidR="00CC7233" w:rsidRPr="00457256" w14:paraId="565E96B8" w14:textId="77777777">
        <w:tc>
          <w:tcPr>
            <w:tcW w:w="1908" w:type="dxa"/>
            <w:vMerge w:val="restart"/>
            <w:shd w:val="clear" w:color="auto" w:fill="auto"/>
            <w:vAlign w:val="center"/>
          </w:tcPr>
          <w:p w14:paraId="2BF7DA32" w14:textId="77777777" w:rsidR="00CC7233" w:rsidRPr="00457256" w:rsidRDefault="00CC7233" w:rsidP="006E675F">
            <w:pPr>
              <w:rPr>
                <w:rFonts w:ascii="Calibri" w:hAnsi="Calibri"/>
              </w:rPr>
            </w:pPr>
            <w:r w:rsidRPr="00457256">
              <w:rPr>
                <w:rFonts w:ascii="Calibri" w:hAnsi="Calibri"/>
              </w:rPr>
              <w:t>Forms available</w:t>
            </w:r>
          </w:p>
        </w:tc>
        <w:tc>
          <w:tcPr>
            <w:tcW w:w="2700" w:type="dxa"/>
            <w:shd w:val="clear" w:color="auto" w:fill="auto"/>
          </w:tcPr>
          <w:p w14:paraId="5E7A831C" w14:textId="77777777" w:rsidR="00CC7233" w:rsidRPr="00457256" w:rsidRDefault="00CC7233" w:rsidP="006E675F">
            <w:pPr>
              <w:rPr>
                <w:rFonts w:ascii="Calibri" w:hAnsi="Calibri"/>
              </w:rPr>
            </w:pPr>
            <w:r w:rsidRPr="00457256">
              <w:rPr>
                <w:rFonts w:ascii="Calibri" w:hAnsi="Calibri"/>
              </w:rPr>
              <w:t>Capsules</w:t>
            </w:r>
          </w:p>
        </w:tc>
        <w:tc>
          <w:tcPr>
            <w:tcW w:w="3914" w:type="dxa"/>
            <w:shd w:val="clear" w:color="auto" w:fill="auto"/>
          </w:tcPr>
          <w:p w14:paraId="1D04A5F0" w14:textId="77777777" w:rsidR="00CC7233" w:rsidRPr="00457256" w:rsidRDefault="00CC7233" w:rsidP="006E675F">
            <w:pPr>
              <w:rPr>
                <w:rFonts w:ascii="Calibri" w:hAnsi="Calibri"/>
              </w:rPr>
            </w:pPr>
            <w:r w:rsidRPr="00457256">
              <w:rPr>
                <w:rFonts w:ascii="Calibri" w:hAnsi="Calibri"/>
              </w:rPr>
              <w:t>250mg</w:t>
            </w:r>
          </w:p>
        </w:tc>
      </w:tr>
      <w:tr w:rsidR="00CC7233" w:rsidRPr="00457256" w14:paraId="38FB4422" w14:textId="77777777">
        <w:tc>
          <w:tcPr>
            <w:tcW w:w="1908" w:type="dxa"/>
            <w:vMerge/>
            <w:shd w:val="clear" w:color="auto" w:fill="auto"/>
          </w:tcPr>
          <w:p w14:paraId="05C8E2F8" w14:textId="77777777" w:rsidR="00CC7233" w:rsidRPr="00457256" w:rsidRDefault="00CC7233" w:rsidP="006E675F">
            <w:pPr>
              <w:rPr>
                <w:rFonts w:ascii="Calibri" w:hAnsi="Calibri"/>
              </w:rPr>
            </w:pPr>
          </w:p>
        </w:tc>
        <w:tc>
          <w:tcPr>
            <w:tcW w:w="2700" w:type="dxa"/>
            <w:shd w:val="clear" w:color="auto" w:fill="auto"/>
          </w:tcPr>
          <w:p w14:paraId="06B7FA92" w14:textId="77777777" w:rsidR="00CC7233" w:rsidRPr="00457256" w:rsidRDefault="00CC7233" w:rsidP="006E675F">
            <w:pPr>
              <w:rPr>
                <w:rFonts w:ascii="Calibri" w:hAnsi="Calibri"/>
              </w:rPr>
            </w:pPr>
            <w:r w:rsidRPr="00457256">
              <w:rPr>
                <w:rFonts w:ascii="Calibri" w:hAnsi="Calibri"/>
              </w:rPr>
              <w:t>Syrup</w:t>
            </w:r>
          </w:p>
        </w:tc>
        <w:tc>
          <w:tcPr>
            <w:tcW w:w="3914" w:type="dxa"/>
            <w:shd w:val="clear" w:color="auto" w:fill="auto"/>
          </w:tcPr>
          <w:p w14:paraId="5B146889" w14:textId="77777777" w:rsidR="00CC7233" w:rsidRPr="00457256" w:rsidRDefault="00CC7233" w:rsidP="006E675F">
            <w:pPr>
              <w:rPr>
                <w:rFonts w:ascii="Calibri" w:hAnsi="Calibri"/>
              </w:rPr>
            </w:pPr>
            <w:r w:rsidRPr="00457256">
              <w:rPr>
                <w:rFonts w:ascii="Calibri" w:hAnsi="Calibri"/>
              </w:rPr>
              <w:t>250mg/5ml</w:t>
            </w:r>
          </w:p>
        </w:tc>
      </w:tr>
      <w:tr w:rsidR="00CC7233" w:rsidRPr="00457256" w14:paraId="56B1D36D" w14:textId="77777777">
        <w:tc>
          <w:tcPr>
            <w:tcW w:w="1908" w:type="dxa"/>
            <w:shd w:val="clear" w:color="auto" w:fill="auto"/>
          </w:tcPr>
          <w:p w14:paraId="1A71A991" w14:textId="77777777" w:rsidR="00CC7233" w:rsidRPr="00457256" w:rsidRDefault="00CC7233" w:rsidP="006E675F">
            <w:pPr>
              <w:rPr>
                <w:rFonts w:ascii="Calibri" w:hAnsi="Calibri"/>
              </w:rPr>
            </w:pPr>
            <w:r w:rsidRPr="00457256">
              <w:rPr>
                <w:rFonts w:ascii="Calibri" w:hAnsi="Calibri"/>
              </w:rPr>
              <w:t>Brands available</w:t>
            </w:r>
          </w:p>
        </w:tc>
        <w:tc>
          <w:tcPr>
            <w:tcW w:w="6614" w:type="dxa"/>
            <w:gridSpan w:val="2"/>
            <w:shd w:val="clear" w:color="auto" w:fill="auto"/>
          </w:tcPr>
          <w:p w14:paraId="1582D1A8" w14:textId="77777777" w:rsidR="00CC7233" w:rsidRPr="00457256" w:rsidRDefault="00CC7233" w:rsidP="006E675F">
            <w:pPr>
              <w:rPr>
                <w:rFonts w:ascii="Calibri" w:hAnsi="Calibri"/>
              </w:rPr>
            </w:pPr>
            <w:r w:rsidRPr="00457256">
              <w:rPr>
                <w:rFonts w:ascii="Calibri" w:hAnsi="Calibri"/>
              </w:rPr>
              <w:t>Non-proprietary, Emeside, Zarontin</w:t>
            </w:r>
          </w:p>
        </w:tc>
      </w:tr>
      <w:tr w:rsidR="00CC7233" w:rsidRPr="00457256" w14:paraId="11E08F4F" w14:textId="77777777">
        <w:tc>
          <w:tcPr>
            <w:tcW w:w="8522" w:type="dxa"/>
            <w:gridSpan w:val="3"/>
            <w:shd w:val="clear" w:color="auto" w:fill="FF6600"/>
          </w:tcPr>
          <w:p w14:paraId="7F08DBAE" w14:textId="77777777" w:rsidR="00CC7233" w:rsidRPr="00457256" w:rsidRDefault="00CC7233" w:rsidP="006E675F">
            <w:pPr>
              <w:rPr>
                <w:rFonts w:ascii="Calibri" w:hAnsi="Calibri"/>
              </w:rPr>
            </w:pPr>
            <w:r w:rsidRPr="00457256">
              <w:rPr>
                <w:rFonts w:ascii="Calibri" w:hAnsi="Calibri"/>
              </w:rPr>
              <w:t>Recommendation</w:t>
            </w:r>
          </w:p>
        </w:tc>
      </w:tr>
      <w:tr w:rsidR="00CC7233" w:rsidRPr="00457256" w14:paraId="6E5457C6" w14:textId="77777777">
        <w:tc>
          <w:tcPr>
            <w:tcW w:w="8522" w:type="dxa"/>
            <w:gridSpan w:val="3"/>
            <w:shd w:val="clear" w:color="auto" w:fill="auto"/>
          </w:tcPr>
          <w:p w14:paraId="6EE68F28" w14:textId="7212B593" w:rsidR="00E3066E" w:rsidRPr="000E09AF" w:rsidRDefault="00E3066E" w:rsidP="00236351">
            <w:pPr>
              <w:ind w:left="360"/>
              <w:jc w:val="both"/>
              <w:rPr>
                <w:rFonts w:ascii="Calibri" w:hAnsi="Calibri"/>
              </w:rPr>
            </w:pPr>
            <w:r w:rsidRPr="000E09AF">
              <w:rPr>
                <w:rFonts w:ascii="Calibri" w:hAnsi="Calibri"/>
              </w:rPr>
              <w:t>These recommendations should not be used without consulting the ‘principles f</w:t>
            </w:r>
            <w:r w:rsidR="000E09AF">
              <w:rPr>
                <w:rFonts w:ascii="Calibri" w:hAnsi="Calibri"/>
              </w:rPr>
              <w:t xml:space="preserve">or switching’ section on page </w:t>
            </w:r>
            <w:r w:rsidR="00281BB5">
              <w:rPr>
                <w:rFonts w:ascii="Calibri" w:hAnsi="Calibri"/>
              </w:rPr>
              <w:t>10</w:t>
            </w:r>
            <w:r w:rsidR="000E09AF">
              <w:rPr>
                <w:rFonts w:ascii="Calibri" w:hAnsi="Calibri"/>
              </w:rPr>
              <w:t>.</w:t>
            </w:r>
          </w:p>
          <w:p w14:paraId="1E0ED9FC" w14:textId="77777777" w:rsidR="00824220" w:rsidRDefault="00824220" w:rsidP="00236351">
            <w:pPr>
              <w:numPr>
                <w:ilvl w:val="0"/>
                <w:numId w:val="8"/>
              </w:numPr>
              <w:jc w:val="both"/>
              <w:rPr>
                <w:rFonts w:ascii="Calibri" w:hAnsi="Calibri"/>
              </w:rPr>
            </w:pPr>
            <w:r w:rsidRPr="000E09AF">
              <w:rPr>
                <w:rFonts w:ascii="Calibri" w:hAnsi="Calibri" w:cs="Courier New"/>
              </w:rPr>
              <w:t>There are no specific data to suggest th</w:t>
            </w:r>
            <w:r w:rsidR="000F502D" w:rsidRPr="000E09AF">
              <w:rPr>
                <w:rFonts w:ascii="Calibri" w:hAnsi="Calibri" w:cs="Courier New"/>
              </w:rPr>
              <w:t>at switching causes</w:t>
            </w:r>
            <w:r w:rsidRPr="000E09AF">
              <w:rPr>
                <w:rFonts w:ascii="Calibri" w:hAnsi="Calibri" w:cs="Courier New"/>
              </w:rPr>
              <w:t xml:space="preserve"> problems in clinical</w:t>
            </w:r>
            <w:r w:rsidRPr="00824220">
              <w:rPr>
                <w:rFonts w:ascii="Calibri" w:hAnsi="Calibri" w:cs="Courier New"/>
              </w:rPr>
              <w:t xml:space="preserve"> practice.  In these circumstances it seems reasonable to allow switching for most patients</w:t>
            </w:r>
            <w:r>
              <w:rPr>
                <w:rFonts w:ascii="Calibri" w:hAnsi="Calibri" w:cs="Courier New"/>
              </w:rPr>
              <w:t>.</w:t>
            </w:r>
          </w:p>
          <w:p w14:paraId="3ACD541E" w14:textId="77777777" w:rsidR="00CC7233" w:rsidRDefault="00D61D2A" w:rsidP="00236351">
            <w:pPr>
              <w:numPr>
                <w:ilvl w:val="0"/>
                <w:numId w:val="8"/>
              </w:numPr>
              <w:jc w:val="both"/>
              <w:rPr>
                <w:rFonts w:ascii="Calibri" w:hAnsi="Calibri"/>
              </w:rPr>
            </w:pPr>
            <w:r>
              <w:rPr>
                <w:rFonts w:ascii="Calibri" w:hAnsi="Calibri"/>
              </w:rPr>
              <w:t>Ethosuximide is mostly used in paediatrics.</w:t>
            </w:r>
          </w:p>
          <w:p w14:paraId="7220C5E2" w14:textId="77777777" w:rsidR="00D61D2A" w:rsidRPr="00457256" w:rsidRDefault="00D61D2A" w:rsidP="00E3066E">
            <w:pPr>
              <w:ind w:left="360"/>
              <w:rPr>
                <w:rFonts w:ascii="Calibri" w:hAnsi="Calibri"/>
              </w:rPr>
            </w:pPr>
          </w:p>
        </w:tc>
      </w:tr>
      <w:tr w:rsidR="00CC7233" w:rsidRPr="00457256" w14:paraId="1B238565" w14:textId="77777777">
        <w:tc>
          <w:tcPr>
            <w:tcW w:w="8522" w:type="dxa"/>
            <w:gridSpan w:val="3"/>
            <w:shd w:val="clear" w:color="auto" w:fill="FF6600"/>
          </w:tcPr>
          <w:p w14:paraId="34B83DB1" w14:textId="77777777" w:rsidR="00CC7233" w:rsidRPr="00457256" w:rsidRDefault="00CC7233" w:rsidP="006E675F">
            <w:pPr>
              <w:rPr>
                <w:rFonts w:ascii="Calibri" w:hAnsi="Calibri"/>
              </w:rPr>
            </w:pPr>
            <w:r w:rsidRPr="00457256">
              <w:rPr>
                <w:rFonts w:ascii="Calibri" w:hAnsi="Calibri"/>
              </w:rPr>
              <w:t>Rationale</w:t>
            </w:r>
          </w:p>
        </w:tc>
      </w:tr>
      <w:tr w:rsidR="00CC7233" w:rsidRPr="00457256" w14:paraId="4A83BB7C" w14:textId="77777777">
        <w:tc>
          <w:tcPr>
            <w:tcW w:w="8522" w:type="dxa"/>
            <w:gridSpan w:val="3"/>
            <w:shd w:val="clear" w:color="auto" w:fill="auto"/>
          </w:tcPr>
          <w:p w14:paraId="3CC14237" w14:textId="4C23756D" w:rsidR="0051136C" w:rsidRDefault="0051136C" w:rsidP="0051136C">
            <w:pPr>
              <w:rPr>
                <w:rFonts w:ascii="Calibri" w:hAnsi="Calibri"/>
              </w:rPr>
            </w:pPr>
          </w:p>
          <w:p w14:paraId="075CB469" w14:textId="1196432E" w:rsidR="008C0A31" w:rsidRDefault="008C0A31" w:rsidP="006303B2">
            <w:pPr>
              <w:jc w:val="both"/>
              <w:rPr>
                <w:rFonts w:ascii="Calibri" w:hAnsi="Calibri"/>
              </w:rPr>
            </w:pPr>
            <w:r w:rsidRPr="00265D6C">
              <w:rPr>
                <w:rFonts w:ascii="Calibri" w:hAnsi="Calibri"/>
                <w:b/>
                <w:bCs/>
              </w:rPr>
              <w:t>MHRA-Category 3</w:t>
            </w:r>
            <w:r>
              <w:rPr>
                <w:rFonts w:ascii="Calibri" w:hAnsi="Calibri"/>
              </w:rPr>
              <w:t>: The potential for clinically relevant differences to exist between different manufacturers’ products is considered to be extremely low.</w:t>
            </w:r>
            <w:r w:rsidR="00C164BF">
              <w:rPr>
                <w:rFonts w:ascii="Calibri" w:hAnsi="Calibri"/>
              </w:rPr>
              <w:t xml:space="preserve">  However, consider other patient/carer-related factors, such as negative perceptions about alternative products and/or issues related to the patient. </w:t>
            </w:r>
          </w:p>
          <w:p w14:paraId="4C9C06B7" w14:textId="77777777" w:rsidR="00C164BF" w:rsidRPr="003307EB" w:rsidRDefault="00C164BF" w:rsidP="0051136C">
            <w:pPr>
              <w:rPr>
                <w:rFonts w:ascii="Calibri" w:hAnsi="Calibri"/>
              </w:rPr>
            </w:pPr>
          </w:p>
          <w:p w14:paraId="5D161F9B" w14:textId="77777777" w:rsidR="00C02A0F" w:rsidRPr="003D36A0" w:rsidRDefault="0051136C" w:rsidP="00236351">
            <w:pPr>
              <w:jc w:val="both"/>
              <w:rPr>
                <w:rFonts w:ascii="Calibri" w:hAnsi="Calibri" w:cs="Arial"/>
                <w:color w:val="000000"/>
              </w:rPr>
            </w:pPr>
            <w:r w:rsidRPr="003307EB">
              <w:rPr>
                <w:rFonts w:ascii="Calibri" w:hAnsi="Calibri"/>
                <w:b/>
              </w:rPr>
              <w:t>Half life</w:t>
            </w:r>
            <w:r w:rsidR="003F7119" w:rsidRPr="003307EB">
              <w:rPr>
                <w:rFonts w:ascii="Calibri" w:hAnsi="Calibri"/>
                <w:b/>
              </w:rPr>
              <w:t>:</w:t>
            </w:r>
            <w:r w:rsidR="003307EB" w:rsidRPr="003307EB">
              <w:rPr>
                <w:rFonts w:ascii="Calibri" w:hAnsi="Calibri" w:cs="Arial"/>
                <w:color w:val="000000"/>
              </w:rPr>
              <w:t xml:space="preserve"> Ethosuximide</w:t>
            </w:r>
            <w:r w:rsidR="003307EB">
              <w:rPr>
                <w:rFonts w:ascii="Calibri" w:hAnsi="Calibri" w:cs="Arial"/>
                <w:color w:val="000000"/>
              </w:rPr>
              <w:t xml:space="preserve"> adults: </w:t>
            </w:r>
            <w:r w:rsidR="003307EB" w:rsidRPr="003307EB">
              <w:rPr>
                <w:rFonts w:ascii="Calibri" w:hAnsi="Calibri" w:cs="Arial"/>
                <w:color w:val="000000"/>
              </w:rPr>
              <w:t>60 hours</w:t>
            </w:r>
            <w:r w:rsidR="003307EB">
              <w:rPr>
                <w:rFonts w:ascii="Calibri" w:hAnsi="Calibri" w:cs="Arial"/>
                <w:color w:val="000000"/>
              </w:rPr>
              <w:t xml:space="preserve">; </w:t>
            </w:r>
            <w:r w:rsidR="003307EB" w:rsidRPr="003307EB">
              <w:rPr>
                <w:rFonts w:ascii="Calibri" w:hAnsi="Calibri" w:cs="Arial"/>
                <w:color w:val="000000"/>
              </w:rPr>
              <w:t>paediatrics</w:t>
            </w:r>
            <w:r w:rsidR="003307EB">
              <w:rPr>
                <w:rFonts w:ascii="Calibri" w:hAnsi="Calibri" w:cs="Arial"/>
                <w:color w:val="000000"/>
              </w:rPr>
              <w:t>:</w:t>
            </w:r>
            <w:r w:rsidR="003307EB" w:rsidRPr="003307EB">
              <w:rPr>
                <w:rFonts w:ascii="Calibri" w:hAnsi="Calibri" w:cs="Arial"/>
                <w:color w:val="000000"/>
              </w:rPr>
              <w:t xml:space="preserve"> </w:t>
            </w:r>
            <w:r w:rsidR="003307EB">
              <w:rPr>
                <w:rFonts w:ascii="Calibri" w:hAnsi="Calibri" w:cs="Arial"/>
                <w:color w:val="000000"/>
              </w:rPr>
              <w:t>30 hours; range:</w:t>
            </w:r>
            <w:r w:rsidR="003307EB" w:rsidRPr="003307EB">
              <w:rPr>
                <w:rFonts w:ascii="Calibri" w:hAnsi="Calibri" w:cs="Arial"/>
                <w:color w:val="000000"/>
              </w:rPr>
              <w:t xml:space="preserve"> 25 to 60 hours. </w:t>
            </w:r>
            <w:r w:rsidR="003307EB" w:rsidRPr="00256F61">
              <w:rPr>
                <w:rFonts w:ascii="Calibri" w:hAnsi="Calibri" w:cs="Arial"/>
                <w:color w:val="000000"/>
              </w:rPr>
              <w:t>(Micromedex 2012)</w:t>
            </w:r>
          </w:p>
          <w:p w14:paraId="34C75F2A" w14:textId="77777777" w:rsidR="00C02A0F" w:rsidRPr="006D2965" w:rsidRDefault="00C02A0F" w:rsidP="00236351">
            <w:pPr>
              <w:jc w:val="both"/>
              <w:rPr>
                <w:rFonts w:ascii="Calibri" w:hAnsi="Calibri" w:cs="Arial"/>
              </w:rPr>
            </w:pPr>
            <w:r w:rsidRPr="00256F61">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sidRPr="008034D0">
              <w:rPr>
                <w:rFonts w:ascii="Calibri" w:hAnsi="Calibri" w:cs="AdvP7B6C"/>
                <w:color w:val="000000"/>
              </w:rPr>
              <w:t xml:space="preserve">  </w:t>
            </w:r>
            <w:r>
              <w:rPr>
                <w:rFonts w:ascii="Calibri" w:hAnsi="Calibri" w:cs="AdvP7B6C"/>
                <w:color w:val="000000"/>
              </w:rPr>
              <w:t>(high</w:t>
            </w:r>
            <w:r w:rsidRPr="008034D0">
              <w:rPr>
                <w:rFonts w:ascii="Calibri" w:hAnsi="Calibri" w:cs="AdvP7B6C"/>
                <w:color w:val="000000"/>
              </w:rPr>
              <w:t xml:space="preserve"> solubility/high permeability</w:t>
            </w:r>
            <w:r>
              <w:rPr>
                <w:rFonts w:ascii="Calibri" w:hAnsi="Calibri" w:cs="AdvP7B6C"/>
                <w:color w:val="000000"/>
              </w:rPr>
              <w:t>)</w:t>
            </w:r>
          </w:p>
          <w:p w14:paraId="5F9AB0A3" w14:textId="77777777" w:rsidR="00C02A0F" w:rsidRPr="00256F61" w:rsidRDefault="00C02A0F" w:rsidP="00236351">
            <w:pPr>
              <w:autoSpaceDE w:val="0"/>
              <w:autoSpaceDN w:val="0"/>
              <w:adjustRightInd w:val="0"/>
              <w:jc w:val="both"/>
              <w:rPr>
                <w:rFonts w:ascii="Calibri" w:hAnsi="Calibri" w:cs="AdvPS9779"/>
              </w:rPr>
            </w:pPr>
            <w:r w:rsidRPr="00256F61">
              <w:rPr>
                <w:rFonts w:ascii="Calibri" w:hAnsi="Calibri" w:cs="AdvP7B72"/>
              </w:rPr>
              <w:t>(Anderson</w:t>
            </w:r>
            <w:r w:rsidRPr="00256F61">
              <w:rPr>
                <w:rFonts w:ascii="Calibri" w:hAnsi="Calibri"/>
              </w:rPr>
              <w:t xml:space="preserve"> 2008) </w:t>
            </w:r>
          </w:p>
          <w:p w14:paraId="4C774A03" w14:textId="77777777" w:rsidR="0051136C" w:rsidRPr="00236351" w:rsidRDefault="00C02A0F" w:rsidP="00236351">
            <w:pPr>
              <w:autoSpaceDE w:val="0"/>
              <w:autoSpaceDN w:val="0"/>
              <w:adjustRightInd w:val="0"/>
              <w:jc w:val="both"/>
              <w:rPr>
                <w:rFonts w:ascii="Calibri" w:hAnsi="Calibri" w:cs="AdvPS9779"/>
                <w:b/>
              </w:rPr>
            </w:pPr>
            <w:r w:rsidRPr="003307EB" w:rsidDel="00C02A0F">
              <w:rPr>
                <w:rFonts w:ascii="Calibri" w:hAnsi="Calibri"/>
                <w:b/>
              </w:rPr>
              <w:t xml:space="preserve"> </w:t>
            </w:r>
          </w:p>
          <w:p w14:paraId="175F250B" w14:textId="77777777" w:rsidR="00CC7233" w:rsidRDefault="005D3875" w:rsidP="00236351">
            <w:pPr>
              <w:jc w:val="both"/>
              <w:rPr>
                <w:rFonts w:ascii="Calibri" w:hAnsi="Calibri"/>
              </w:rPr>
            </w:pPr>
            <w:r w:rsidRPr="00457256">
              <w:rPr>
                <w:rFonts w:ascii="Calibri" w:hAnsi="Calibri"/>
              </w:rPr>
              <w:t>A literature search retrieved no relevant studies.</w:t>
            </w:r>
          </w:p>
          <w:p w14:paraId="381CC334" w14:textId="77777777" w:rsidR="0051136C" w:rsidRDefault="0051136C" w:rsidP="006E675F">
            <w:pPr>
              <w:rPr>
                <w:rFonts w:ascii="Calibri" w:hAnsi="Calibri"/>
              </w:rPr>
            </w:pPr>
          </w:p>
          <w:p w14:paraId="4279822C" w14:textId="77777777" w:rsidR="0051136C" w:rsidRPr="00457256" w:rsidRDefault="0051136C" w:rsidP="006E675F">
            <w:pPr>
              <w:rPr>
                <w:rFonts w:ascii="Calibri" w:hAnsi="Calibri"/>
              </w:rPr>
            </w:pPr>
          </w:p>
        </w:tc>
      </w:tr>
    </w:tbl>
    <w:p w14:paraId="3ABC544C" w14:textId="77777777" w:rsidR="009771D1" w:rsidRDefault="009771D1">
      <w:pPr>
        <w:rPr>
          <w:rFonts w:ascii="Calibri" w:hAnsi="Calibri"/>
        </w:rPr>
      </w:pPr>
    </w:p>
    <w:p w14:paraId="65FAAFB0" w14:textId="77777777" w:rsidR="00CC7233" w:rsidRPr="0018137D" w:rsidRDefault="009771D1">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CC7233" w:rsidRPr="00457256" w14:paraId="05254F15" w14:textId="77777777">
        <w:tc>
          <w:tcPr>
            <w:tcW w:w="8522" w:type="dxa"/>
            <w:gridSpan w:val="3"/>
            <w:tcBorders>
              <w:top w:val="nil"/>
              <w:left w:val="nil"/>
              <w:bottom w:val="nil"/>
              <w:right w:val="nil"/>
            </w:tcBorders>
            <w:shd w:val="clear" w:color="auto" w:fill="FF6600"/>
          </w:tcPr>
          <w:p w14:paraId="5D32E919" w14:textId="77777777" w:rsidR="00CC7233" w:rsidRPr="00457256" w:rsidRDefault="00CC7233" w:rsidP="001D423C">
            <w:pPr>
              <w:pStyle w:val="Heading3"/>
              <w:rPr>
                <w:rFonts w:ascii="Calibri" w:hAnsi="Calibri"/>
              </w:rPr>
            </w:pPr>
            <w:bookmarkStart w:id="7" w:name="_Gabapentin"/>
            <w:bookmarkEnd w:id="7"/>
            <w:r w:rsidRPr="00457256">
              <w:rPr>
                <w:rFonts w:ascii="Calibri" w:hAnsi="Calibri"/>
              </w:rPr>
              <w:lastRenderedPageBreak/>
              <w:t>Gabapentin</w:t>
            </w:r>
          </w:p>
        </w:tc>
      </w:tr>
      <w:tr w:rsidR="00CC7233" w:rsidRPr="00457256" w14:paraId="52DA2022" w14:textId="77777777">
        <w:tc>
          <w:tcPr>
            <w:tcW w:w="8522" w:type="dxa"/>
            <w:gridSpan w:val="3"/>
            <w:tcBorders>
              <w:top w:val="nil"/>
            </w:tcBorders>
            <w:shd w:val="clear" w:color="auto" w:fill="000000"/>
          </w:tcPr>
          <w:p w14:paraId="03579ACB" w14:textId="77777777" w:rsidR="00CC7233" w:rsidRPr="00457256" w:rsidRDefault="00CC7233" w:rsidP="006E675F">
            <w:pPr>
              <w:rPr>
                <w:rFonts w:ascii="Calibri" w:hAnsi="Calibri"/>
              </w:rPr>
            </w:pPr>
          </w:p>
        </w:tc>
      </w:tr>
      <w:tr w:rsidR="00CC7233" w:rsidRPr="00457256" w14:paraId="43F1B7AA" w14:textId="77777777">
        <w:tc>
          <w:tcPr>
            <w:tcW w:w="1908" w:type="dxa"/>
            <w:vMerge w:val="restart"/>
            <w:shd w:val="clear" w:color="auto" w:fill="auto"/>
            <w:vAlign w:val="center"/>
          </w:tcPr>
          <w:p w14:paraId="150F8FA5" w14:textId="77777777" w:rsidR="00CC7233" w:rsidRPr="00457256" w:rsidRDefault="00CC7233" w:rsidP="006E675F">
            <w:pPr>
              <w:rPr>
                <w:rFonts w:ascii="Calibri" w:hAnsi="Calibri"/>
              </w:rPr>
            </w:pPr>
            <w:r w:rsidRPr="00457256">
              <w:rPr>
                <w:rFonts w:ascii="Calibri" w:hAnsi="Calibri"/>
              </w:rPr>
              <w:t>Forms available</w:t>
            </w:r>
          </w:p>
        </w:tc>
        <w:tc>
          <w:tcPr>
            <w:tcW w:w="2700" w:type="dxa"/>
            <w:shd w:val="clear" w:color="auto" w:fill="auto"/>
          </w:tcPr>
          <w:p w14:paraId="110677DF" w14:textId="77777777" w:rsidR="00CC7233" w:rsidRPr="00457256" w:rsidRDefault="00CC7233" w:rsidP="006E675F">
            <w:pPr>
              <w:rPr>
                <w:rFonts w:ascii="Calibri" w:hAnsi="Calibri"/>
              </w:rPr>
            </w:pPr>
            <w:r w:rsidRPr="00457256">
              <w:rPr>
                <w:rFonts w:ascii="Calibri" w:hAnsi="Calibri"/>
              </w:rPr>
              <w:t>Capsules</w:t>
            </w:r>
          </w:p>
        </w:tc>
        <w:tc>
          <w:tcPr>
            <w:tcW w:w="3914" w:type="dxa"/>
            <w:shd w:val="clear" w:color="auto" w:fill="auto"/>
          </w:tcPr>
          <w:p w14:paraId="40317210" w14:textId="77777777" w:rsidR="00CC7233" w:rsidRPr="00457256" w:rsidRDefault="00CC7233" w:rsidP="006E675F">
            <w:pPr>
              <w:rPr>
                <w:rFonts w:ascii="Calibri" w:hAnsi="Calibri"/>
              </w:rPr>
            </w:pPr>
            <w:r w:rsidRPr="00457256">
              <w:rPr>
                <w:rFonts w:ascii="Calibri" w:hAnsi="Calibri"/>
              </w:rPr>
              <w:t>100mg, 300mg, 400mg</w:t>
            </w:r>
          </w:p>
        </w:tc>
      </w:tr>
      <w:tr w:rsidR="00CC7233" w:rsidRPr="00457256" w14:paraId="5BBF531D" w14:textId="77777777">
        <w:tc>
          <w:tcPr>
            <w:tcW w:w="1908" w:type="dxa"/>
            <w:vMerge/>
            <w:shd w:val="clear" w:color="auto" w:fill="auto"/>
          </w:tcPr>
          <w:p w14:paraId="2B1FC528" w14:textId="77777777" w:rsidR="00CC7233" w:rsidRPr="00457256" w:rsidRDefault="00CC7233" w:rsidP="006E675F">
            <w:pPr>
              <w:rPr>
                <w:rFonts w:ascii="Calibri" w:hAnsi="Calibri"/>
              </w:rPr>
            </w:pPr>
          </w:p>
        </w:tc>
        <w:tc>
          <w:tcPr>
            <w:tcW w:w="2700" w:type="dxa"/>
            <w:shd w:val="clear" w:color="auto" w:fill="auto"/>
          </w:tcPr>
          <w:p w14:paraId="7CDB658C" w14:textId="77777777" w:rsidR="00CC7233" w:rsidRPr="00457256" w:rsidRDefault="00CC7233" w:rsidP="006E675F">
            <w:pPr>
              <w:rPr>
                <w:rFonts w:ascii="Calibri" w:hAnsi="Calibri"/>
              </w:rPr>
            </w:pPr>
            <w:r w:rsidRPr="00457256">
              <w:rPr>
                <w:rFonts w:ascii="Calibri" w:hAnsi="Calibri"/>
              </w:rPr>
              <w:t>Tablets</w:t>
            </w:r>
          </w:p>
        </w:tc>
        <w:tc>
          <w:tcPr>
            <w:tcW w:w="3914" w:type="dxa"/>
            <w:shd w:val="clear" w:color="auto" w:fill="auto"/>
          </w:tcPr>
          <w:p w14:paraId="07D399C8" w14:textId="77777777" w:rsidR="00CC7233" w:rsidRPr="00457256" w:rsidRDefault="00CC7233" w:rsidP="006E675F">
            <w:pPr>
              <w:rPr>
                <w:rFonts w:ascii="Calibri" w:hAnsi="Calibri"/>
              </w:rPr>
            </w:pPr>
            <w:r w:rsidRPr="00457256">
              <w:rPr>
                <w:rFonts w:ascii="Calibri" w:hAnsi="Calibri"/>
              </w:rPr>
              <w:t>600mg, 800mg</w:t>
            </w:r>
          </w:p>
        </w:tc>
      </w:tr>
      <w:tr w:rsidR="00CC7233" w:rsidRPr="00457256" w14:paraId="6A5D41ED" w14:textId="77777777">
        <w:tc>
          <w:tcPr>
            <w:tcW w:w="1908" w:type="dxa"/>
            <w:shd w:val="clear" w:color="auto" w:fill="auto"/>
          </w:tcPr>
          <w:p w14:paraId="55E467FC" w14:textId="77777777" w:rsidR="00CC7233" w:rsidRPr="00457256" w:rsidRDefault="00CC7233" w:rsidP="006E675F">
            <w:pPr>
              <w:rPr>
                <w:rFonts w:ascii="Calibri" w:hAnsi="Calibri"/>
              </w:rPr>
            </w:pPr>
            <w:r w:rsidRPr="00457256">
              <w:rPr>
                <w:rFonts w:ascii="Calibri" w:hAnsi="Calibri"/>
              </w:rPr>
              <w:t>Brands available</w:t>
            </w:r>
          </w:p>
        </w:tc>
        <w:tc>
          <w:tcPr>
            <w:tcW w:w="6614" w:type="dxa"/>
            <w:gridSpan w:val="2"/>
            <w:shd w:val="clear" w:color="auto" w:fill="auto"/>
          </w:tcPr>
          <w:p w14:paraId="36761054" w14:textId="77777777" w:rsidR="00CC7233" w:rsidRPr="00457256" w:rsidRDefault="00CC7233" w:rsidP="006E675F">
            <w:pPr>
              <w:rPr>
                <w:rFonts w:ascii="Calibri" w:hAnsi="Calibri"/>
              </w:rPr>
            </w:pPr>
            <w:r w:rsidRPr="00457256">
              <w:rPr>
                <w:rFonts w:ascii="Calibri" w:hAnsi="Calibri"/>
              </w:rPr>
              <w:t>Non-proprietary, Neurontin</w:t>
            </w:r>
          </w:p>
        </w:tc>
      </w:tr>
      <w:tr w:rsidR="00CC7233" w:rsidRPr="00457256" w14:paraId="083AF308" w14:textId="77777777">
        <w:tc>
          <w:tcPr>
            <w:tcW w:w="8522" w:type="dxa"/>
            <w:gridSpan w:val="3"/>
            <w:shd w:val="clear" w:color="auto" w:fill="FF6600"/>
          </w:tcPr>
          <w:p w14:paraId="16B71204" w14:textId="77777777" w:rsidR="00CC7233" w:rsidRPr="00457256" w:rsidRDefault="00CC7233" w:rsidP="006E675F">
            <w:pPr>
              <w:rPr>
                <w:rFonts w:ascii="Calibri" w:hAnsi="Calibri"/>
              </w:rPr>
            </w:pPr>
            <w:r w:rsidRPr="00457256">
              <w:rPr>
                <w:rFonts w:ascii="Calibri" w:hAnsi="Calibri"/>
              </w:rPr>
              <w:t>Recommendation</w:t>
            </w:r>
          </w:p>
        </w:tc>
      </w:tr>
      <w:tr w:rsidR="00CC7233" w:rsidRPr="00457256" w14:paraId="653EDF68" w14:textId="77777777">
        <w:tc>
          <w:tcPr>
            <w:tcW w:w="8522" w:type="dxa"/>
            <w:gridSpan w:val="3"/>
            <w:shd w:val="clear" w:color="auto" w:fill="auto"/>
          </w:tcPr>
          <w:p w14:paraId="588A29A2" w14:textId="6B35CAE6" w:rsidR="00E3066E" w:rsidRPr="009771D1" w:rsidRDefault="00E3066E" w:rsidP="00236351">
            <w:pPr>
              <w:ind w:left="360"/>
              <w:jc w:val="both"/>
              <w:rPr>
                <w:rFonts w:ascii="Calibri" w:hAnsi="Calibri"/>
              </w:rPr>
            </w:pPr>
            <w:r w:rsidRPr="009771D1">
              <w:rPr>
                <w:rFonts w:ascii="Calibri" w:hAnsi="Calibri"/>
              </w:rPr>
              <w:t>These recommendations should not be used without consulting the ‘principles for switching’ section on p</w:t>
            </w:r>
            <w:r w:rsidR="00036CF3">
              <w:rPr>
                <w:rFonts w:ascii="Calibri" w:hAnsi="Calibri"/>
              </w:rPr>
              <w:t xml:space="preserve">age </w:t>
            </w:r>
            <w:r w:rsidR="00281BB5">
              <w:rPr>
                <w:rFonts w:ascii="Calibri" w:hAnsi="Calibri"/>
              </w:rPr>
              <w:t>10</w:t>
            </w:r>
            <w:r w:rsidR="009771D1">
              <w:rPr>
                <w:rFonts w:ascii="Calibri" w:hAnsi="Calibri"/>
              </w:rPr>
              <w:t>.</w:t>
            </w:r>
          </w:p>
          <w:p w14:paraId="476C20BD" w14:textId="77777777" w:rsidR="00824220" w:rsidRDefault="00824220" w:rsidP="00236351">
            <w:pPr>
              <w:numPr>
                <w:ilvl w:val="0"/>
                <w:numId w:val="11"/>
              </w:numPr>
              <w:jc w:val="both"/>
              <w:rPr>
                <w:rFonts w:ascii="Calibri" w:hAnsi="Calibri"/>
              </w:rPr>
            </w:pPr>
            <w:r w:rsidRPr="009771D1">
              <w:rPr>
                <w:rFonts w:ascii="Calibri" w:hAnsi="Calibri" w:cs="Courier New"/>
              </w:rPr>
              <w:t xml:space="preserve">There are no specific data to </w:t>
            </w:r>
            <w:r w:rsidR="000F502D" w:rsidRPr="009771D1">
              <w:rPr>
                <w:rFonts w:ascii="Calibri" w:hAnsi="Calibri" w:cs="Courier New"/>
              </w:rPr>
              <w:t>suggest that switching causes</w:t>
            </w:r>
            <w:r w:rsidRPr="009771D1">
              <w:rPr>
                <w:rFonts w:ascii="Calibri" w:hAnsi="Calibri" w:cs="Courier New"/>
              </w:rPr>
              <w:t xml:space="preserve"> problems in clinical practice</w:t>
            </w:r>
            <w:r w:rsidRPr="00824220">
              <w:rPr>
                <w:rFonts w:ascii="Calibri" w:hAnsi="Calibri" w:cs="Courier New"/>
              </w:rPr>
              <w:t>.  In these circumstances it seems reasonable to allow switching for most patients</w:t>
            </w:r>
            <w:r w:rsidR="003307EB">
              <w:rPr>
                <w:rFonts w:ascii="Calibri" w:hAnsi="Calibri" w:cs="Courier New"/>
              </w:rPr>
              <w:t>.</w:t>
            </w:r>
          </w:p>
          <w:p w14:paraId="1A30DA4A" w14:textId="77777777" w:rsidR="00D31E3F" w:rsidRDefault="00D31E3F" w:rsidP="00236351">
            <w:pPr>
              <w:numPr>
                <w:ilvl w:val="0"/>
                <w:numId w:val="11"/>
              </w:numPr>
              <w:jc w:val="both"/>
              <w:rPr>
                <w:rFonts w:ascii="Calibri" w:hAnsi="Calibri"/>
              </w:rPr>
            </w:pPr>
            <w:r>
              <w:rPr>
                <w:rFonts w:ascii="Calibri" w:hAnsi="Calibri"/>
              </w:rPr>
              <w:t xml:space="preserve">There is no consistent evidence </w:t>
            </w:r>
            <w:r w:rsidR="000F502D">
              <w:rPr>
                <w:rFonts w:ascii="Calibri" w:hAnsi="Calibri"/>
              </w:rPr>
              <w:t>t</w:t>
            </w:r>
            <w:r>
              <w:rPr>
                <w:rFonts w:ascii="Calibri" w:hAnsi="Calibri"/>
              </w:rPr>
              <w:t xml:space="preserve">o suggest that </w:t>
            </w:r>
            <w:r w:rsidR="00186D47">
              <w:rPr>
                <w:rFonts w:ascii="Calibri" w:hAnsi="Calibri"/>
              </w:rPr>
              <w:t>switching</w:t>
            </w:r>
            <w:r>
              <w:rPr>
                <w:rFonts w:ascii="Calibri" w:hAnsi="Calibri"/>
              </w:rPr>
              <w:t xml:space="preserve"> to a generic is any worse that switching within brand so switching can be sanctioned with this medicine.</w:t>
            </w:r>
          </w:p>
          <w:p w14:paraId="5F330460" w14:textId="77777777" w:rsidR="008E1F8F" w:rsidRDefault="008E1F8F" w:rsidP="00236351">
            <w:pPr>
              <w:numPr>
                <w:ilvl w:val="0"/>
                <w:numId w:val="11"/>
              </w:numPr>
              <w:jc w:val="both"/>
              <w:rPr>
                <w:rFonts w:ascii="Calibri" w:hAnsi="Calibri"/>
              </w:rPr>
            </w:pPr>
            <w:r>
              <w:rPr>
                <w:rFonts w:ascii="Calibri" w:hAnsi="Calibri"/>
              </w:rPr>
              <w:t>Most gabapentin use is for neurological pain so dose is not critical.</w:t>
            </w:r>
          </w:p>
          <w:p w14:paraId="433BB942" w14:textId="77777777" w:rsidR="00E3066E" w:rsidRPr="00457256" w:rsidRDefault="00E3066E" w:rsidP="00E3066E">
            <w:pPr>
              <w:rPr>
                <w:rFonts w:ascii="Calibri" w:hAnsi="Calibri"/>
              </w:rPr>
            </w:pPr>
          </w:p>
        </w:tc>
      </w:tr>
      <w:tr w:rsidR="00CC7233" w:rsidRPr="00457256" w14:paraId="7B375E49" w14:textId="77777777">
        <w:tc>
          <w:tcPr>
            <w:tcW w:w="8522" w:type="dxa"/>
            <w:gridSpan w:val="3"/>
            <w:shd w:val="clear" w:color="auto" w:fill="FF6600"/>
          </w:tcPr>
          <w:p w14:paraId="380D8F18" w14:textId="77777777" w:rsidR="00CC7233" w:rsidRPr="00457256" w:rsidRDefault="00CC7233" w:rsidP="006E675F">
            <w:pPr>
              <w:rPr>
                <w:rFonts w:ascii="Calibri" w:hAnsi="Calibri"/>
              </w:rPr>
            </w:pPr>
            <w:r w:rsidRPr="00457256">
              <w:rPr>
                <w:rFonts w:ascii="Calibri" w:hAnsi="Calibri"/>
              </w:rPr>
              <w:t>Rationale</w:t>
            </w:r>
          </w:p>
        </w:tc>
      </w:tr>
      <w:tr w:rsidR="00CC7233" w:rsidRPr="00457256" w14:paraId="2A38B0DC" w14:textId="77777777">
        <w:tc>
          <w:tcPr>
            <w:tcW w:w="8522" w:type="dxa"/>
            <w:gridSpan w:val="3"/>
            <w:shd w:val="clear" w:color="auto" w:fill="auto"/>
          </w:tcPr>
          <w:p w14:paraId="72BAC2D0" w14:textId="01D095E2" w:rsidR="00A21511" w:rsidRDefault="00A21511" w:rsidP="00236351">
            <w:pPr>
              <w:spacing w:before="45" w:after="45"/>
              <w:jc w:val="both"/>
              <w:rPr>
                <w:rFonts w:ascii="Calibri" w:hAnsi="Calibri"/>
                <w:b/>
              </w:rPr>
            </w:pPr>
          </w:p>
          <w:p w14:paraId="7BF796D0" w14:textId="77777777" w:rsidR="00A21511" w:rsidRDefault="00A21511" w:rsidP="006303B2">
            <w:pPr>
              <w:jc w:val="both"/>
              <w:rPr>
                <w:rFonts w:ascii="Calibri" w:hAnsi="Calibri"/>
              </w:rPr>
            </w:pPr>
            <w:r w:rsidRPr="00265D6C">
              <w:rPr>
                <w:rFonts w:ascii="Calibri" w:hAnsi="Calibri"/>
                <w:b/>
                <w:bCs/>
              </w:rPr>
              <w:t>MHRA-Category 3</w:t>
            </w:r>
            <w:r>
              <w:rPr>
                <w:rFonts w:ascii="Calibri" w:hAnsi="Calibri"/>
              </w:rPr>
              <w:t xml:space="preserve">: The potential for clinically relevant differences to exist between different manufacturers’ products is considered to be extremely low.  However, consider other patient/carer-related factors, such as negative perceptions about alternative products and/or issues related to the patient. </w:t>
            </w:r>
          </w:p>
          <w:p w14:paraId="3A12BD5E" w14:textId="77777777" w:rsidR="00A21511" w:rsidRDefault="00A21511" w:rsidP="006303B2">
            <w:pPr>
              <w:spacing w:before="45" w:after="45"/>
              <w:jc w:val="both"/>
              <w:rPr>
                <w:rFonts w:ascii="Calibri" w:hAnsi="Calibri"/>
                <w:b/>
              </w:rPr>
            </w:pPr>
          </w:p>
          <w:p w14:paraId="16291D2B" w14:textId="7115F73D" w:rsidR="001214CE" w:rsidRPr="00036CF3" w:rsidRDefault="00BA51FD" w:rsidP="00236351">
            <w:pPr>
              <w:spacing w:before="45" w:after="45"/>
              <w:jc w:val="both"/>
              <w:rPr>
                <w:rFonts w:ascii="Calibri" w:hAnsi="Calibri" w:cs="Arial"/>
                <w:color w:val="000000"/>
              </w:rPr>
            </w:pPr>
            <w:r w:rsidRPr="001214CE">
              <w:rPr>
                <w:rFonts w:ascii="Calibri" w:hAnsi="Calibri"/>
                <w:b/>
              </w:rPr>
              <w:t>Half life</w:t>
            </w:r>
            <w:r w:rsidR="003F7119" w:rsidRPr="001214CE">
              <w:rPr>
                <w:rFonts w:ascii="Calibri" w:hAnsi="Calibri"/>
              </w:rPr>
              <w:t>:</w:t>
            </w:r>
            <w:r w:rsidR="00B14945">
              <w:rPr>
                <w:rFonts w:ascii="Calibri" w:hAnsi="Calibri" w:cs="Arial"/>
                <w:color w:val="000000"/>
              </w:rPr>
              <w:t xml:space="preserve"> Gabapentin adults:</w:t>
            </w:r>
            <w:r w:rsidR="001214CE" w:rsidRPr="001214CE">
              <w:rPr>
                <w:rFonts w:ascii="Calibri" w:hAnsi="Calibri" w:cs="Arial"/>
                <w:color w:val="000000"/>
              </w:rPr>
              <w:t xml:space="preserve"> 5 to 7 hours</w:t>
            </w:r>
            <w:r w:rsidR="00B14945">
              <w:rPr>
                <w:rFonts w:ascii="Calibri" w:hAnsi="Calibri" w:cs="Arial"/>
                <w:color w:val="000000"/>
              </w:rPr>
              <w:t>; pediatrics:</w:t>
            </w:r>
            <w:r w:rsidR="001214CE" w:rsidRPr="001214CE">
              <w:rPr>
                <w:rFonts w:ascii="Calibri" w:hAnsi="Calibri" w:cs="Arial"/>
                <w:color w:val="000000"/>
              </w:rPr>
              <w:t xml:space="preserve"> 4.44 hours</w:t>
            </w:r>
            <w:r w:rsidR="001214CE">
              <w:rPr>
                <w:rFonts w:ascii="Calibri" w:hAnsi="Calibri" w:cs="Arial"/>
                <w:color w:val="000000"/>
              </w:rPr>
              <w:t xml:space="preserve">.  </w:t>
            </w:r>
            <w:r w:rsidR="001214CE" w:rsidRPr="00036CF3">
              <w:rPr>
                <w:rFonts w:ascii="Calibri" w:hAnsi="Calibri" w:cs="Arial"/>
                <w:color w:val="000000"/>
              </w:rPr>
              <w:t>(Micromedex 2012)</w:t>
            </w:r>
          </w:p>
          <w:p w14:paraId="4250BDD5" w14:textId="77777777" w:rsidR="008E1F8F" w:rsidRPr="006D2965" w:rsidRDefault="008E1F8F" w:rsidP="00236351">
            <w:pPr>
              <w:jc w:val="both"/>
              <w:rPr>
                <w:rFonts w:ascii="Calibri" w:hAnsi="Calibri" w:cs="Arial"/>
              </w:rPr>
            </w:pPr>
            <w:r w:rsidRPr="00036CF3">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Pr>
                <w:rFonts w:ascii="Calibri" w:hAnsi="Calibri" w:cs="Arial"/>
              </w:rPr>
              <w:t>II</w:t>
            </w:r>
            <w:r w:rsidR="003D36A0">
              <w:rPr>
                <w:rFonts w:ascii="Calibri" w:hAnsi="Calibri" w:cs="AdvP7B6C"/>
                <w:color w:val="000000"/>
              </w:rPr>
              <w:t xml:space="preserve"> </w:t>
            </w:r>
            <w:r>
              <w:rPr>
                <w:rFonts w:ascii="Calibri" w:hAnsi="Calibri" w:cs="AdvP7B6C"/>
                <w:color w:val="000000"/>
              </w:rPr>
              <w:t>(high solubility/low</w:t>
            </w:r>
            <w:r w:rsidRPr="008034D0">
              <w:rPr>
                <w:rFonts w:ascii="Calibri" w:hAnsi="Calibri" w:cs="AdvP7B6C"/>
                <w:color w:val="000000"/>
              </w:rPr>
              <w:t xml:space="preserve"> permeability</w:t>
            </w:r>
            <w:r>
              <w:rPr>
                <w:rFonts w:ascii="Calibri" w:hAnsi="Calibri" w:cs="AdvP7B6C"/>
                <w:color w:val="000000"/>
              </w:rPr>
              <w:t>)</w:t>
            </w:r>
            <w:r w:rsidR="003B00B5">
              <w:rPr>
                <w:rFonts w:ascii="Calibri" w:hAnsi="Calibri" w:cs="AdvP7B6C"/>
                <w:color w:val="000000"/>
              </w:rPr>
              <w:t>.</w:t>
            </w:r>
          </w:p>
          <w:p w14:paraId="2E8F6B99" w14:textId="77777777" w:rsidR="008E1F8F" w:rsidRPr="00036CF3" w:rsidRDefault="008E1F8F" w:rsidP="00236351">
            <w:pPr>
              <w:autoSpaceDE w:val="0"/>
              <w:autoSpaceDN w:val="0"/>
              <w:adjustRightInd w:val="0"/>
              <w:jc w:val="both"/>
              <w:rPr>
                <w:rFonts w:ascii="Calibri" w:hAnsi="Calibri" w:cs="AdvPS9779"/>
              </w:rPr>
            </w:pPr>
            <w:r w:rsidRPr="00036CF3">
              <w:rPr>
                <w:rFonts w:ascii="Calibri" w:hAnsi="Calibri" w:cs="AdvP7B72"/>
              </w:rPr>
              <w:t>(Anderson</w:t>
            </w:r>
            <w:r w:rsidRPr="00036CF3">
              <w:rPr>
                <w:rFonts w:ascii="Calibri" w:hAnsi="Calibri"/>
              </w:rPr>
              <w:t xml:space="preserve"> 2008) </w:t>
            </w:r>
          </w:p>
          <w:p w14:paraId="4F1F908B" w14:textId="77777777" w:rsidR="00BA51FD" w:rsidRPr="00A3230D" w:rsidRDefault="00BA51FD" w:rsidP="00236351">
            <w:pPr>
              <w:jc w:val="both"/>
              <w:rPr>
                <w:rFonts w:ascii="Calibri" w:hAnsi="Calibri"/>
              </w:rPr>
            </w:pPr>
          </w:p>
          <w:p w14:paraId="08F8F4AC" w14:textId="77777777" w:rsidR="00BA51FD" w:rsidRPr="00A3230D" w:rsidRDefault="00BA51FD" w:rsidP="00236351">
            <w:pPr>
              <w:jc w:val="both"/>
              <w:rPr>
                <w:rFonts w:ascii="Calibri" w:hAnsi="Calibri"/>
              </w:rPr>
            </w:pPr>
            <w:r w:rsidRPr="00A3230D">
              <w:rPr>
                <w:rFonts w:ascii="Calibri" w:hAnsi="Calibri"/>
              </w:rPr>
              <w:t>A literature search retrieved 7 relevant studies.</w:t>
            </w:r>
            <w:r w:rsidR="003D36A0">
              <w:rPr>
                <w:rFonts w:ascii="Calibri" w:hAnsi="Calibri"/>
              </w:rPr>
              <w:t xml:space="preserve">  </w:t>
            </w:r>
            <w:r w:rsidRPr="00A3230D">
              <w:rPr>
                <w:rFonts w:ascii="Calibri" w:hAnsi="Calibri"/>
              </w:rPr>
              <w:t xml:space="preserve">There were various different types of data found including 2 studies of  bioequivalence data (1x US and 1x Dutch), a survey of physicians’ experiences in the US, </w:t>
            </w:r>
            <w:r>
              <w:rPr>
                <w:rFonts w:ascii="Calibri" w:hAnsi="Calibri"/>
              </w:rPr>
              <w:t xml:space="preserve"> 2 </w:t>
            </w:r>
            <w:r w:rsidRPr="00A3230D">
              <w:rPr>
                <w:rFonts w:ascii="Calibri" w:hAnsi="Calibri"/>
              </w:rPr>
              <w:t>data analysis studies from healthcare claims databases</w:t>
            </w:r>
            <w:r>
              <w:rPr>
                <w:rFonts w:ascii="Calibri" w:hAnsi="Calibri"/>
              </w:rPr>
              <w:t xml:space="preserve"> in the US and 1 from Canada</w:t>
            </w:r>
            <w:r w:rsidRPr="00A3230D">
              <w:rPr>
                <w:rFonts w:ascii="Calibri" w:hAnsi="Calibri"/>
              </w:rPr>
              <w:t xml:space="preserve">, and a Polish study monitoring seizure frequency after </w:t>
            </w:r>
            <w:r w:rsidR="00815D9F">
              <w:rPr>
                <w:rFonts w:ascii="Calibri" w:hAnsi="Calibri"/>
              </w:rPr>
              <w:t xml:space="preserve">a </w:t>
            </w:r>
            <w:r w:rsidRPr="00A3230D">
              <w:rPr>
                <w:rFonts w:ascii="Calibri" w:hAnsi="Calibri"/>
              </w:rPr>
              <w:t xml:space="preserve">switch to generics. </w:t>
            </w:r>
          </w:p>
          <w:p w14:paraId="51CF2B99" w14:textId="77777777" w:rsidR="00BA51FD" w:rsidRDefault="00BA51FD" w:rsidP="00236351">
            <w:pPr>
              <w:jc w:val="both"/>
              <w:rPr>
                <w:rFonts w:ascii="Calibri" w:hAnsi="Calibri"/>
              </w:rPr>
            </w:pPr>
          </w:p>
          <w:p w14:paraId="13C86081" w14:textId="77777777" w:rsidR="00FC7FE2" w:rsidRDefault="00FC7FE2" w:rsidP="00236351">
            <w:pPr>
              <w:jc w:val="both"/>
              <w:rPr>
                <w:rFonts w:ascii="Calibri" w:hAnsi="Calibri"/>
              </w:rPr>
            </w:pPr>
            <w:r>
              <w:rPr>
                <w:rFonts w:ascii="Calibri" w:hAnsi="Calibri"/>
              </w:rPr>
              <w:t>Due to the volume of information on gabapentin the evidence reported below is a brief summary and more information can be found in appendix</w:t>
            </w:r>
            <w:r w:rsidR="00036CF3">
              <w:rPr>
                <w:rFonts w:ascii="Calibri" w:hAnsi="Calibri"/>
              </w:rPr>
              <w:t xml:space="preserve"> 3</w:t>
            </w:r>
            <w:r>
              <w:rPr>
                <w:rFonts w:ascii="Calibri" w:hAnsi="Calibri"/>
              </w:rPr>
              <w:t>.</w:t>
            </w:r>
          </w:p>
          <w:p w14:paraId="092AF920" w14:textId="77777777" w:rsidR="00FC7FE2" w:rsidRDefault="00FC7FE2" w:rsidP="00236351">
            <w:pPr>
              <w:jc w:val="both"/>
              <w:rPr>
                <w:rFonts w:ascii="Calibri" w:hAnsi="Calibri"/>
              </w:rPr>
            </w:pPr>
          </w:p>
          <w:p w14:paraId="50A4064F" w14:textId="77777777" w:rsidR="00AE73AF" w:rsidRPr="00036CF3" w:rsidRDefault="00AE73AF" w:rsidP="00236351">
            <w:pPr>
              <w:jc w:val="both"/>
              <w:rPr>
                <w:rFonts w:ascii="Calibri" w:hAnsi="Calibri"/>
                <w:color w:val="000000"/>
              </w:rPr>
            </w:pPr>
            <w:r>
              <w:rPr>
                <w:rFonts w:ascii="Calibri" w:hAnsi="Calibri"/>
              </w:rPr>
              <w:t xml:space="preserve">A study reviewing bioequivalence data for generic approval in the US found Cmax for gabapentin varied more than </w:t>
            </w:r>
            <w:r w:rsidRPr="00036CF3">
              <w:rPr>
                <w:rFonts w:ascii="Calibri" w:hAnsi="Calibri"/>
              </w:rPr>
              <w:t xml:space="preserve">most other AEDs between fasting and fed states of different generic products. </w:t>
            </w:r>
            <w:r w:rsidRPr="00036CF3">
              <w:rPr>
                <w:rFonts w:ascii="Calibri" w:hAnsi="Calibri"/>
                <w:color w:val="000000"/>
              </w:rPr>
              <w:t>(Krauss 2011)</w:t>
            </w:r>
          </w:p>
          <w:p w14:paraId="3F92DBB1" w14:textId="77777777" w:rsidR="00AE73AF" w:rsidRPr="00036CF3" w:rsidRDefault="00AE73AF" w:rsidP="00236351">
            <w:pPr>
              <w:jc w:val="both"/>
              <w:rPr>
                <w:rFonts w:ascii="Calibri" w:hAnsi="Calibri"/>
                <w:color w:val="000000"/>
              </w:rPr>
            </w:pPr>
          </w:p>
          <w:p w14:paraId="0002EAB9" w14:textId="77777777" w:rsidR="00AE73AF" w:rsidRPr="00036CF3" w:rsidRDefault="00AE73AF" w:rsidP="00236351">
            <w:pPr>
              <w:jc w:val="both"/>
              <w:rPr>
                <w:rFonts w:ascii="Calibri" w:hAnsi="Calibri"/>
              </w:rPr>
            </w:pPr>
            <w:r w:rsidRPr="00036CF3">
              <w:rPr>
                <w:rFonts w:ascii="Calibri" w:hAnsi="Calibri"/>
                <w:color w:val="000000"/>
              </w:rPr>
              <w:t>A study reviewing bioequivalence data for generic approval in The Netherlands found that in the vast majority of cases the 90% CIs were within 80 – 125%.  The pattern of CI variations for brand to generic switching was similar to brand / brand exchange and generic / generic exchange.  (Maliepaard 2011)</w:t>
            </w:r>
          </w:p>
          <w:p w14:paraId="0AF37162" w14:textId="77777777" w:rsidR="00AE73AF" w:rsidRPr="00036CF3" w:rsidRDefault="00AE73AF" w:rsidP="00236351">
            <w:pPr>
              <w:jc w:val="both"/>
              <w:rPr>
                <w:rFonts w:ascii="Calibri" w:hAnsi="Calibri"/>
              </w:rPr>
            </w:pPr>
          </w:p>
          <w:p w14:paraId="38517C98" w14:textId="77777777" w:rsidR="00AE73AF" w:rsidRPr="00036CF3" w:rsidRDefault="00AE73AF" w:rsidP="00236351">
            <w:pPr>
              <w:jc w:val="both"/>
              <w:rPr>
                <w:rFonts w:ascii="Calibri" w:hAnsi="Calibri"/>
              </w:rPr>
            </w:pPr>
            <w:r w:rsidRPr="00036CF3">
              <w:rPr>
                <w:rFonts w:ascii="Calibri" w:hAnsi="Calibri"/>
              </w:rPr>
              <w:t>A survey of physicians in the US</w:t>
            </w:r>
            <w:r w:rsidR="003D36A0">
              <w:rPr>
                <w:rFonts w:ascii="Calibri" w:hAnsi="Calibri"/>
              </w:rPr>
              <w:t xml:space="preserve"> retrieved 8 reports</w:t>
            </w:r>
            <w:r w:rsidRPr="00036CF3">
              <w:rPr>
                <w:rFonts w:ascii="Calibri" w:hAnsi="Calibri"/>
              </w:rPr>
              <w:t xml:space="preserve"> about gabapentin causing problems after brand to generic switching.  (Berg </w:t>
            </w:r>
            <w:r w:rsidRPr="00036CF3">
              <w:rPr>
                <w:rFonts w:ascii="Calibri" w:eastAsia="MinionPro-Regular" w:hAnsi="Calibri"/>
              </w:rPr>
              <w:t>2008)</w:t>
            </w:r>
            <w:r w:rsidRPr="00036CF3">
              <w:rPr>
                <w:rFonts w:ascii="Calibri" w:hAnsi="Calibri"/>
              </w:rPr>
              <w:t xml:space="preserve"> </w:t>
            </w:r>
          </w:p>
          <w:p w14:paraId="2925992D" w14:textId="77777777" w:rsidR="00AE73AF" w:rsidRPr="00036CF3" w:rsidRDefault="00AE73AF" w:rsidP="00236351">
            <w:pPr>
              <w:jc w:val="both"/>
              <w:rPr>
                <w:rFonts w:ascii="Calibri" w:hAnsi="Calibri"/>
              </w:rPr>
            </w:pPr>
          </w:p>
          <w:p w14:paraId="2272186F" w14:textId="77777777" w:rsidR="00AE73AF" w:rsidRPr="00036CF3" w:rsidRDefault="00AE73AF" w:rsidP="00236351">
            <w:pPr>
              <w:jc w:val="both"/>
              <w:rPr>
                <w:rFonts w:ascii="Calibri" w:hAnsi="Calibri"/>
              </w:rPr>
            </w:pPr>
            <w:r w:rsidRPr="00036CF3">
              <w:rPr>
                <w:rFonts w:ascii="Calibri" w:hAnsi="Calibri"/>
              </w:rPr>
              <w:lastRenderedPageBreak/>
              <w:t>Three studies used data from healthcare claims databases.  A study in the US found that gabapentin patients who had received emergency treatment for epilepsy were more likely to have been switched between brand and generics prior to the incident. (Zachry 2009)  An American study and a Canadian study found that gabapentin patients had high rates of switchback to brand (10.3% and 30.9% respectively)</w:t>
            </w:r>
            <w:r w:rsidR="003B00B5">
              <w:rPr>
                <w:rFonts w:ascii="Calibri" w:hAnsi="Calibri"/>
              </w:rPr>
              <w:t>.</w:t>
            </w:r>
            <w:r w:rsidRPr="00036CF3">
              <w:rPr>
                <w:rFonts w:ascii="Calibri" w:hAnsi="Calibri"/>
              </w:rPr>
              <w:t xml:space="preserve"> (Labiner 2010)</w:t>
            </w:r>
            <w:r w:rsidRPr="00036CF3">
              <w:rPr>
                <w:rFonts w:ascii="Calibri" w:hAnsi="Calibri"/>
                <w:color w:val="000000"/>
              </w:rPr>
              <w:t xml:space="preserve"> (LeLorier Neurology 2008)</w:t>
            </w:r>
          </w:p>
          <w:p w14:paraId="0E201FF0" w14:textId="77777777" w:rsidR="00AE73AF" w:rsidRPr="00036CF3" w:rsidRDefault="00AE73AF" w:rsidP="00236351">
            <w:pPr>
              <w:jc w:val="both"/>
              <w:rPr>
                <w:rFonts w:ascii="Calibri" w:hAnsi="Calibri"/>
              </w:rPr>
            </w:pPr>
          </w:p>
          <w:p w14:paraId="0175E3DA" w14:textId="77777777" w:rsidR="00AE73AF" w:rsidRPr="00036CF3" w:rsidRDefault="00AE73AF" w:rsidP="00236351">
            <w:pPr>
              <w:jc w:val="both"/>
              <w:rPr>
                <w:rFonts w:ascii="Calibri" w:hAnsi="Calibri"/>
              </w:rPr>
            </w:pPr>
            <w:r w:rsidRPr="00036CF3">
              <w:rPr>
                <w:rFonts w:ascii="Calibri" w:hAnsi="Calibri"/>
              </w:rPr>
              <w:t xml:space="preserve">The authors of a study in Poland concluded that switching from brand to generic gabapentin did not increase seizure frequency and switchback rates to brand were low. </w:t>
            </w:r>
            <w:r w:rsidRPr="00036CF3">
              <w:rPr>
                <w:rFonts w:ascii="Calibri" w:eastAsia="AdvPS_TIR" w:hAnsi="Calibri"/>
              </w:rPr>
              <w:t>(</w:t>
            </w:r>
            <w:r w:rsidRPr="00036CF3">
              <w:rPr>
                <w:rFonts w:ascii="Calibri" w:eastAsia="AdvPS_TII" w:hAnsi="Calibri"/>
              </w:rPr>
              <w:t>Czapinski</w:t>
            </w:r>
            <w:r w:rsidRPr="00036CF3">
              <w:rPr>
                <w:rFonts w:ascii="Calibri" w:hAnsi="Calibri"/>
              </w:rPr>
              <w:t xml:space="preserve"> 2009)</w:t>
            </w:r>
          </w:p>
          <w:p w14:paraId="22B2D560" w14:textId="77777777" w:rsidR="00AE73AF" w:rsidRPr="00A3230D" w:rsidRDefault="00AE73AF" w:rsidP="00BA51FD">
            <w:pPr>
              <w:rPr>
                <w:rFonts w:ascii="Calibri" w:hAnsi="Calibri"/>
              </w:rPr>
            </w:pPr>
          </w:p>
          <w:p w14:paraId="41B079AD" w14:textId="77777777" w:rsidR="0044293E" w:rsidRPr="00457256" w:rsidRDefault="0044293E" w:rsidP="00C05D19">
            <w:pPr>
              <w:rPr>
                <w:rFonts w:ascii="Calibri" w:hAnsi="Calibri"/>
              </w:rPr>
            </w:pPr>
          </w:p>
        </w:tc>
      </w:tr>
    </w:tbl>
    <w:p w14:paraId="5BE5C355" w14:textId="77777777" w:rsidR="009771D1" w:rsidRDefault="009771D1">
      <w:pPr>
        <w:rPr>
          <w:rFonts w:ascii="Calibri" w:hAnsi="Calibri"/>
        </w:rPr>
      </w:pPr>
    </w:p>
    <w:p w14:paraId="188384CC" w14:textId="77777777" w:rsidR="00CC7233" w:rsidRPr="0018137D" w:rsidRDefault="009771D1">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D9226A" w:rsidRPr="00457256" w14:paraId="3E05F0AB" w14:textId="77777777">
        <w:tc>
          <w:tcPr>
            <w:tcW w:w="8522" w:type="dxa"/>
            <w:gridSpan w:val="3"/>
            <w:tcBorders>
              <w:top w:val="nil"/>
              <w:left w:val="nil"/>
              <w:bottom w:val="nil"/>
              <w:right w:val="nil"/>
            </w:tcBorders>
            <w:shd w:val="clear" w:color="auto" w:fill="FF6600"/>
          </w:tcPr>
          <w:p w14:paraId="088A55B0" w14:textId="77777777" w:rsidR="00D9226A" w:rsidRPr="00457256" w:rsidRDefault="00D9226A" w:rsidP="001D423C">
            <w:pPr>
              <w:pStyle w:val="Heading3"/>
              <w:rPr>
                <w:rFonts w:ascii="Calibri" w:hAnsi="Calibri"/>
              </w:rPr>
            </w:pPr>
            <w:bookmarkStart w:id="8" w:name="_Lacosamide"/>
            <w:bookmarkEnd w:id="8"/>
            <w:r w:rsidRPr="00457256">
              <w:rPr>
                <w:rFonts w:ascii="Calibri" w:hAnsi="Calibri"/>
              </w:rPr>
              <w:lastRenderedPageBreak/>
              <w:t>Lacosamide</w:t>
            </w:r>
          </w:p>
        </w:tc>
      </w:tr>
      <w:tr w:rsidR="00D9226A" w:rsidRPr="00457256" w14:paraId="51490791" w14:textId="77777777">
        <w:tc>
          <w:tcPr>
            <w:tcW w:w="8522" w:type="dxa"/>
            <w:gridSpan w:val="3"/>
            <w:tcBorders>
              <w:top w:val="nil"/>
            </w:tcBorders>
            <w:shd w:val="clear" w:color="auto" w:fill="000000"/>
          </w:tcPr>
          <w:p w14:paraId="04EE9EA6" w14:textId="77777777" w:rsidR="00D9226A" w:rsidRPr="00457256" w:rsidRDefault="00D9226A" w:rsidP="006E675F">
            <w:pPr>
              <w:rPr>
                <w:rFonts w:ascii="Calibri" w:hAnsi="Calibri"/>
              </w:rPr>
            </w:pPr>
          </w:p>
        </w:tc>
      </w:tr>
      <w:tr w:rsidR="00D9226A" w:rsidRPr="00457256" w14:paraId="7A055EBE" w14:textId="77777777">
        <w:tc>
          <w:tcPr>
            <w:tcW w:w="1908" w:type="dxa"/>
            <w:vMerge w:val="restart"/>
            <w:shd w:val="clear" w:color="auto" w:fill="auto"/>
            <w:vAlign w:val="center"/>
          </w:tcPr>
          <w:p w14:paraId="79B42787" w14:textId="77777777" w:rsidR="00D9226A" w:rsidRPr="00457256" w:rsidRDefault="00D9226A" w:rsidP="006E675F">
            <w:pPr>
              <w:rPr>
                <w:rFonts w:ascii="Calibri" w:hAnsi="Calibri"/>
              </w:rPr>
            </w:pPr>
            <w:r w:rsidRPr="00457256">
              <w:rPr>
                <w:rFonts w:ascii="Calibri" w:hAnsi="Calibri"/>
              </w:rPr>
              <w:t>Forms available</w:t>
            </w:r>
          </w:p>
        </w:tc>
        <w:tc>
          <w:tcPr>
            <w:tcW w:w="2700" w:type="dxa"/>
            <w:shd w:val="clear" w:color="auto" w:fill="auto"/>
          </w:tcPr>
          <w:p w14:paraId="0F5D6ECA" w14:textId="77777777" w:rsidR="00D9226A" w:rsidRPr="00457256" w:rsidRDefault="00D9226A" w:rsidP="006E675F">
            <w:pPr>
              <w:rPr>
                <w:rFonts w:ascii="Calibri" w:hAnsi="Calibri"/>
              </w:rPr>
            </w:pPr>
            <w:r w:rsidRPr="00457256">
              <w:rPr>
                <w:rFonts w:ascii="Calibri" w:hAnsi="Calibri"/>
              </w:rPr>
              <w:t>Intravenous infusion</w:t>
            </w:r>
          </w:p>
        </w:tc>
        <w:tc>
          <w:tcPr>
            <w:tcW w:w="3914" w:type="dxa"/>
            <w:shd w:val="clear" w:color="auto" w:fill="auto"/>
          </w:tcPr>
          <w:p w14:paraId="0E7001E5" w14:textId="77777777" w:rsidR="00D9226A" w:rsidRPr="00457256" w:rsidRDefault="00D9226A" w:rsidP="006E675F">
            <w:pPr>
              <w:rPr>
                <w:rFonts w:ascii="Calibri" w:hAnsi="Calibri"/>
              </w:rPr>
            </w:pPr>
            <w:r w:rsidRPr="00457256">
              <w:rPr>
                <w:rFonts w:ascii="Calibri" w:hAnsi="Calibri"/>
              </w:rPr>
              <w:t>10mg/ml (20ml)</w:t>
            </w:r>
          </w:p>
        </w:tc>
      </w:tr>
      <w:tr w:rsidR="00D9226A" w:rsidRPr="00457256" w14:paraId="67AA72CD" w14:textId="77777777">
        <w:tc>
          <w:tcPr>
            <w:tcW w:w="1908" w:type="dxa"/>
            <w:vMerge/>
            <w:shd w:val="clear" w:color="auto" w:fill="auto"/>
          </w:tcPr>
          <w:p w14:paraId="3B1093D6" w14:textId="77777777" w:rsidR="00D9226A" w:rsidRPr="00457256" w:rsidRDefault="00D9226A" w:rsidP="006E675F">
            <w:pPr>
              <w:rPr>
                <w:rFonts w:ascii="Calibri" w:hAnsi="Calibri"/>
              </w:rPr>
            </w:pPr>
          </w:p>
        </w:tc>
        <w:tc>
          <w:tcPr>
            <w:tcW w:w="2700" w:type="dxa"/>
            <w:shd w:val="clear" w:color="auto" w:fill="auto"/>
          </w:tcPr>
          <w:p w14:paraId="0604597A" w14:textId="77777777" w:rsidR="00D9226A" w:rsidRPr="00457256" w:rsidRDefault="00D9226A" w:rsidP="006E675F">
            <w:pPr>
              <w:rPr>
                <w:rFonts w:ascii="Calibri" w:hAnsi="Calibri"/>
              </w:rPr>
            </w:pPr>
            <w:r w:rsidRPr="00457256">
              <w:rPr>
                <w:rFonts w:ascii="Calibri" w:hAnsi="Calibri"/>
              </w:rPr>
              <w:t>Syrup</w:t>
            </w:r>
          </w:p>
        </w:tc>
        <w:tc>
          <w:tcPr>
            <w:tcW w:w="3914" w:type="dxa"/>
            <w:shd w:val="clear" w:color="auto" w:fill="auto"/>
          </w:tcPr>
          <w:p w14:paraId="6FE963E6" w14:textId="5920C6C8" w:rsidR="00D9226A" w:rsidRPr="00457256" w:rsidRDefault="001B394F" w:rsidP="006E675F">
            <w:pPr>
              <w:rPr>
                <w:rFonts w:ascii="Calibri" w:hAnsi="Calibri"/>
              </w:rPr>
            </w:pPr>
            <w:r>
              <w:rPr>
                <w:rFonts w:ascii="Calibri" w:hAnsi="Calibri"/>
              </w:rPr>
              <w:t>10mg/ml</w:t>
            </w:r>
          </w:p>
        </w:tc>
      </w:tr>
      <w:tr w:rsidR="00D9226A" w:rsidRPr="00457256" w14:paraId="27828736" w14:textId="77777777">
        <w:tc>
          <w:tcPr>
            <w:tcW w:w="1908" w:type="dxa"/>
            <w:vMerge/>
            <w:shd w:val="clear" w:color="auto" w:fill="auto"/>
          </w:tcPr>
          <w:p w14:paraId="1103133E" w14:textId="77777777" w:rsidR="00D9226A" w:rsidRPr="00457256" w:rsidRDefault="00D9226A" w:rsidP="006E675F">
            <w:pPr>
              <w:rPr>
                <w:rFonts w:ascii="Calibri" w:hAnsi="Calibri"/>
              </w:rPr>
            </w:pPr>
          </w:p>
        </w:tc>
        <w:tc>
          <w:tcPr>
            <w:tcW w:w="2700" w:type="dxa"/>
            <w:shd w:val="clear" w:color="auto" w:fill="auto"/>
          </w:tcPr>
          <w:p w14:paraId="3E05F329" w14:textId="77777777" w:rsidR="00D9226A" w:rsidRPr="00457256" w:rsidRDefault="00D9226A" w:rsidP="006E675F">
            <w:pPr>
              <w:rPr>
                <w:rFonts w:ascii="Calibri" w:hAnsi="Calibri"/>
              </w:rPr>
            </w:pPr>
            <w:r w:rsidRPr="00457256">
              <w:rPr>
                <w:rFonts w:ascii="Calibri" w:hAnsi="Calibri"/>
              </w:rPr>
              <w:t>Tablets</w:t>
            </w:r>
          </w:p>
        </w:tc>
        <w:tc>
          <w:tcPr>
            <w:tcW w:w="3914" w:type="dxa"/>
            <w:shd w:val="clear" w:color="auto" w:fill="auto"/>
          </w:tcPr>
          <w:p w14:paraId="054E4A3C" w14:textId="77777777" w:rsidR="00D9226A" w:rsidRPr="00457256" w:rsidRDefault="00D9226A" w:rsidP="006E675F">
            <w:pPr>
              <w:rPr>
                <w:rFonts w:ascii="Calibri" w:hAnsi="Calibri"/>
              </w:rPr>
            </w:pPr>
            <w:r w:rsidRPr="00457256">
              <w:rPr>
                <w:rFonts w:ascii="Calibri" w:hAnsi="Calibri"/>
              </w:rPr>
              <w:t>50mg, 100mg, 150mg, 200mg</w:t>
            </w:r>
          </w:p>
        </w:tc>
      </w:tr>
      <w:tr w:rsidR="00D9226A" w:rsidRPr="00457256" w14:paraId="367C5B53" w14:textId="77777777">
        <w:tc>
          <w:tcPr>
            <w:tcW w:w="1908" w:type="dxa"/>
            <w:shd w:val="clear" w:color="auto" w:fill="auto"/>
          </w:tcPr>
          <w:p w14:paraId="5589EAEC" w14:textId="77777777" w:rsidR="00D9226A" w:rsidRPr="00457256" w:rsidRDefault="00D9226A" w:rsidP="006E675F">
            <w:pPr>
              <w:rPr>
                <w:rFonts w:ascii="Calibri" w:hAnsi="Calibri"/>
              </w:rPr>
            </w:pPr>
            <w:r w:rsidRPr="00457256">
              <w:rPr>
                <w:rFonts w:ascii="Calibri" w:hAnsi="Calibri"/>
              </w:rPr>
              <w:t>Brands available</w:t>
            </w:r>
          </w:p>
        </w:tc>
        <w:tc>
          <w:tcPr>
            <w:tcW w:w="6614" w:type="dxa"/>
            <w:gridSpan w:val="2"/>
            <w:shd w:val="clear" w:color="auto" w:fill="auto"/>
          </w:tcPr>
          <w:p w14:paraId="27064471" w14:textId="77777777" w:rsidR="00D9226A" w:rsidRPr="00457256" w:rsidRDefault="00D9226A" w:rsidP="006E675F">
            <w:pPr>
              <w:rPr>
                <w:rFonts w:ascii="Calibri" w:hAnsi="Calibri"/>
              </w:rPr>
            </w:pPr>
            <w:r w:rsidRPr="00457256">
              <w:rPr>
                <w:rFonts w:ascii="Calibri" w:hAnsi="Calibri"/>
              </w:rPr>
              <w:t xml:space="preserve">Non-proprietary, </w:t>
            </w:r>
            <w:r w:rsidR="00764490" w:rsidRPr="00457256">
              <w:rPr>
                <w:rFonts w:ascii="Calibri" w:hAnsi="Calibri"/>
              </w:rPr>
              <w:t>Vimpat</w:t>
            </w:r>
          </w:p>
        </w:tc>
      </w:tr>
      <w:tr w:rsidR="00D9226A" w:rsidRPr="00457256" w14:paraId="2CA9A0E0" w14:textId="77777777">
        <w:tc>
          <w:tcPr>
            <w:tcW w:w="8522" w:type="dxa"/>
            <w:gridSpan w:val="3"/>
            <w:shd w:val="clear" w:color="auto" w:fill="FF6600"/>
          </w:tcPr>
          <w:p w14:paraId="5BC84270"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51984C4F" w14:textId="77777777">
        <w:tc>
          <w:tcPr>
            <w:tcW w:w="8522" w:type="dxa"/>
            <w:gridSpan w:val="3"/>
            <w:shd w:val="clear" w:color="auto" w:fill="auto"/>
          </w:tcPr>
          <w:p w14:paraId="028D7138" w14:textId="19053E5F" w:rsidR="00E3066E" w:rsidRPr="009771D1" w:rsidRDefault="00E3066E" w:rsidP="00236351">
            <w:pPr>
              <w:ind w:left="360"/>
              <w:jc w:val="both"/>
              <w:rPr>
                <w:rFonts w:ascii="Calibri" w:hAnsi="Calibri"/>
              </w:rPr>
            </w:pPr>
            <w:r w:rsidRPr="009771D1">
              <w:rPr>
                <w:rFonts w:ascii="Calibri" w:hAnsi="Calibri"/>
              </w:rPr>
              <w:t>These recommendations should not be used without consulting the ‘principles f</w:t>
            </w:r>
            <w:r w:rsidR="00AE3C0F">
              <w:rPr>
                <w:rFonts w:ascii="Calibri" w:hAnsi="Calibri"/>
              </w:rPr>
              <w:t xml:space="preserve">or switching’ section on page </w:t>
            </w:r>
            <w:r w:rsidR="00281BB5">
              <w:rPr>
                <w:rFonts w:ascii="Calibri" w:hAnsi="Calibri"/>
              </w:rPr>
              <w:t>10</w:t>
            </w:r>
            <w:r w:rsidR="009771D1" w:rsidRPr="009771D1">
              <w:rPr>
                <w:rFonts w:ascii="Calibri" w:hAnsi="Calibri"/>
              </w:rPr>
              <w:t>.</w:t>
            </w:r>
          </w:p>
          <w:p w14:paraId="073D1B88" w14:textId="77777777" w:rsidR="00D9226A" w:rsidRPr="003307EB" w:rsidRDefault="00824220" w:rsidP="00236351">
            <w:pPr>
              <w:numPr>
                <w:ilvl w:val="0"/>
                <w:numId w:val="8"/>
              </w:numPr>
              <w:jc w:val="both"/>
              <w:rPr>
                <w:rFonts w:ascii="Calibri" w:hAnsi="Calibri"/>
              </w:rPr>
            </w:pPr>
            <w:r w:rsidRPr="009771D1">
              <w:rPr>
                <w:rFonts w:ascii="Calibri" w:hAnsi="Calibri" w:cs="Courier New"/>
              </w:rPr>
              <w:t>There are no specific data to sugges</w:t>
            </w:r>
            <w:r w:rsidR="00B00B53" w:rsidRPr="009771D1">
              <w:rPr>
                <w:rFonts w:ascii="Calibri" w:hAnsi="Calibri" w:cs="Courier New"/>
              </w:rPr>
              <w:t>t that switching causes</w:t>
            </w:r>
            <w:r w:rsidRPr="009771D1">
              <w:rPr>
                <w:rFonts w:ascii="Calibri" w:hAnsi="Calibri" w:cs="Courier New"/>
              </w:rPr>
              <w:t xml:space="preserve"> problems in clinical</w:t>
            </w:r>
            <w:r w:rsidRPr="00824220">
              <w:rPr>
                <w:rFonts w:ascii="Calibri" w:hAnsi="Calibri" w:cs="Courier New"/>
              </w:rPr>
              <w:t xml:space="preserve"> practice.  In these circumstances it seems reasonable to allow switching for most patients</w:t>
            </w:r>
            <w:r w:rsidR="003307EB">
              <w:rPr>
                <w:rFonts w:ascii="Calibri" w:hAnsi="Calibri" w:cs="Courier New"/>
              </w:rPr>
              <w:t>.</w:t>
            </w:r>
          </w:p>
          <w:p w14:paraId="4E55EE00" w14:textId="77777777" w:rsidR="003307EB" w:rsidRPr="00D31E3F" w:rsidRDefault="003307EB" w:rsidP="003307EB">
            <w:pPr>
              <w:ind w:left="360"/>
              <w:rPr>
                <w:rFonts w:ascii="Calibri" w:hAnsi="Calibri"/>
              </w:rPr>
            </w:pPr>
          </w:p>
        </w:tc>
      </w:tr>
      <w:tr w:rsidR="00D9226A" w:rsidRPr="00457256" w14:paraId="510EA5A2" w14:textId="77777777">
        <w:tc>
          <w:tcPr>
            <w:tcW w:w="8522" w:type="dxa"/>
            <w:gridSpan w:val="3"/>
            <w:shd w:val="clear" w:color="auto" w:fill="FF6600"/>
          </w:tcPr>
          <w:p w14:paraId="5AB446D8" w14:textId="77777777" w:rsidR="00D9226A" w:rsidRPr="00457256" w:rsidRDefault="00D9226A" w:rsidP="006E675F">
            <w:pPr>
              <w:rPr>
                <w:rFonts w:ascii="Calibri" w:hAnsi="Calibri"/>
              </w:rPr>
            </w:pPr>
            <w:r w:rsidRPr="00457256">
              <w:rPr>
                <w:rFonts w:ascii="Calibri" w:hAnsi="Calibri"/>
              </w:rPr>
              <w:t>Rationale</w:t>
            </w:r>
          </w:p>
        </w:tc>
      </w:tr>
      <w:tr w:rsidR="00D9226A" w:rsidRPr="00457256" w14:paraId="4BC6EFED" w14:textId="77777777">
        <w:tc>
          <w:tcPr>
            <w:tcW w:w="8522" w:type="dxa"/>
            <w:gridSpan w:val="3"/>
            <w:shd w:val="clear" w:color="auto" w:fill="auto"/>
          </w:tcPr>
          <w:p w14:paraId="39F51789" w14:textId="6461AE55" w:rsidR="00AC47C9" w:rsidRDefault="00AC47C9" w:rsidP="006E675F">
            <w:pPr>
              <w:rPr>
                <w:rFonts w:ascii="Calibri" w:hAnsi="Calibri"/>
              </w:rPr>
            </w:pPr>
          </w:p>
          <w:p w14:paraId="04DBC719" w14:textId="77777777" w:rsidR="00A21511" w:rsidRDefault="00A21511" w:rsidP="006303B2">
            <w:pPr>
              <w:jc w:val="both"/>
              <w:rPr>
                <w:rFonts w:ascii="Calibri" w:hAnsi="Calibri"/>
              </w:rPr>
            </w:pPr>
            <w:r w:rsidRPr="00265D6C">
              <w:rPr>
                <w:rFonts w:ascii="Calibri" w:hAnsi="Calibri"/>
                <w:b/>
                <w:bCs/>
              </w:rPr>
              <w:t>MHRA-Category 3</w:t>
            </w:r>
            <w:r>
              <w:rPr>
                <w:rFonts w:ascii="Calibri" w:hAnsi="Calibri"/>
              </w:rPr>
              <w:t xml:space="preserve">: The potential for clinically relevant differences to exist between different manufacturers’ products is considered to be extremely low.  However, consider other patient/carer-related factors, such as negative perceptions about alternative products and/or issues related to the patient. </w:t>
            </w:r>
          </w:p>
          <w:p w14:paraId="1269EDFD" w14:textId="77777777" w:rsidR="00A21511" w:rsidRDefault="00A21511" w:rsidP="006303B2">
            <w:pPr>
              <w:jc w:val="both"/>
              <w:rPr>
                <w:rFonts w:ascii="Calibri" w:hAnsi="Calibri"/>
              </w:rPr>
            </w:pPr>
          </w:p>
          <w:p w14:paraId="0A94BAE4" w14:textId="77777777" w:rsidR="00AC47C9" w:rsidRPr="00AE3C0F" w:rsidRDefault="00AC47C9" w:rsidP="00236351">
            <w:pPr>
              <w:jc w:val="both"/>
              <w:rPr>
                <w:rFonts w:ascii="Calibri" w:hAnsi="Calibri"/>
              </w:rPr>
            </w:pPr>
            <w:r w:rsidRPr="00F94D01">
              <w:rPr>
                <w:rFonts w:ascii="Calibri" w:hAnsi="Calibri"/>
                <w:b/>
              </w:rPr>
              <w:t>Half Life</w:t>
            </w:r>
            <w:r w:rsidR="003F7119">
              <w:rPr>
                <w:rFonts w:ascii="Calibri" w:hAnsi="Calibri"/>
              </w:rPr>
              <w:t>:</w:t>
            </w:r>
            <w:r w:rsidR="00B14945">
              <w:rPr>
                <w:rFonts w:ascii="Calibri" w:hAnsi="Calibri"/>
              </w:rPr>
              <w:t xml:space="preserve"> Lacosamide adults:</w:t>
            </w:r>
            <w:r w:rsidR="00F94D01">
              <w:rPr>
                <w:rFonts w:ascii="Calibri" w:hAnsi="Calibri"/>
              </w:rPr>
              <w:t xml:space="preserve"> 13 hours. </w:t>
            </w:r>
            <w:r w:rsidR="00F94D01" w:rsidRPr="00AE3C0F">
              <w:rPr>
                <w:rFonts w:ascii="Calibri" w:hAnsi="Calibri"/>
              </w:rPr>
              <w:t>(Micromedex 2012)</w:t>
            </w:r>
          </w:p>
          <w:p w14:paraId="06D26152" w14:textId="77777777" w:rsidR="008E1F8F" w:rsidRPr="006D2965" w:rsidRDefault="008E1F8F" w:rsidP="00236351">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w:t>
            </w:r>
            <w:r>
              <w:rPr>
                <w:rFonts w:ascii="Calibri" w:hAnsi="Calibri" w:cs="Arial"/>
              </w:rPr>
              <w:t xml:space="preserve"> No data</w:t>
            </w:r>
            <w:r w:rsidR="003B00B5">
              <w:rPr>
                <w:rFonts w:ascii="Calibri" w:hAnsi="Calibri" w:cs="Arial"/>
              </w:rPr>
              <w:t>.</w:t>
            </w:r>
          </w:p>
          <w:p w14:paraId="4FEC4BDF" w14:textId="77777777" w:rsidR="008E1F8F" w:rsidRPr="00AE3C0F" w:rsidRDefault="008E1F8F" w:rsidP="00236351">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 </w:t>
            </w:r>
          </w:p>
          <w:p w14:paraId="372795FC" w14:textId="77777777" w:rsidR="00AC47C9" w:rsidRDefault="00AC47C9" w:rsidP="00236351">
            <w:pPr>
              <w:jc w:val="both"/>
              <w:rPr>
                <w:rFonts w:ascii="Calibri" w:hAnsi="Calibri"/>
              </w:rPr>
            </w:pPr>
          </w:p>
          <w:p w14:paraId="04B1B493" w14:textId="77777777" w:rsidR="00A6361A" w:rsidRPr="00457256" w:rsidRDefault="00A6361A" w:rsidP="00236351">
            <w:pPr>
              <w:jc w:val="both"/>
              <w:rPr>
                <w:rFonts w:ascii="Calibri" w:hAnsi="Calibri"/>
              </w:rPr>
            </w:pPr>
            <w:r w:rsidRPr="00457256">
              <w:rPr>
                <w:rFonts w:ascii="Calibri" w:hAnsi="Calibri"/>
              </w:rPr>
              <w:t>A literature search retrieved no relevant studies.</w:t>
            </w:r>
          </w:p>
          <w:p w14:paraId="30691E94" w14:textId="77777777" w:rsidR="00A6361A" w:rsidRPr="00457256" w:rsidRDefault="00A6361A" w:rsidP="006E675F">
            <w:pPr>
              <w:rPr>
                <w:rFonts w:ascii="Calibri" w:hAnsi="Calibri"/>
              </w:rPr>
            </w:pPr>
          </w:p>
        </w:tc>
      </w:tr>
    </w:tbl>
    <w:p w14:paraId="29EF40F9" w14:textId="77777777" w:rsidR="00D9226A" w:rsidRPr="0018137D" w:rsidRDefault="00D9226A">
      <w:pPr>
        <w:rPr>
          <w:rFonts w:ascii="Calibri" w:hAnsi="Calibri"/>
        </w:rPr>
      </w:pPr>
    </w:p>
    <w:p w14:paraId="5A9C5D2F" w14:textId="77777777" w:rsidR="00D9226A" w:rsidRPr="0018137D" w:rsidRDefault="00804FC9">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2642"/>
        <w:gridCol w:w="3794"/>
      </w:tblGrid>
      <w:tr w:rsidR="00CC7233" w:rsidRPr="00457256" w14:paraId="5DAFBBAE" w14:textId="77777777" w:rsidTr="005772A8">
        <w:tc>
          <w:tcPr>
            <w:tcW w:w="8306" w:type="dxa"/>
            <w:gridSpan w:val="3"/>
            <w:tcBorders>
              <w:top w:val="nil"/>
              <w:left w:val="nil"/>
              <w:bottom w:val="nil"/>
              <w:right w:val="nil"/>
            </w:tcBorders>
            <w:shd w:val="clear" w:color="auto" w:fill="FF6600"/>
          </w:tcPr>
          <w:p w14:paraId="3BAFADEA" w14:textId="77777777" w:rsidR="00CC7233" w:rsidRPr="00457256" w:rsidRDefault="00CC7233" w:rsidP="001D423C">
            <w:pPr>
              <w:pStyle w:val="Heading3"/>
              <w:rPr>
                <w:rFonts w:ascii="Calibri" w:hAnsi="Calibri"/>
              </w:rPr>
            </w:pPr>
            <w:bookmarkStart w:id="9" w:name="_Lamotrigine"/>
            <w:bookmarkEnd w:id="9"/>
            <w:r w:rsidRPr="00457256">
              <w:rPr>
                <w:rFonts w:ascii="Calibri" w:hAnsi="Calibri"/>
              </w:rPr>
              <w:lastRenderedPageBreak/>
              <w:t>Lamotrigine</w:t>
            </w:r>
          </w:p>
        </w:tc>
      </w:tr>
      <w:tr w:rsidR="00CC7233" w:rsidRPr="00457256" w14:paraId="1058712C" w14:textId="77777777" w:rsidTr="005772A8">
        <w:tc>
          <w:tcPr>
            <w:tcW w:w="8306" w:type="dxa"/>
            <w:gridSpan w:val="3"/>
            <w:tcBorders>
              <w:top w:val="nil"/>
            </w:tcBorders>
            <w:shd w:val="clear" w:color="auto" w:fill="000000"/>
          </w:tcPr>
          <w:p w14:paraId="39BFDB9A" w14:textId="77777777" w:rsidR="00CC7233" w:rsidRPr="00457256" w:rsidRDefault="00CC7233" w:rsidP="006E675F">
            <w:pPr>
              <w:rPr>
                <w:rFonts w:ascii="Calibri" w:hAnsi="Calibri"/>
              </w:rPr>
            </w:pPr>
          </w:p>
        </w:tc>
      </w:tr>
      <w:tr w:rsidR="00CC7233" w:rsidRPr="00457256" w14:paraId="6504A799" w14:textId="77777777" w:rsidTr="005772A8">
        <w:tc>
          <w:tcPr>
            <w:tcW w:w="1873" w:type="dxa"/>
            <w:vMerge w:val="restart"/>
            <w:shd w:val="clear" w:color="auto" w:fill="auto"/>
            <w:vAlign w:val="center"/>
          </w:tcPr>
          <w:p w14:paraId="2BFA70BD" w14:textId="77777777" w:rsidR="00CC7233" w:rsidRPr="00457256" w:rsidRDefault="00CC7233" w:rsidP="006E675F">
            <w:pPr>
              <w:rPr>
                <w:rFonts w:ascii="Calibri" w:hAnsi="Calibri"/>
              </w:rPr>
            </w:pPr>
            <w:r w:rsidRPr="00457256">
              <w:rPr>
                <w:rFonts w:ascii="Calibri" w:hAnsi="Calibri"/>
              </w:rPr>
              <w:t>Forms available</w:t>
            </w:r>
          </w:p>
        </w:tc>
        <w:tc>
          <w:tcPr>
            <w:tcW w:w="2642" w:type="dxa"/>
            <w:shd w:val="clear" w:color="auto" w:fill="auto"/>
          </w:tcPr>
          <w:p w14:paraId="41C3CEA3" w14:textId="77777777" w:rsidR="00CC7233" w:rsidRPr="00457256" w:rsidRDefault="00764490" w:rsidP="006E675F">
            <w:pPr>
              <w:rPr>
                <w:rFonts w:ascii="Calibri" w:hAnsi="Calibri"/>
              </w:rPr>
            </w:pPr>
            <w:r w:rsidRPr="00457256">
              <w:rPr>
                <w:rFonts w:ascii="Calibri" w:hAnsi="Calibri"/>
              </w:rPr>
              <w:t>Dispersib</w:t>
            </w:r>
            <w:r w:rsidR="00CC7233" w:rsidRPr="00457256">
              <w:rPr>
                <w:rFonts w:ascii="Calibri" w:hAnsi="Calibri"/>
              </w:rPr>
              <w:t>le tablets</w:t>
            </w:r>
          </w:p>
        </w:tc>
        <w:tc>
          <w:tcPr>
            <w:tcW w:w="3791" w:type="dxa"/>
            <w:shd w:val="clear" w:color="auto" w:fill="auto"/>
          </w:tcPr>
          <w:p w14:paraId="0FDB241A" w14:textId="77777777" w:rsidR="00CC7233" w:rsidRPr="00457256" w:rsidRDefault="00764490" w:rsidP="006E675F">
            <w:pPr>
              <w:rPr>
                <w:rFonts w:ascii="Calibri" w:hAnsi="Calibri"/>
              </w:rPr>
            </w:pPr>
            <w:r w:rsidRPr="00457256">
              <w:rPr>
                <w:rFonts w:ascii="Calibri" w:hAnsi="Calibri"/>
              </w:rPr>
              <w:t>5mg, 25mg, 100mg</w:t>
            </w:r>
          </w:p>
        </w:tc>
      </w:tr>
      <w:tr w:rsidR="00CC7233" w:rsidRPr="00457256" w14:paraId="57A273E9" w14:textId="77777777" w:rsidTr="005772A8">
        <w:tc>
          <w:tcPr>
            <w:tcW w:w="1873" w:type="dxa"/>
            <w:vMerge/>
            <w:shd w:val="clear" w:color="auto" w:fill="auto"/>
          </w:tcPr>
          <w:p w14:paraId="7E9E9496" w14:textId="77777777" w:rsidR="00CC7233" w:rsidRPr="00457256" w:rsidRDefault="00CC7233" w:rsidP="006E675F">
            <w:pPr>
              <w:rPr>
                <w:rFonts w:ascii="Calibri" w:hAnsi="Calibri"/>
              </w:rPr>
            </w:pPr>
          </w:p>
        </w:tc>
        <w:tc>
          <w:tcPr>
            <w:tcW w:w="2642" w:type="dxa"/>
            <w:shd w:val="clear" w:color="auto" w:fill="auto"/>
          </w:tcPr>
          <w:p w14:paraId="24B72FF0" w14:textId="77777777" w:rsidR="00CC7233" w:rsidRPr="00457256" w:rsidRDefault="00CC7233" w:rsidP="006E675F">
            <w:pPr>
              <w:rPr>
                <w:rFonts w:ascii="Calibri" w:hAnsi="Calibri"/>
              </w:rPr>
            </w:pPr>
            <w:r w:rsidRPr="00457256">
              <w:rPr>
                <w:rFonts w:ascii="Calibri" w:hAnsi="Calibri"/>
              </w:rPr>
              <w:t>Tablets</w:t>
            </w:r>
          </w:p>
        </w:tc>
        <w:tc>
          <w:tcPr>
            <w:tcW w:w="3791" w:type="dxa"/>
            <w:shd w:val="clear" w:color="auto" w:fill="auto"/>
          </w:tcPr>
          <w:p w14:paraId="22B6BDF7" w14:textId="77777777" w:rsidR="00CC7233" w:rsidRPr="00457256" w:rsidRDefault="00764490" w:rsidP="006E675F">
            <w:pPr>
              <w:rPr>
                <w:rFonts w:ascii="Calibri" w:hAnsi="Calibri"/>
              </w:rPr>
            </w:pPr>
            <w:r w:rsidRPr="00457256">
              <w:rPr>
                <w:rFonts w:ascii="Calibri" w:hAnsi="Calibri"/>
              </w:rPr>
              <w:t>25mg, 50mg, 100mg, 200mg</w:t>
            </w:r>
          </w:p>
        </w:tc>
      </w:tr>
      <w:tr w:rsidR="008E1F8F" w:rsidRPr="00457256" w14:paraId="1297E9F7" w14:textId="77777777" w:rsidTr="005772A8">
        <w:tc>
          <w:tcPr>
            <w:tcW w:w="1873" w:type="dxa"/>
            <w:shd w:val="clear" w:color="auto" w:fill="auto"/>
          </w:tcPr>
          <w:p w14:paraId="0E45A0EB" w14:textId="77777777" w:rsidR="008E1F8F" w:rsidRPr="00457256" w:rsidRDefault="008E1F8F" w:rsidP="006E675F">
            <w:pPr>
              <w:rPr>
                <w:rFonts w:ascii="Calibri" w:hAnsi="Calibri"/>
              </w:rPr>
            </w:pPr>
            <w:r w:rsidRPr="006A6FE8">
              <w:rPr>
                <w:rFonts w:ascii="Calibri" w:hAnsi="Calibri"/>
              </w:rPr>
              <w:t>Brands available</w:t>
            </w:r>
          </w:p>
        </w:tc>
        <w:tc>
          <w:tcPr>
            <w:tcW w:w="6433" w:type="dxa"/>
            <w:gridSpan w:val="2"/>
            <w:shd w:val="clear" w:color="auto" w:fill="auto"/>
          </w:tcPr>
          <w:p w14:paraId="203B00BC" w14:textId="77777777" w:rsidR="008E1F8F" w:rsidRPr="00457256" w:rsidRDefault="006A6FE8" w:rsidP="006E675F">
            <w:pPr>
              <w:rPr>
                <w:rFonts w:ascii="Calibri" w:hAnsi="Calibri"/>
              </w:rPr>
            </w:pPr>
            <w:r>
              <w:rPr>
                <w:rFonts w:ascii="Calibri" w:hAnsi="Calibri"/>
              </w:rPr>
              <w:t>Non-Proprietary, Lamictal</w:t>
            </w:r>
          </w:p>
        </w:tc>
      </w:tr>
      <w:tr w:rsidR="00CC7233" w:rsidRPr="00457256" w14:paraId="776AAE76" w14:textId="77777777" w:rsidTr="005772A8">
        <w:tc>
          <w:tcPr>
            <w:tcW w:w="8306" w:type="dxa"/>
            <w:gridSpan w:val="3"/>
            <w:shd w:val="clear" w:color="auto" w:fill="FF6600"/>
          </w:tcPr>
          <w:p w14:paraId="68F76F03" w14:textId="77777777" w:rsidR="00CC7233" w:rsidRPr="00457256" w:rsidRDefault="00CC7233" w:rsidP="006E675F">
            <w:pPr>
              <w:rPr>
                <w:rFonts w:ascii="Calibri" w:hAnsi="Calibri"/>
              </w:rPr>
            </w:pPr>
            <w:r w:rsidRPr="00457256">
              <w:rPr>
                <w:rFonts w:ascii="Calibri" w:hAnsi="Calibri"/>
              </w:rPr>
              <w:t>Recommendation</w:t>
            </w:r>
          </w:p>
        </w:tc>
      </w:tr>
      <w:tr w:rsidR="00CC7233" w:rsidRPr="00457256" w14:paraId="4F5CD796" w14:textId="77777777" w:rsidTr="005772A8">
        <w:tc>
          <w:tcPr>
            <w:tcW w:w="8306" w:type="dxa"/>
            <w:gridSpan w:val="3"/>
            <w:shd w:val="clear" w:color="auto" w:fill="auto"/>
          </w:tcPr>
          <w:p w14:paraId="52B3E60B" w14:textId="7FA08C0F" w:rsidR="00E3066E" w:rsidRPr="00804FC9" w:rsidRDefault="00E3066E" w:rsidP="00236351">
            <w:pPr>
              <w:ind w:left="360"/>
              <w:jc w:val="both"/>
              <w:rPr>
                <w:rFonts w:ascii="Calibri" w:hAnsi="Calibri"/>
              </w:rPr>
            </w:pPr>
            <w:r w:rsidRPr="00804FC9">
              <w:rPr>
                <w:rFonts w:ascii="Calibri" w:hAnsi="Calibri"/>
              </w:rPr>
              <w:t>These recommendations should not be used without consulting the ‘principles f</w:t>
            </w:r>
            <w:r w:rsidR="00AE3C0F">
              <w:rPr>
                <w:rFonts w:ascii="Calibri" w:hAnsi="Calibri"/>
              </w:rPr>
              <w:t xml:space="preserve">or switching’ section on page </w:t>
            </w:r>
            <w:r w:rsidR="00281BB5">
              <w:rPr>
                <w:rFonts w:ascii="Calibri" w:hAnsi="Calibri"/>
              </w:rPr>
              <w:t>10</w:t>
            </w:r>
            <w:r w:rsidR="00804FC9" w:rsidRPr="00804FC9">
              <w:rPr>
                <w:rFonts w:ascii="Calibri" w:hAnsi="Calibri"/>
              </w:rPr>
              <w:t>.</w:t>
            </w:r>
          </w:p>
          <w:p w14:paraId="5A8D1387" w14:textId="77777777" w:rsidR="00D31E3F" w:rsidRPr="00804FC9" w:rsidRDefault="00D31E3F" w:rsidP="00236351">
            <w:pPr>
              <w:numPr>
                <w:ilvl w:val="0"/>
                <w:numId w:val="8"/>
              </w:numPr>
              <w:jc w:val="both"/>
              <w:rPr>
                <w:rFonts w:ascii="Calibri" w:hAnsi="Calibri"/>
              </w:rPr>
            </w:pPr>
            <w:r w:rsidRPr="00804FC9">
              <w:rPr>
                <w:rFonts w:ascii="Calibri" w:hAnsi="Calibri"/>
              </w:rPr>
              <w:t>There is a lot of evidence to support switching and some countries have mandatory switching programmes.</w:t>
            </w:r>
          </w:p>
          <w:p w14:paraId="71331295" w14:textId="6E2F611F" w:rsidR="00D31E3F" w:rsidRPr="00D31E3F" w:rsidRDefault="00D31E3F" w:rsidP="00A04412">
            <w:pPr>
              <w:ind w:left="720"/>
              <w:jc w:val="both"/>
              <w:rPr>
                <w:rFonts w:ascii="Calibri" w:hAnsi="Calibri"/>
              </w:rPr>
            </w:pPr>
            <w:r w:rsidRPr="00AE3C0F">
              <w:rPr>
                <w:rFonts w:ascii="Calibri" w:hAnsi="Calibri"/>
              </w:rPr>
              <w:br/>
            </w:r>
          </w:p>
        </w:tc>
      </w:tr>
      <w:tr w:rsidR="00CC7233" w:rsidRPr="00457256" w14:paraId="7B908452" w14:textId="77777777" w:rsidTr="005772A8">
        <w:tc>
          <w:tcPr>
            <w:tcW w:w="8306" w:type="dxa"/>
            <w:gridSpan w:val="3"/>
            <w:shd w:val="clear" w:color="auto" w:fill="FF6600"/>
          </w:tcPr>
          <w:p w14:paraId="37C78044" w14:textId="77777777" w:rsidR="00CC7233" w:rsidRPr="00457256" w:rsidRDefault="00CC7233" w:rsidP="006E675F">
            <w:pPr>
              <w:rPr>
                <w:rFonts w:ascii="Calibri" w:hAnsi="Calibri"/>
              </w:rPr>
            </w:pPr>
            <w:r w:rsidRPr="00457256">
              <w:rPr>
                <w:rFonts w:ascii="Calibri" w:hAnsi="Calibri"/>
              </w:rPr>
              <w:t>Rationale</w:t>
            </w:r>
          </w:p>
        </w:tc>
      </w:tr>
      <w:tr w:rsidR="00CC7233" w:rsidRPr="00457256" w14:paraId="49F5B718" w14:textId="77777777" w:rsidTr="005772A8">
        <w:tc>
          <w:tcPr>
            <w:tcW w:w="8306" w:type="dxa"/>
            <w:gridSpan w:val="3"/>
            <w:shd w:val="clear" w:color="auto" w:fill="auto"/>
          </w:tcPr>
          <w:p w14:paraId="723132E6" w14:textId="612A4B5F" w:rsidR="00DA1291" w:rsidRDefault="00DA1291" w:rsidP="006303B2">
            <w:pPr>
              <w:jc w:val="both"/>
              <w:rPr>
                <w:rFonts w:ascii="Calibri" w:hAnsi="Calibri"/>
                <w:color w:val="000000"/>
                <w:sz w:val="20"/>
                <w:szCs w:val="20"/>
              </w:rPr>
            </w:pPr>
          </w:p>
          <w:p w14:paraId="01204C7C" w14:textId="625CC075" w:rsidR="00887C0A" w:rsidRDefault="00887C0A" w:rsidP="006303B2">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w:t>
            </w:r>
            <w:r w:rsidR="007E3D15">
              <w:rPr>
                <w:rFonts w:ascii="Calibri" w:hAnsi="Calibri"/>
              </w:rPr>
              <w:t>patient</w:t>
            </w:r>
            <w:r>
              <w:rPr>
                <w:rFonts w:ascii="Calibri" w:hAnsi="Calibri"/>
              </w:rPr>
              <w:t xml:space="preserve"> and/or carer, taking into account factors such as seizure frequency and treatment history.  Take into account patient/carer-related factors such as their negative perceptions about alternative products and/or other issues related to the patient.</w:t>
            </w:r>
          </w:p>
          <w:p w14:paraId="51F8CAAA" w14:textId="77777777" w:rsidR="00887C0A" w:rsidRPr="008805EA" w:rsidRDefault="00887C0A" w:rsidP="006303B2">
            <w:pPr>
              <w:jc w:val="both"/>
              <w:rPr>
                <w:rFonts w:ascii="Calibri" w:hAnsi="Calibri"/>
                <w:color w:val="000000"/>
                <w:sz w:val="20"/>
                <w:szCs w:val="20"/>
              </w:rPr>
            </w:pPr>
          </w:p>
          <w:p w14:paraId="647A9E29" w14:textId="77777777" w:rsidR="00F94D01" w:rsidRPr="00AE3C0F" w:rsidRDefault="009F282D" w:rsidP="006303B2">
            <w:pPr>
              <w:spacing w:before="45" w:after="45"/>
              <w:jc w:val="both"/>
              <w:rPr>
                <w:rFonts w:ascii="Calibri" w:hAnsi="Calibri" w:cs="Arial"/>
                <w:color w:val="000000"/>
              </w:rPr>
            </w:pPr>
            <w:r w:rsidRPr="008805EA">
              <w:rPr>
                <w:rFonts w:ascii="Calibri" w:hAnsi="Calibri"/>
                <w:b/>
              </w:rPr>
              <w:t>Half life</w:t>
            </w:r>
            <w:r w:rsidR="00226CB3" w:rsidRPr="008805EA">
              <w:rPr>
                <w:rFonts w:ascii="Calibri" w:hAnsi="Calibri"/>
              </w:rPr>
              <w:t>:</w:t>
            </w:r>
            <w:r w:rsidR="00F94D01" w:rsidRPr="008805EA">
              <w:rPr>
                <w:rFonts w:ascii="Calibri" w:hAnsi="Calibri"/>
              </w:rPr>
              <w:t xml:space="preserve"> </w:t>
            </w:r>
            <w:r w:rsidR="00B14945" w:rsidRPr="008805EA">
              <w:rPr>
                <w:rFonts w:ascii="Calibri" w:hAnsi="Calibri"/>
              </w:rPr>
              <w:t xml:space="preserve"> Lamotrigin</w:t>
            </w:r>
            <w:r w:rsidR="003307EB" w:rsidRPr="008805EA">
              <w:rPr>
                <w:rFonts w:ascii="Calibri" w:hAnsi="Calibri"/>
              </w:rPr>
              <w:t>e</w:t>
            </w:r>
            <w:r w:rsidR="00B14945" w:rsidRPr="008805EA">
              <w:rPr>
                <w:rFonts w:ascii="Calibri" w:hAnsi="Calibri"/>
              </w:rPr>
              <w:t>, a</w:t>
            </w:r>
            <w:r w:rsidR="00B14945" w:rsidRPr="008805EA">
              <w:rPr>
                <w:rFonts w:ascii="Calibri" w:hAnsi="Calibri" w:cs="Arial"/>
                <w:color w:val="000000"/>
              </w:rPr>
              <w:t xml:space="preserve">dult </w:t>
            </w:r>
            <w:r w:rsidR="00F94D01" w:rsidRPr="008805EA">
              <w:rPr>
                <w:rFonts w:ascii="Calibri" w:hAnsi="Calibri" w:cs="Arial"/>
                <w:color w:val="000000"/>
              </w:rPr>
              <w:t>healthy volunteers</w:t>
            </w:r>
            <w:r w:rsidR="00B14945" w:rsidRPr="008805EA">
              <w:rPr>
                <w:rFonts w:ascii="Calibri" w:hAnsi="Calibri" w:cs="Arial"/>
                <w:color w:val="000000"/>
              </w:rPr>
              <w:t>: 25.4 to 70.3 hours; adult epilepsy: 12.6 to 58.8 hours.  Elderly: 31.2 hours.  Paediatric:</w:t>
            </w:r>
            <w:r w:rsidR="00F94D01" w:rsidRPr="008805EA">
              <w:rPr>
                <w:rFonts w:ascii="Calibri" w:hAnsi="Calibri" w:cs="Arial"/>
                <w:color w:val="000000"/>
              </w:rPr>
              <w:t xml:space="preserve"> 7 to 65.8 hours.  </w:t>
            </w:r>
            <w:r w:rsidR="00F94D01" w:rsidRPr="00AE3C0F">
              <w:rPr>
                <w:rFonts w:ascii="Calibri" w:hAnsi="Calibri" w:cs="Arial"/>
                <w:color w:val="000000"/>
              </w:rPr>
              <w:t>(Micromedex 2012)</w:t>
            </w:r>
          </w:p>
          <w:p w14:paraId="4F12676E" w14:textId="77777777" w:rsidR="008E1F8F" w:rsidRPr="00AE3C0F" w:rsidRDefault="008E1F8F" w:rsidP="006303B2">
            <w:pPr>
              <w:jc w:val="both"/>
              <w:rPr>
                <w:rFonts w:ascii="Calibri" w:hAnsi="Calibri" w:cs="Arial"/>
              </w:rPr>
            </w:pPr>
            <w:r w:rsidRPr="00AE3C0F">
              <w:rPr>
                <w:rFonts w:ascii="Calibri" w:hAnsi="Calibri"/>
                <w:b/>
              </w:rPr>
              <w:t>Biopharmaceutics Classification Syst</w:t>
            </w:r>
            <w:r w:rsidR="00AE3C0F" w:rsidRPr="00AE3C0F">
              <w:rPr>
                <w:rFonts w:ascii="Calibri" w:hAnsi="Calibri"/>
                <w:b/>
              </w:rPr>
              <w:t>em</w:t>
            </w:r>
            <w:r w:rsidRPr="00AE3C0F">
              <w:rPr>
                <w:rFonts w:ascii="Calibri" w:hAnsi="Calibri" w:cs="Arial"/>
              </w:rPr>
              <w:t>: I</w:t>
            </w:r>
            <w:r w:rsidRPr="00AE3C0F">
              <w:rPr>
                <w:rFonts w:ascii="Calibri" w:hAnsi="Calibri" w:cs="AdvP7B6C"/>
                <w:color w:val="000000"/>
              </w:rPr>
              <w:t xml:space="preserve">  (high solubility/high permeability)</w:t>
            </w:r>
          </w:p>
          <w:p w14:paraId="1016CD51" w14:textId="1B503634" w:rsidR="009F282D" w:rsidRPr="00236351" w:rsidRDefault="008E1F8F" w:rsidP="006303B2">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w:t>
            </w:r>
          </w:p>
          <w:p w14:paraId="55CF548C" w14:textId="77777777" w:rsidR="001A6FDF" w:rsidRPr="008805EA" w:rsidRDefault="001A6FDF" w:rsidP="006303B2">
            <w:pPr>
              <w:jc w:val="both"/>
              <w:rPr>
                <w:rFonts w:ascii="Calibri" w:hAnsi="Calibri"/>
              </w:rPr>
            </w:pPr>
          </w:p>
          <w:p w14:paraId="28AB860C" w14:textId="6F3C195E" w:rsidR="00C74101" w:rsidRPr="00C74101" w:rsidRDefault="00C74101" w:rsidP="006303B2">
            <w:pPr>
              <w:jc w:val="both"/>
              <w:rPr>
                <w:rFonts w:ascii="Calibri" w:hAnsi="Calibri" w:cs="Calibri"/>
              </w:rPr>
            </w:pPr>
            <w:r w:rsidRPr="00C74101">
              <w:rPr>
                <w:rFonts w:ascii="Calibri" w:hAnsi="Calibri" w:cs="Calibri"/>
              </w:rPr>
              <w:t>A literature search retrieved  relevant studies.  There were various different types of data found including 6 bioequivalence studies (USx4, Danish and Thai), a review of therapeutic drug monitoring, 2 observational studies (New Zealand, Poland), a survey retrieving data from Canadian pharmacists and physicians, 4 data analysis studies from healthcare claims databases (3 Canada, 1 US).</w:t>
            </w:r>
          </w:p>
          <w:p w14:paraId="574230E8" w14:textId="77777777" w:rsidR="00C74101" w:rsidRPr="00C74101" w:rsidRDefault="00C74101" w:rsidP="006303B2">
            <w:pPr>
              <w:jc w:val="both"/>
              <w:rPr>
                <w:rFonts w:ascii="Calibri" w:hAnsi="Calibri" w:cs="Calibri"/>
              </w:rPr>
            </w:pPr>
          </w:p>
          <w:p w14:paraId="3E927D6A" w14:textId="77777777" w:rsidR="00C74101" w:rsidRPr="00C74101" w:rsidRDefault="00C74101" w:rsidP="006303B2">
            <w:pPr>
              <w:spacing w:before="80" w:after="80"/>
              <w:jc w:val="both"/>
              <w:rPr>
                <w:rFonts w:ascii="Calibri" w:hAnsi="Calibri" w:cs="Calibri"/>
                <w:color w:val="000000"/>
              </w:rPr>
            </w:pPr>
            <w:r w:rsidRPr="00C74101">
              <w:rPr>
                <w:rFonts w:ascii="Calibri" w:hAnsi="Calibri" w:cs="Calibri"/>
                <w:color w:val="000000"/>
              </w:rPr>
              <w:t>Four US double-blind, randomised  crossover bioequivalence study investigated brand and generic switching.</w:t>
            </w:r>
          </w:p>
          <w:p w14:paraId="14E22919" w14:textId="77777777" w:rsidR="00C74101" w:rsidRPr="00C74101" w:rsidRDefault="00C74101" w:rsidP="006303B2">
            <w:pPr>
              <w:pStyle w:val="ListParagraph"/>
              <w:numPr>
                <w:ilvl w:val="0"/>
                <w:numId w:val="35"/>
              </w:numPr>
              <w:spacing w:before="80" w:after="80"/>
              <w:contextualSpacing/>
              <w:jc w:val="both"/>
              <w:rPr>
                <w:rFonts w:ascii="Calibri" w:hAnsi="Calibri" w:cs="Calibri"/>
                <w:color w:val="000000"/>
              </w:rPr>
            </w:pPr>
            <w:r w:rsidRPr="00C74101">
              <w:rPr>
                <w:rFonts w:ascii="Calibri" w:hAnsi="Calibri" w:cs="Calibri"/>
                <w:color w:val="000000"/>
              </w:rPr>
              <w:t>Equivalence Among Antiepileptic Drug Generic and Brand Products in People With Epilepsy (EQUIGEN).  49 adults taking concomitant antiepileptic drugs but not currently receiving lamotrigine. Participants received a single 25-mg dose of immediate-release lamotrigine at the start of each of the 6 periods, with the branded and the 2 most disparate generic products each studied twice with blood samples taken before and after medication. The 3 drug products were considered bioequivalent as 90% CIs were within equivalence limits (lowest and highest CI limits for Cmax, 92.6% and 110.4%; for AUC0-96, 96.9% and 101.9%). Replicate testing demonstrated no significant differences in within-subject variability across the 3 products.  The authors concluded that this study provided evidence that the disparate lamotrigine products were bioequivalent in people with epilepsy taking concomitant antiepileptic drugs.  (Berg 2017)</w:t>
            </w:r>
          </w:p>
          <w:p w14:paraId="434F528A" w14:textId="77777777" w:rsidR="00C74101" w:rsidRPr="00C74101" w:rsidRDefault="00C74101" w:rsidP="006303B2">
            <w:pPr>
              <w:pStyle w:val="ListParagraph"/>
              <w:numPr>
                <w:ilvl w:val="0"/>
                <w:numId w:val="35"/>
              </w:numPr>
              <w:spacing w:before="80" w:after="80"/>
              <w:contextualSpacing/>
              <w:jc w:val="both"/>
              <w:rPr>
                <w:rFonts w:ascii="Calibri" w:hAnsi="Calibri" w:cs="Calibri"/>
                <w:color w:val="000000"/>
              </w:rPr>
            </w:pPr>
            <w:r w:rsidRPr="00C74101">
              <w:rPr>
                <w:rFonts w:ascii="Calibri" w:hAnsi="Calibri" w:cs="Calibri"/>
                <w:color w:val="000000"/>
              </w:rPr>
              <w:t>EQUIGEN chronic dose study included 33 adults with epilepsy who were receiving 100mg 200mg, 300mg or 400mg twice daily. Patients received equivalent doses of 1 of 2 generic manufacturers’ lamotrigine and after 14 days were switched to the other manufacturer’s generic and then crossover again twice more.  The 90% CIs of Cmax and AUC for the generics were within equivalence limits (AUC 90% CI 98 – 103, Cmax 90% CI 99 – 105) showing that these lamotrigine generics were bioequivalent. No significant changes in seizure frequency or adverse events were recorded. (Privitera 2016)</w:t>
            </w:r>
          </w:p>
          <w:p w14:paraId="70937ADC" w14:textId="547C3A34" w:rsidR="00C74101" w:rsidRPr="00D53A18" w:rsidRDefault="00C74101" w:rsidP="006303B2">
            <w:pPr>
              <w:pStyle w:val="ListParagraph"/>
              <w:numPr>
                <w:ilvl w:val="0"/>
                <w:numId w:val="35"/>
              </w:numPr>
              <w:spacing w:before="80" w:after="80"/>
              <w:contextualSpacing/>
              <w:jc w:val="both"/>
              <w:rPr>
                <w:rFonts w:ascii="Calibri" w:hAnsi="Calibri" w:cs="Calibri"/>
                <w:color w:val="000000"/>
              </w:rPr>
            </w:pPr>
            <w:r w:rsidRPr="00C74101">
              <w:rPr>
                <w:rFonts w:ascii="Calibri" w:hAnsi="Calibri" w:cs="Calibri"/>
                <w:color w:val="000000"/>
              </w:rPr>
              <w:t>Brand and generic lamotrigine were compared in 34 ‘generic-brittle’ patients who were already taking lamotrigine. These patients were defined as having a potential problem with generic switching by virtue of 1) a history of reported exacerbation of seizures or side effects following AED formulation changes, 2) recent AED adverse effects, which could reflect clinical sensitivity to slightly higher AED peak plasma concentration or slightly lower drug exposure, respectively. The 90% confidence intervals of the mean steady state for AUC, Cmax and Cmin for generic vs brand were 97.2 – 101.6%, 98.8 – 104.5% and 93.4 – 101% which demonstrate bioequivalence.  The within patient variability of generic and brand were also similar. (Ting 2015)</w:t>
            </w:r>
          </w:p>
          <w:p w14:paraId="64DD3B49" w14:textId="77777777" w:rsidR="00C74101" w:rsidRPr="00C74101" w:rsidRDefault="00C74101" w:rsidP="006303B2">
            <w:pPr>
              <w:pStyle w:val="ListParagraph"/>
              <w:numPr>
                <w:ilvl w:val="0"/>
                <w:numId w:val="35"/>
              </w:numPr>
              <w:spacing w:before="80" w:after="80"/>
              <w:contextualSpacing/>
              <w:jc w:val="both"/>
              <w:rPr>
                <w:rFonts w:ascii="Calibri" w:hAnsi="Calibri" w:cs="Calibri"/>
                <w:color w:val="000000"/>
              </w:rPr>
            </w:pPr>
            <w:r w:rsidRPr="00C74101">
              <w:rPr>
                <w:rFonts w:ascii="Calibri" w:hAnsi="Calibri" w:cs="Calibri"/>
                <w:color w:val="000000"/>
              </w:rPr>
              <w:t>A US study investigated the pharmaceutical quality and biopharmaceutic risk of Lamictal 100mg tablets and four different generic manufacturers’ lamotrigine 100mg tablets.  All brand name and generic lamotrigine 100 mg tablets passed all tests and showed acceptable pharmaceutical quality and low biopharmaceutic risk. Overall, lamotrigine's favourable biopharmaceutics from a drug substance perspective and favourable quality characteristics from a tablet formulation perspective suggest that multisource lamotrigine tablets exhibit a low biopharmaceutic risk. (Vaithianathan 2015)</w:t>
            </w:r>
          </w:p>
          <w:p w14:paraId="163858FB" w14:textId="77777777" w:rsidR="00C74101" w:rsidRPr="00C74101" w:rsidRDefault="00C74101" w:rsidP="006303B2">
            <w:pPr>
              <w:jc w:val="both"/>
              <w:rPr>
                <w:rFonts w:ascii="Calibri" w:hAnsi="Calibri" w:cs="Calibri"/>
              </w:rPr>
            </w:pPr>
          </w:p>
          <w:p w14:paraId="0ABA5986" w14:textId="77777777" w:rsidR="00C74101" w:rsidRPr="00C74101" w:rsidRDefault="00C74101" w:rsidP="006303B2">
            <w:pPr>
              <w:jc w:val="both"/>
              <w:rPr>
                <w:rFonts w:ascii="Calibri" w:hAnsi="Calibri" w:cs="Calibri"/>
              </w:rPr>
            </w:pPr>
            <w:r w:rsidRPr="00C74101">
              <w:rPr>
                <w:rFonts w:ascii="Calibri" w:hAnsi="Calibri" w:cs="Calibri"/>
              </w:rPr>
              <w:t>A Danish bioequivalence study measured lamotrigine pharmacokinetics in 9 patients, of which 8 had reported problems with brand to generic switching.  In 5 patients the generics’ pharmacokinetics were outside the Danish bioequivalence range for AEDs (90 – 111%) and for 3 of these patients this explained their reported symptoms.  For 3 patients their generic lamotrigine was bioequivalent. (Nielsen 2008)</w:t>
            </w:r>
          </w:p>
          <w:p w14:paraId="2A090FF8" w14:textId="77777777" w:rsidR="00C74101" w:rsidRPr="00C74101" w:rsidRDefault="00C74101" w:rsidP="006303B2">
            <w:pPr>
              <w:jc w:val="both"/>
              <w:rPr>
                <w:rFonts w:ascii="Calibri" w:hAnsi="Calibri" w:cs="Calibri"/>
              </w:rPr>
            </w:pPr>
          </w:p>
          <w:p w14:paraId="38B66FF7" w14:textId="77777777" w:rsidR="00C74101" w:rsidRPr="00C74101" w:rsidRDefault="00C74101" w:rsidP="006303B2">
            <w:pPr>
              <w:jc w:val="both"/>
              <w:rPr>
                <w:rFonts w:ascii="Calibri" w:hAnsi="Calibri" w:cs="Calibri"/>
              </w:rPr>
            </w:pPr>
            <w:r w:rsidRPr="00C74101">
              <w:rPr>
                <w:rFonts w:ascii="Calibri" w:hAnsi="Calibri" w:cs="Calibri"/>
              </w:rPr>
              <w:t>A randomised crossover bioequivalence study in Thailand found that brand and generic lamotrigine were bioequivalent in healthy volunteers. (Srichaiya 2008)</w:t>
            </w:r>
          </w:p>
          <w:p w14:paraId="49F22C86" w14:textId="77777777" w:rsidR="00C74101" w:rsidRPr="00C74101" w:rsidRDefault="00C74101" w:rsidP="006303B2">
            <w:pPr>
              <w:jc w:val="both"/>
              <w:rPr>
                <w:rFonts w:ascii="Calibri" w:hAnsi="Calibri" w:cs="Calibri"/>
              </w:rPr>
            </w:pPr>
          </w:p>
          <w:p w14:paraId="2C175381" w14:textId="77777777" w:rsidR="00C74101" w:rsidRPr="00C74101" w:rsidRDefault="00C74101" w:rsidP="006303B2">
            <w:pPr>
              <w:autoSpaceDE w:val="0"/>
              <w:autoSpaceDN w:val="0"/>
              <w:adjustRightInd w:val="0"/>
              <w:jc w:val="both"/>
              <w:rPr>
                <w:rFonts w:ascii="Calibri" w:hAnsi="Calibri" w:cs="Calibri"/>
                <w:b/>
                <w:bCs/>
              </w:rPr>
            </w:pPr>
            <w:r w:rsidRPr="00C74101">
              <w:rPr>
                <w:rFonts w:ascii="Calibri" w:hAnsi="Calibri" w:cs="Calibri"/>
              </w:rPr>
              <w:t xml:space="preserve">A retrospective analysis of data from a therapeutic drug monitoring (TDM) database in Italy included 50 patients on lamotrigine, with at least one TDM test while receiving generic products were compared with 200 control patients for lamotrigine. The proportion of patients showing an intrasubject change greater than +/-20% in AED plasma concentrations was similar in the brand name vs generic group compared with the control one for lamotrigine (22% vs 33%). These are the first data in the literature about the within-patient variation in steady-state plasma concentrations of a series of stable treatments with brand-name AEDs in a real clinical setting. </w:t>
            </w:r>
            <w:r w:rsidRPr="00C74101">
              <w:rPr>
                <w:rFonts w:ascii="Calibri" w:hAnsi="Calibri" w:cs="Calibri"/>
                <w:bCs/>
              </w:rPr>
              <w:t>The authors concluded that</w:t>
            </w:r>
            <w:r w:rsidRPr="00C74101">
              <w:rPr>
                <w:rFonts w:ascii="Calibri" w:hAnsi="Calibri" w:cs="Calibri"/>
                <w:b/>
                <w:bCs/>
              </w:rPr>
              <w:t xml:space="preserve"> </w:t>
            </w:r>
            <w:r w:rsidRPr="00C74101">
              <w:rPr>
                <w:rFonts w:ascii="Calibri" w:hAnsi="Calibri" w:cs="Calibri"/>
              </w:rPr>
              <w:t>a significant interday variability in intrapatient lamotrigine can be observed even in patients stabilised with the same brand name product over time. This suggests that any change in plasma AED concentration and possible related clinical effects after generic substitution may be not necessarily related to the switch. (Contin 2016)</w:t>
            </w:r>
          </w:p>
          <w:p w14:paraId="15EB45F8" w14:textId="77777777" w:rsidR="00C74101" w:rsidRPr="00C74101" w:rsidRDefault="00C74101" w:rsidP="006303B2">
            <w:pPr>
              <w:jc w:val="both"/>
              <w:rPr>
                <w:rFonts w:ascii="Calibri" w:hAnsi="Calibri" w:cs="Calibri"/>
              </w:rPr>
            </w:pPr>
          </w:p>
          <w:p w14:paraId="4969DE2A" w14:textId="6FA618FE" w:rsidR="00C74101" w:rsidRPr="00C74101" w:rsidRDefault="00C74101" w:rsidP="006303B2">
            <w:pPr>
              <w:jc w:val="both"/>
              <w:rPr>
                <w:rFonts w:ascii="Calibri" w:hAnsi="Calibri" w:cs="Calibri"/>
              </w:rPr>
            </w:pPr>
            <w:r w:rsidRPr="00C74101">
              <w:rPr>
                <w:rFonts w:ascii="Calibri" w:hAnsi="Calibri" w:cs="Calibri"/>
              </w:rPr>
              <w:t>A retrospective observational study using national health collections and prescription records of 1655 patients in New Zealand who switched from brand to generic lamotrigine or remained on the brand.  361 (22%) patients switched to generic. 30% made an additional generic switch and 10% of switchers received multiple switches (3+) between generics and brand products.  Switchback rates were 3% within 30 days post switch. No difference in health outcomes was found. (Lessing 2014)</w:t>
            </w:r>
          </w:p>
          <w:p w14:paraId="7D7CBD9B" w14:textId="77777777" w:rsidR="00C74101" w:rsidRPr="00C74101" w:rsidRDefault="00C74101" w:rsidP="006303B2">
            <w:pPr>
              <w:jc w:val="both"/>
              <w:rPr>
                <w:rFonts w:ascii="Calibri" w:hAnsi="Calibri" w:cs="Calibri"/>
              </w:rPr>
            </w:pPr>
          </w:p>
          <w:p w14:paraId="3582E709" w14:textId="77777777" w:rsidR="00C74101" w:rsidRPr="00C74101" w:rsidRDefault="00C74101" w:rsidP="006303B2">
            <w:pPr>
              <w:jc w:val="both"/>
              <w:rPr>
                <w:rFonts w:ascii="Calibri" w:hAnsi="Calibri" w:cs="Calibri"/>
              </w:rPr>
            </w:pPr>
            <w:r w:rsidRPr="00C74101">
              <w:rPr>
                <w:rFonts w:ascii="Calibri" w:hAnsi="Calibri" w:cs="Calibri"/>
              </w:rPr>
              <w:t>A Polish study reviewed 284 patients on lamotrigine and found that switching to generic lamotrigine did not increase the seizure frequency.  Switching several times in consequence of pharmacy substitution did not affect seizure frequency. (Czapinski 2009)</w:t>
            </w:r>
          </w:p>
          <w:p w14:paraId="79E60454" w14:textId="77777777" w:rsidR="00C74101" w:rsidRPr="00C74101" w:rsidRDefault="00C74101" w:rsidP="006303B2">
            <w:pPr>
              <w:jc w:val="both"/>
              <w:rPr>
                <w:rFonts w:ascii="Calibri" w:hAnsi="Calibri" w:cs="Calibri"/>
              </w:rPr>
            </w:pPr>
          </w:p>
          <w:p w14:paraId="31BFAC23" w14:textId="77777777" w:rsidR="00C74101" w:rsidRPr="00C74101" w:rsidRDefault="00C74101" w:rsidP="006303B2">
            <w:pPr>
              <w:jc w:val="both"/>
              <w:rPr>
                <w:rFonts w:ascii="Calibri" w:hAnsi="Calibri" w:cs="Calibri"/>
              </w:rPr>
            </w:pPr>
            <w:r w:rsidRPr="00C74101">
              <w:rPr>
                <w:rFonts w:ascii="Calibri" w:hAnsi="Calibri" w:cs="Calibri"/>
              </w:rPr>
              <w:t>A survey of pharmacists in Canada retrieved 14 adverse reaction reports from 71 pharmacies for patients switching from brand to generic lamotrigine.  There were 11 reports of loss of seizure on generic lamotrigine with seizure control regained in 8 out of 10 patients who switched back to brand.  The investigators also surveyed 544 neurologists of which 95 responded and reported 8 patients who had loss of seizure control because of brand to generic switching.  Seizure control was regained in 7 patients after switchback to brand. (Makus 2007)</w:t>
            </w:r>
          </w:p>
          <w:p w14:paraId="213B9468" w14:textId="77777777" w:rsidR="00C74101" w:rsidRPr="00C74101" w:rsidRDefault="00C74101" w:rsidP="006303B2">
            <w:pPr>
              <w:jc w:val="both"/>
              <w:rPr>
                <w:rFonts w:ascii="Calibri" w:hAnsi="Calibri" w:cs="Calibri"/>
              </w:rPr>
            </w:pPr>
          </w:p>
          <w:p w14:paraId="29AE3296" w14:textId="5219AD33" w:rsidR="00C74101" w:rsidRPr="00C74101" w:rsidRDefault="00C74101" w:rsidP="006303B2">
            <w:pPr>
              <w:jc w:val="both"/>
              <w:rPr>
                <w:rFonts w:ascii="Calibri" w:hAnsi="Calibri" w:cs="Calibri"/>
              </w:rPr>
            </w:pPr>
            <w:r w:rsidRPr="00C74101">
              <w:rPr>
                <w:rFonts w:ascii="Calibri" w:hAnsi="Calibri" w:cs="Calibri"/>
              </w:rPr>
              <w:t xml:space="preserve">Four studies used data from healthcare claims databases.  Three Canadian studies found lamotrigine patients had high switchback rates to brand (12.9%, 26.1% and 27.5%).  Two of these studies were carried out by the same investigator and data is likely to overlap.  All three studies found that generic lamotrigine was associated with an increased dose of lamotrigine and higher numbers of other AEDs prescribed as well as non-AEDs and also a higher utilisation of medical services. (Andermann 2007, Le Lorier Neurology 2008, LeLorier Curr Med Res Opin 2008).  Two studies concluded that costs saved by switching to generic lamotrigine were outweighed by the concurrent increase in the utilisation of pharmacy and medical services on generic lamotrigine. (LeLorier Curr Med Res Opin 2008, Duh </w:t>
            </w:r>
            <w:r w:rsidRPr="00C74101">
              <w:rPr>
                <w:rFonts w:ascii="Calibri" w:hAnsi="Calibri" w:cs="Calibri"/>
                <w:bCs/>
              </w:rPr>
              <w:t>2007</w:t>
            </w:r>
            <w:r w:rsidRPr="00C74101">
              <w:rPr>
                <w:rFonts w:ascii="Calibri" w:hAnsi="Calibri" w:cs="Calibri"/>
              </w:rPr>
              <w:t>).</w:t>
            </w:r>
          </w:p>
          <w:p w14:paraId="268020E8" w14:textId="77777777" w:rsidR="007C7ABC" w:rsidRDefault="00C74101" w:rsidP="006303B2">
            <w:pPr>
              <w:jc w:val="both"/>
              <w:rPr>
                <w:rFonts w:ascii="Calibri" w:hAnsi="Calibri" w:cs="Calibri"/>
              </w:rPr>
            </w:pPr>
            <w:r w:rsidRPr="00C74101">
              <w:rPr>
                <w:rFonts w:ascii="Calibri" w:hAnsi="Calibri" w:cs="Calibri"/>
              </w:rPr>
              <w:t>An American study found patients switched from brand to generic lamotrigine did not experience a greater incidence of all-cause emergency department visits or hospitalisations than those who did not switch (0.97, 95% CI 0.8 – 117).  (Erickson 2011)</w:t>
            </w:r>
          </w:p>
          <w:p w14:paraId="3B424884" w14:textId="77777777" w:rsidR="000A00FE" w:rsidRDefault="000A00FE" w:rsidP="006303B2">
            <w:pPr>
              <w:jc w:val="both"/>
              <w:rPr>
                <w:rFonts w:ascii="Calibri" w:hAnsi="Calibri" w:cs="Calibri"/>
              </w:rPr>
            </w:pPr>
          </w:p>
          <w:p w14:paraId="3D7B37D2" w14:textId="77777777" w:rsidR="000A00FE" w:rsidRDefault="000A00FE" w:rsidP="006303B2">
            <w:pPr>
              <w:jc w:val="both"/>
              <w:rPr>
                <w:rFonts w:ascii="Calibri" w:hAnsi="Calibri" w:cs="Calibri"/>
              </w:rPr>
            </w:pPr>
          </w:p>
          <w:p w14:paraId="1AC6714F" w14:textId="3545452A" w:rsidR="00922B38" w:rsidRPr="000A00FE" w:rsidRDefault="00922B38" w:rsidP="006303B2">
            <w:pPr>
              <w:jc w:val="both"/>
              <w:rPr>
                <w:rFonts w:ascii="Calibri" w:hAnsi="Calibri" w:cs="Calibri"/>
              </w:rPr>
            </w:pPr>
          </w:p>
        </w:tc>
      </w:tr>
      <w:tr w:rsidR="00D9226A" w:rsidRPr="00D90495" w14:paraId="46C5B5B3" w14:textId="77777777" w:rsidTr="005772A8">
        <w:tc>
          <w:tcPr>
            <w:tcW w:w="8306" w:type="dxa"/>
            <w:gridSpan w:val="3"/>
            <w:tcBorders>
              <w:top w:val="nil"/>
              <w:left w:val="nil"/>
              <w:bottom w:val="nil"/>
              <w:right w:val="nil"/>
            </w:tcBorders>
            <w:shd w:val="clear" w:color="auto" w:fill="FF6600"/>
          </w:tcPr>
          <w:p w14:paraId="0D711881" w14:textId="77777777" w:rsidR="00D9226A" w:rsidRPr="00D90495" w:rsidRDefault="00D9226A" w:rsidP="001D423C">
            <w:pPr>
              <w:pStyle w:val="Heading3"/>
              <w:rPr>
                <w:rFonts w:ascii="Calibri" w:hAnsi="Calibri"/>
                <w:color w:val="000000"/>
              </w:rPr>
            </w:pPr>
            <w:bookmarkStart w:id="10" w:name="_Levetiracetam"/>
            <w:bookmarkEnd w:id="10"/>
            <w:r w:rsidRPr="00D90495">
              <w:rPr>
                <w:rFonts w:ascii="Calibri" w:hAnsi="Calibri"/>
                <w:color w:val="000000"/>
              </w:rPr>
              <w:t>Levetiracetam</w:t>
            </w:r>
          </w:p>
        </w:tc>
      </w:tr>
      <w:tr w:rsidR="00D9226A" w:rsidRPr="00457256" w14:paraId="6EF30FB5" w14:textId="77777777" w:rsidTr="005772A8">
        <w:tc>
          <w:tcPr>
            <w:tcW w:w="8306" w:type="dxa"/>
            <w:gridSpan w:val="3"/>
            <w:tcBorders>
              <w:top w:val="nil"/>
            </w:tcBorders>
            <w:shd w:val="clear" w:color="auto" w:fill="000000"/>
          </w:tcPr>
          <w:p w14:paraId="29D86DA5" w14:textId="77777777" w:rsidR="00D9226A" w:rsidRPr="00457256" w:rsidRDefault="00D9226A" w:rsidP="006E675F">
            <w:pPr>
              <w:rPr>
                <w:rFonts w:ascii="Calibri" w:hAnsi="Calibri"/>
              </w:rPr>
            </w:pPr>
          </w:p>
        </w:tc>
      </w:tr>
      <w:tr w:rsidR="00D9226A" w:rsidRPr="00457256" w14:paraId="19A99E77" w14:textId="77777777" w:rsidTr="005772A8">
        <w:tc>
          <w:tcPr>
            <w:tcW w:w="1871" w:type="dxa"/>
            <w:vMerge w:val="restart"/>
            <w:shd w:val="clear" w:color="auto" w:fill="auto"/>
            <w:vAlign w:val="center"/>
          </w:tcPr>
          <w:p w14:paraId="7DAE7881" w14:textId="77777777" w:rsidR="00D9226A" w:rsidRPr="00457256" w:rsidRDefault="00D9226A" w:rsidP="006E675F">
            <w:pPr>
              <w:rPr>
                <w:rFonts w:ascii="Calibri" w:hAnsi="Calibri"/>
              </w:rPr>
            </w:pPr>
            <w:r w:rsidRPr="00457256">
              <w:rPr>
                <w:rFonts w:ascii="Calibri" w:hAnsi="Calibri"/>
              </w:rPr>
              <w:t>Forms available</w:t>
            </w:r>
          </w:p>
        </w:tc>
        <w:tc>
          <w:tcPr>
            <w:tcW w:w="2641" w:type="dxa"/>
            <w:shd w:val="clear" w:color="auto" w:fill="auto"/>
          </w:tcPr>
          <w:p w14:paraId="2951E07B" w14:textId="77777777" w:rsidR="00D9226A" w:rsidRPr="00457256" w:rsidRDefault="00D9226A" w:rsidP="006E675F">
            <w:pPr>
              <w:rPr>
                <w:rFonts w:ascii="Calibri" w:hAnsi="Calibri"/>
              </w:rPr>
            </w:pPr>
            <w:r w:rsidRPr="00457256">
              <w:rPr>
                <w:rFonts w:ascii="Calibri" w:hAnsi="Calibri"/>
              </w:rPr>
              <w:t>Intravenous infusion</w:t>
            </w:r>
          </w:p>
        </w:tc>
        <w:tc>
          <w:tcPr>
            <w:tcW w:w="3794" w:type="dxa"/>
            <w:shd w:val="clear" w:color="auto" w:fill="auto"/>
          </w:tcPr>
          <w:p w14:paraId="451D8CA6" w14:textId="77777777" w:rsidR="00D9226A" w:rsidRPr="00457256" w:rsidRDefault="00764490" w:rsidP="006E675F">
            <w:pPr>
              <w:rPr>
                <w:rFonts w:ascii="Calibri" w:hAnsi="Calibri"/>
              </w:rPr>
            </w:pPr>
            <w:r w:rsidRPr="00457256">
              <w:rPr>
                <w:rFonts w:ascii="Calibri" w:hAnsi="Calibri"/>
              </w:rPr>
              <w:t>100mg/ml (5ml)</w:t>
            </w:r>
          </w:p>
        </w:tc>
      </w:tr>
      <w:tr w:rsidR="00D9226A" w:rsidRPr="00457256" w14:paraId="7E0E27DC" w14:textId="77777777" w:rsidTr="005772A8">
        <w:tc>
          <w:tcPr>
            <w:tcW w:w="1871" w:type="dxa"/>
            <w:vMerge/>
            <w:shd w:val="clear" w:color="auto" w:fill="auto"/>
            <w:vAlign w:val="center"/>
          </w:tcPr>
          <w:p w14:paraId="1B30ECC3" w14:textId="77777777" w:rsidR="00D9226A" w:rsidRPr="00457256" w:rsidRDefault="00D9226A" w:rsidP="006E675F">
            <w:pPr>
              <w:rPr>
                <w:rFonts w:ascii="Calibri" w:hAnsi="Calibri"/>
              </w:rPr>
            </w:pPr>
          </w:p>
        </w:tc>
        <w:tc>
          <w:tcPr>
            <w:tcW w:w="2641" w:type="dxa"/>
            <w:shd w:val="clear" w:color="auto" w:fill="auto"/>
          </w:tcPr>
          <w:p w14:paraId="3EF7AACA" w14:textId="77777777" w:rsidR="00D9226A" w:rsidRPr="00457256" w:rsidRDefault="00D9226A" w:rsidP="006E675F">
            <w:pPr>
              <w:rPr>
                <w:rFonts w:ascii="Calibri" w:hAnsi="Calibri"/>
              </w:rPr>
            </w:pPr>
            <w:r w:rsidRPr="00457256">
              <w:rPr>
                <w:rFonts w:ascii="Calibri" w:hAnsi="Calibri"/>
              </w:rPr>
              <w:t>Oral solution</w:t>
            </w:r>
          </w:p>
        </w:tc>
        <w:tc>
          <w:tcPr>
            <w:tcW w:w="3794" w:type="dxa"/>
            <w:shd w:val="clear" w:color="auto" w:fill="auto"/>
          </w:tcPr>
          <w:p w14:paraId="3E5FD8D5" w14:textId="77777777" w:rsidR="00D9226A" w:rsidRPr="00457256" w:rsidRDefault="00764490" w:rsidP="006E675F">
            <w:pPr>
              <w:rPr>
                <w:rFonts w:ascii="Calibri" w:hAnsi="Calibri"/>
              </w:rPr>
            </w:pPr>
            <w:r w:rsidRPr="00457256">
              <w:rPr>
                <w:rFonts w:ascii="Calibri" w:hAnsi="Calibri"/>
              </w:rPr>
              <w:t>100mg/ml</w:t>
            </w:r>
          </w:p>
        </w:tc>
      </w:tr>
      <w:tr w:rsidR="00D9226A" w:rsidRPr="00457256" w14:paraId="54CC8587" w14:textId="77777777" w:rsidTr="005772A8">
        <w:tc>
          <w:tcPr>
            <w:tcW w:w="1871" w:type="dxa"/>
            <w:vMerge/>
            <w:shd w:val="clear" w:color="auto" w:fill="auto"/>
          </w:tcPr>
          <w:p w14:paraId="001C23E1" w14:textId="77777777" w:rsidR="00D9226A" w:rsidRPr="00457256" w:rsidRDefault="00D9226A" w:rsidP="006E675F">
            <w:pPr>
              <w:rPr>
                <w:rFonts w:ascii="Calibri" w:hAnsi="Calibri"/>
              </w:rPr>
            </w:pPr>
          </w:p>
        </w:tc>
        <w:tc>
          <w:tcPr>
            <w:tcW w:w="2641" w:type="dxa"/>
            <w:shd w:val="clear" w:color="auto" w:fill="auto"/>
          </w:tcPr>
          <w:p w14:paraId="52991314" w14:textId="77777777" w:rsidR="00D9226A" w:rsidRPr="00457256" w:rsidRDefault="00D9226A" w:rsidP="006E675F">
            <w:pPr>
              <w:rPr>
                <w:rFonts w:ascii="Calibri" w:hAnsi="Calibri"/>
              </w:rPr>
            </w:pPr>
            <w:r w:rsidRPr="00457256">
              <w:rPr>
                <w:rFonts w:ascii="Calibri" w:hAnsi="Calibri"/>
              </w:rPr>
              <w:t>Tablets</w:t>
            </w:r>
          </w:p>
        </w:tc>
        <w:tc>
          <w:tcPr>
            <w:tcW w:w="3794" w:type="dxa"/>
            <w:shd w:val="clear" w:color="auto" w:fill="auto"/>
          </w:tcPr>
          <w:p w14:paraId="557DC3C7" w14:textId="77777777" w:rsidR="00D9226A" w:rsidRPr="00457256" w:rsidRDefault="00764490" w:rsidP="006E675F">
            <w:pPr>
              <w:rPr>
                <w:rFonts w:ascii="Calibri" w:hAnsi="Calibri"/>
              </w:rPr>
            </w:pPr>
            <w:r w:rsidRPr="00457256">
              <w:rPr>
                <w:rFonts w:ascii="Calibri" w:hAnsi="Calibri"/>
              </w:rPr>
              <w:t>250mg, 500mg, 750mg, 1000mg</w:t>
            </w:r>
          </w:p>
        </w:tc>
      </w:tr>
      <w:tr w:rsidR="00D9226A" w:rsidRPr="00457256" w14:paraId="5B2E61C0" w14:textId="77777777" w:rsidTr="005772A8">
        <w:tc>
          <w:tcPr>
            <w:tcW w:w="1871" w:type="dxa"/>
            <w:shd w:val="clear" w:color="auto" w:fill="auto"/>
          </w:tcPr>
          <w:p w14:paraId="452B7CE3" w14:textId="77777777" w:rsidR="00D9226A" w:rsidRPr="00457256" w:rsidRDefault="00D9226A" w:rsidP="006E675F">
            <w:pPr>
              <w:rPr>
                <w:rFonts w:ascii="Calibri" w:hAnsi="Calibri"/>
              </w:rPr>
            </w:pPr>
            <w:r w:rsidRPr="00457256">
              <w:rPr>
                <w:rFonts w:ascii="Calibri" w:hAnsi="Calibri"/>
              </w:rPr>
              <w:t>Brands available</w:t>
            </w:r>
          </w:p>
        </w:tc>
        <w:tc>
          <w:tcPr>
            <w:tcW w:w="6435" w:type="dxa"/>
            <w:gridSpan w:val="2"/>
            <w:shd w:val="clear" w:color="auto" w:fill="auto"/>
          </w:tcPr>
          <w:p w14:paraId="3062D912" w14:textId="77777777" w:rsidR="00D9226A" w:rsidRPr="00560C60" w:rsidRDefault="00D9226A" w:rsidP="006E675F">
            <w:pPr>
              <w:rPr>
                <w:rFonts w:ascii="Calibri" w:hAnsi="Calibri" w:cs="Arial"/>
                <w:color w:val="000000"/>
              </w:rPr>
            </w:pPr>
            <w:r w:rsidRPr="00560C60">
              <w:rPr>
                <w:rFonts w:ascii="Calibri" w:hAnsi="Calibri"/>
              </w:rPr>
              <w:t>Keppra</w:t>
            </w:r>
            <w:r w:rsidR="001910BE" w:rsidRPr="00560C60">
              <w:rPr>
                <w:rFonts w:ascii="Calibri" w:hAnsi="Calibri"/>
              </w:rPr>
              <w:t>, generic products</w:t>
            </w:r>
            <w:r w:rsidR="00DC5E13" w:rsidRPr="00560C60">
              <w:rPr>
                <w:rFonts w:ascii="Calibri" w:hAnsi="Calibri"/>
              </w:rPr>
              <w:t xml:space="preserve"> (</w:t>
            </w:r>
            <w:r w:rsidR="00DC5E13" w:rsidRPr="00560C60">
              <w:rPr>
                <w:rFonts w:ascii="Calibri" w:hAnsi="Calibri" w:cs="Arial"/>
                <w:color w:val="000000"/>
              </w:rPr>
              <w:t>UCB, Winthrop, Desitin Arzneimittel GmbH, Helm, Lupin, Aurobindo, Sandoz, Apotex, Bluefish, Bristol, Torrent, Pfizer, Synthon)</w:t>
            </w:r>
          </w:p>
        </w:tc>
      </w:tr>
      <w:tr w:rsidR="00D9226A" w:rsidRPr="00457256" w14:paraId="5EE2B07C" w14:textId="77777777" w:rsidTr="005772A8">
        <w:tc>
          <w:tcPr>
            <w:tcW w:w="8306" w:type="dxa"/>
            <w:gridSpan w:val="3"/>
            <w:shd w:val="clear" w:color="auto" w:fill="FF6600"/>
          </w:tcPr>
          <w:p w14:paraId="1D68F744"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0D461B7E" w14:textId="77777777" w:rsidTr="005772A8">
        <w:tc>
          <w:tcPr>
            <w:tcW w:w="8306" w:type="dxa"/>
            <w:gridSpan w:val="3"/>
            <w:shd w:val="clear" w:color="auto" w:fill="auto"/>
          </w:tcPr>
          <w:p w14:paraId="39997B82" w14:textId="0CA4B558" w:rsidR="00AE08AD" w:rsidRPr="0076504A" w:rsidRDefault="00E3066E" w:rsidP="00236351">
            <w:pPr>
              <w:ind w:left="360"/>
              <w:jc w:val="both"/>
              <w:rPr>
                <w:rFonts w:ascii="Calibri" w:hAnsi="Calibri"/>
              </w:rPr>
            </w:pPr>
            <w:r w:rsidRPr="0076504A">
              <w:rPr>
                <w:rFonts w:ascii="Calibri" w:hAnsi="Calibri"/>
              </w:rPr>
              <w:t>These recommendations should not be used without consulting the ‘principles f</w:t>
            </w:r>
            <w:r w:rsidR="0076504A" w:rsidRPr="0076504A">
              <w:rPr>
                <w:rFonts w:ascii="Calibri" w:hAnsi="Calibri"/>
              </w:rPr>
              <w:t xml:space="preserve">or switching’ section on page </w:t>
            </w:r>
            <w:r w:rsidR="00281BB5">
              <w:rPr>
                <w:rFonts w:ascii="Calibri" w:hAnsi="Calibri"/>
              </w:rPr>
              <w:t>10</w:t>
            </w:r>
            <w:r w:rsidR="0076504A" w:rsidRPr="0076504A">
              <w:rPr>
                <w:rFonts w:ascii="Calibri" w:hAnsi="Calibri"/>
              </w:rPr>
              <w:t>.</w:t>
            </w:r>
          </w:p>
          <w:p w14:paraId="50240ABC" w14:textId="77777777" w:rsidR="001910BE" w:rsidRPr="00E3066E" w:rsidRDefault="00824220" w:rsidP="00236351">
            <w:pPr>
              <w:pStyle w:val="Normal1"/>
              <w:numPr>
                <w:ilvl w:val="0"/>
                <w:numId w:val="13"/>
              </w:numPr>
              <w:jc w:val="both"/>
              <w:rPr>
                <w:rFonts w:ascii="Calibri" w:hAnsi="Calibri"/>
              </w:rPr>
            </w:pPr>
            <w:r w:rsidRPr="0076504A">
              <w:rPr>
                <w:rFonts w:ascii="Calibri" w:hAnsi="Calibri" w:cs="Courier New"/>
              </w:rPr>
              <w:t xml:space="preserve">  There are no specific data to </w:t>
            </w:r>
            <w:r w:rsidR="00FE5DC5" w:rsidRPr="0076504A">
              <w:rPr>
                <w:rFonts w:ascii="Calibri" w:hAnsi="Calibri" w:cs="Courier New"/>
              </w:rPr>
              <w:t>suggest that switching causes</w:t>
            </w:r>
            <w:r w:rsidRPr="0076504A">
              <w:rPr>
                <w:rFonts w:ascii="Calibri" w:hAnsi="Calibri" w:cs="Courier New"/>
              </w:rPr>
              <w:t xml:space="preserve"> problems in clinical practice.  In these circumstances it seems</w:t>
            </w:r>
            <w:r w:rsidRPr="00824220">
              <w:rPr>
                <w:rFonts w:ascii="Calibri" w:hAnsi="Calibri" w:cs="Courier New"/>
              </w:rPr>
              <w:t xml:space="preserve"> reasonable to allow switching for most patients</w:t>
            </w:r>
            <w:r w:rsidR="00FE5DC5">
              <w:rPr>
                <w:rFonts w:ascii="Calibri" w:hAnsi="Calibri" w:cs="Courier New"/>
              </w:rPr>
              <w:t>.</w:t>
            </w:r>
          </w:p>
          <w:p w14:paraId="11BCA657" w14:textId="77777777" w:rsidR="00E3066E" w:rsidRPr="00457256" w:rsidRDefault="00E3066E" w:rsidP="00ED44A4">
            <w:pPr>
              <w:pStyle w:val="Normal1"/>
              <w:rPr>
                <w:rFonts w:ascii="Calibri" w:hAnsi="Calibri"/>
              </w:rPr>
            </w:pPr>
          </w:p>
        </w:tc>
      </w:tr>
      <w:tr w:rsidR="00D9226A" w:rsidRPr="00457256" w14:paraId="7BE9576A" w14:textId="77777777" w:rsidTr="005772A8">
        <w:tc>
          <w:tcPr>
            <w:tcW w:w="8306" w:type="dxa"/>
            <w:gridSpan w:val="3"/>
            <w:shd w:val="clear" w:color="auto" w:fill="FF6600"/>
          </w:tcPr>
          <w:p w14:paraId="559979FA" w14:textId="77777777" w:rsidR="00D9226A" w:rsidRPr="00457256" w:rsidRDefault="00D9226A" w:rsidP="006E675F">
            <w:pPr>
              <w:rPr>
                <w:rFonts w:ascii="Calibri" w:hAnsi="Calibri"/>
              </w:rPr>
            </w:pPr>
            <w:r w:rsidRPr="00457256">
              <w:rPr>
                <w:rFonts w:ascii="Calibri" w:hAnsi="Calibri"/>
              </w:rPr>
              <w:t>Rationale</w:t>
            </w:r>
          </w:p>
        </w:tc>
      </w:tr>
      <w:tr w:rsidR="00D9226A" w:rsidRPr="00457256" w14:paraId="7010990A" w14:textId="77777777" w:rsidTr="005772A8">
        <w:tc>
          <w:tcPr>
            <w:tcW w:w="8306" w:type="dxa"/>
            <w:gridSpan w:val="3"/>
            <w:shd w:val="clear" w:color="auto" w:fill="auto"/>
          </w:tcPr>
          <w:p w14:paraId="41CB776B" w14:textId="77777777" w:rsidR="0018137D" w:rsidRPr="00D90495" w:rsidRDefault="0018137D" w:rsidP="00236351">
            <w:pPr>
              <w:jc w:val="both"/>
              <w:rPr>
                <w:rFonts w:ascii="Calibri" w:hAnsi="Calibri"/>
                <w:color w:val="000000"/>
              </w:rPr>
            </w:pPr>
          </w:p>
          <w:p w14:paraId="6C0800C0" w14:textId="77777777" w:rsidR="00A21511" w:rsidRDefault="00A21511" w:rsidP="000A00FE">
            <w:pPr>
              <w:jc w:val="both"/>
              <w:rPr>
                <w:rFonts w:ascii="Calibri" w:hAnsi="Calibri"/>
              </w:rPr>
            </w:pPr>
            <w:r w:rsidRPr="00265D6C">
              <w:rPr>
                <w:rFonts w:ascii="Calibri" w:hAnsi="Calibri"/>
                <w:b/>
                <w:bCs/>
              </w:rPr>
              <w:t>MHRA-Category 3</w:t>
            </w:r>
            <w:r>
              <w:rPr>
                <w:rFonts w:ascii="Calibri" w:hAnsi="Calibri"/>
              </w:rPr>
              <w:t xml:space="preserve">: The potential for clinically relevant differences to exist between different manufacturers’ products is considered to be extremely low.  However, consider other patient/carer-related factors, such as negative perceptions about alternative products and/or issues related to the patient. </w:t>
            </w:r>
          </w:p>
          <w:p w14:paraId="6E311538" w14:textId="77777777" w:rsidR="00A21511" w:rsidRDefault="00A21511" w:rsidP="00236351">
            <w:pPr>
              <w:jc w:val="both"/>
              <w:rPr>
                <w:rFonts w:ascii="Calibri" w:hAnsi="Calibri"/>
                <w:b/>
              </w:rPr>
            </w:pPr>
          </w:p>
          <w:p w14:paraId="35B10BBA" w14:textId="7E71C8CB" w:rsidR="00A4050E" w:rsidRPr="00402A7E" w:rsidRDefault="00A4050E" w:rsidP="00236351">
            <w:pPr>
              <w:jc w:val="both"/>
              <w:rPr>
                <w:rFonts w:ascii="Calibri" w:hAnsi="Calibri"/>
              </w:rPr>
            </w:pPr>
            <w:r w:rsidRPr="00594256">
              <w:rPr>
                <w:rFonts w:ascii="Calibri" w:hAnsi="Calibri"/>
                <w:b/>
              </w:rPr>
              <w:t>Half life</w:t>
            </w:r>
            <w:r w:rsidR="00ED44A4">
              <w:rPr>
                <w:rFonts w:ascii="Calibri" w:hAnsi="Calibri"/>
              </w:rPr>
              <w:t>:</w:t>
            </w:r>
            <w:r w:rsidR="00B14945">
              <w:rPr>
                <w:rFonts w:ascii="Calibri" w:hAnsi="Calibri"/>
              </w:rPr>
              <w:t xml:space="preserve"> L</w:t>
            </w:r>
            <w:r w:rsidR="00594256">
              <w:rPr>
                <w:rFonts w:ascii="Calibri" w:hAnsi="Calibri"/>
              </w:rPr>
              <w:t>evetiracetam</w:t>
            </w:r>
            <w:r w:rsidR="00B14945">
              <w:rPr>
                <w:rFonts w:ascii="Calibri" w:hAnsi="Calibri"/>
              </w:rPr>
              <w:t>:</w:t>
            </w:r>
            <w:r w:rsidR="00594256">
              <w:rPr>
                <w:rFonts w:ascii="Calibri" w:hAnsi="Calibri"/>
              </w:rPr>
              <w:t xml:space="preserve"> 6 to 8 hours</w:t>
            </w:r>
            <w:r w:rsidR="00594256" w:rsidRPr="00AE3C0F">
              <w:rPr>
                <w:rFonts w:ascii="Calibri" w:hAnsi="Calibri"/>
              </w:rPr>
              <w:t>. (Micromedex 2012)</w:t>
            </w:r>
          </w:p>
          <w:p w14:paraId="641BBFD3" w14:textId="77777777" w:rsidR="008E1F8F" w:rsidRPr="006D2965" w:rsidRDefault="008E1F8F" w:rsidP="00236351">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sidRPr="008034D0">
              <w:rPr>
                <w:rFonts w:ascii="Calibri" w:hAnsi="Calibri" w:cs="AdvP7B6C"/>
                <w:color w:val="000000"/>
              </w:rPr>
              <w:t xml:space="preserve">  </w:t>
            </w:r>
            <w:r>
              <w:rPr>
                <w:rFonts w:ascii="Calibri" w:hAnsi="Calibri" w:cs="AdvP7B6C"/>
                <w:color w:val="000000"/>
              </w:rPr>
              <w:t>(high</w:t>
            </w:r>
            <w:r w:rsidRPr="008034D0">
              <w:rPr>
                <w:rFonts w:ascii="Calibri" w:hAnsi="Calibri" w:cs="AdvP7B6C"/>
                <w:color w:val="000000"/>
              </w:rPr>
              <w:t xml:space="preserve"> solubility/high permeability</w:t>
            </w:r>
            <w:r>
              <w:rPr>
                <w:rFonts w:ascii="Calibri" w:hAnsi="Calibri" w:cs="AdvP7B6C"/>
                <w:color w:val="000000"/>
              </w:rPr>
              <w:t>)</w:t>
            </w:r>
          </w:p>
          <w:p w14:paraId="179AF904" w14:textId="77777777" w:rsidR="008E1F8F" w:rsidRPr="00AE3C0F" w:rsidRDefault="008E1F8F" w:rsidP="00236351">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 </w:t>
            </w:r>
          </w:p>
          <w:p w14:paraId="2F4FCF7E" w14:textId="77777777" w:rsidR="00ED44A4" w:rsidRPr="00C02A61" w:rsidRDefault="00ED44A4" w:rsidP="00236351">
            <w:pPr>
              <w:autoSpaceDE w:val="0"/>
              <w:autoSpaceDN w:val="0"/>
              <w:adjustRightInd w:val="0"/>
              <w:jc w:val="both"/>
              <w:rPr>
                <w:rFonts w:ascii="Calibri" w:hAnsi="Calibri"/>
                <w:b/>
                <w:u w:val="single"/>
              </w:rPr>
            </w:pPr>
          </w:p>
          <w:p w14:paraId="6069BD46" w14:textId="77777777" w:rsidR="00A31076" w:rsidRPr="00A31076" w:rsidRDefault="00A31076" w:rsidP="00A31076">
            <w:pPr>
              <w:jc w:val="both"/>
              <w:rPr>
                <w:rFonts w:ascii="Calibri" w:hAnsi="Calibri" w:cs="Calibri"/>
              </w:rPr>
            </w:pPr>
            <w:r w:rsidRPr="00A31076">
              <w:rPr>
                <w:rFonts w:ascii="Calibri" w:hAnsi="Calibri" w:cs="Calibri"/>
              </w:rPr>
              <w:t>A literature search retrieved 3 relevant studies.  These included 3 prospective observational studies (South Korea, 2 Italy), 2 retrospective, observational studies (Poland and US) investigating the rates of switchback to brand, a bioequivalence study, a retrospective analysis of therapeutic drug monitoring, and two papers describing 8 case reports.</w:t>
            </w:r>
          </w:p>
          <w:p w14:paraId="2BFB64F4" w14:textId="77777777" w:rsidR="00A4050E" w:rsidRDefault="00A4050E" w:rsidP="00236351">
            <w:pPr>
              <w:jc w:val="both"/>
              <w:rPr>
                <w:rFonts w:ascii="Calibri" w:hAnsi="Calibri"/>
              </w:rPr>
            </w:pPr>
          </w:p>
          <w:p w14:paraId="665CA9F3" w14:textId="77777777" w:rsidR="00564B08" w:rsidRDefault="00564B08" w:rsidP="00236351">
            <w:pPr>
              <w:jc w:val="both"/>
              <w:rPr>
                <w:rFonts w:ascii="Calibri" w:hAnsi="Calibri"/>
              </w:rPr>
            </w:pPr>
            <w:r>
              <w:rPr>
                <w:rFonts w:ascii="Calibri" w:hAnsi="Calibri"/>
              </w:rPr>
              <w:t xml:space="preserve">Due to the volume of information on levetiracetam the evidence reported below is a brief summary and more information can be found in appendix </w:t>
            </w:r>
            <w:r w:rsidR="00AE3C0F">
              <w:rPr>
                <w:rFonts w:ascii="Calibri" w:hAnsi="Calibri"/>
              </w:rPr>
              <w:t>5.</w:t>
            </w:r>
          </w:p>
          <w:p w14:paraId="0BF0A9CB" w14:textId="77777777" w:rsidR="00564B08" w:rsidRPr="0023218A" w:rsidRDefault="00564B08" w:rsidP="00236351">
            <w:pPr>
              <w:jc w:val="both"/>
              <w:rPr>
                <w:rFonts w:asciiTheme="minorHAnsi" w:hAnsiTheme="minorHAnsi" w:cstheme="minorHAnsi"/>
              </w:rPr>
            </w:pPr>
          </w:p>
          <w:p w14:paraId="6F882E36" w14:textId="77777777" w:rsidR="00BB782A" w:rsidRPr="0023218A" w:rsidRDefault="00BB782A" w:rsidP="000A00FE">
            <w:pPr>
              <w:spacing w:before="80" w:after="80"/>
              <w:jc w:val="both"/>
              <w:rPr>
                <w:rFonts w:asciiTheme="minorHAnsi" w:hAnsiTheme="minorHAnsi" w:cstheme="minorHAnsi"/>
              </w:rPr>
            </w:pPr>
            <w:r w:rsidRPr="0023218A">
              <w:rPr>
                <w:rFonts w:asciiTheme="minorHAnsi" w:hAnsiTheme="minorHAnsi" w:cstheme="minorHAnsi"/>
              </w:rPr>
              <w:t>An observational study in Italy of seizure-free patients with epilepsy who expressed the wish to switch to a generic drug for economic reasons. A total of 36 of 37 enrolled patients switched from Keppra to the same dose of epitiram and were evaluated for 6 months. Three of 36 patients dropped out during follow-up for adverse events. The other 33 subjects had neither seizures nor adverse events. No significant differences in electroencephalogram features and scale scores were revealed; the intersubject variability of LEV serum concentration did not differ significantly at follow-up evaluation (P = 0.53). All the patients expressed good clinical personal impression and continued to take epitiram. The switchback rate was 8 %.  (Fanella 2017)</w:t>
            </w:r>
          </w:p>
          <w:p w14:paraId="2F1077B7" w14:textId="77777777" w:rsidR="00BB782A" w:rsidRPr="0023218A" w:rsidRDefault="00BB782A" w:rsidP="000A00FE">
            <w:pPr>
              <w:spacing w:before="80" w:after="80"/>
              <w:jc w:val="both"/>
              <w:rPr>
                <w:rFonts w:asciiTheme="minorHAnsi" w:hAnsiTheme="minorHAnsi" w:cstheme="minorHAnsi"/>
              </w:rPr>
            </w:pPr>
          </w:p>
          <w:p w14:paraId="5661BA30" w14:textId="29E41BEF" w:rsidR="00BB782A" w:rsidRPr="0023218A" w:rsidRDefault="00BB782A" w:rsidP="000A00FE">
            <w:pPr>
              <w:spacing w:before="80" w:after="80"/>
              <w:jc w:val="both"/>
              <w:rPr>
                <w:rFonts w:asciiTheme="minorHAnsi" w:hAnsiTheme="minorHAnsi" w:cstheme="minorHAnsi"/>
              </w:rPr>
            </w:pPr>
            <w:r w:rsidRPr="0023218A">
              <w:rPr>
                <w:rFonts w:asciiTheme="minorHAnsi" w:hAnsiTheme="minorHAnsi" w:cstheme="minorHAnsi"/>
              </w:rPr>
              <w:t>A prospective study included 148 epilepsy patients in South Korea who were treated with branded levetiracetam for at least 6 months of sustained use and were switched to the generic levetiracetam. 109 (73.6%) were seizure-free before substitution and 105 patients remained seizure-free after switching. After generic substitution, an increased seizure frequency was noted in seven patients (4.7%), and a decreased seizure frequency was noted in 10 (6.8%). The authors concluded that the risk of increased seizure frequency after generic substitution was minimal. (Gha-Hyun 2018)</w:t>
            </w:r>
          </w:p>
          <w:p w14:paraId="7E30A4EA" w14:textId="77777777" w:rsidR="00BB782A" w:rsidRPr="0023218A" w:rsidRDefault="00BB782A" w:rsidP="000A00FE">
            <w:pPr>
              <w:autoSpaceDE w:val="0"/>
              <w:autoSpaceDN w:val="0"/>
              <w:adjustRightInd w:val="0"/>
              <w:jc w:val="both"/>
              <w:rPr>
                <w:rFonts w:asciiTheme="minorHAnsi" w:hAnsiTheme="minorHAnsi" w:cstheme="minorHAnsi"/>
              </w:rPr>
            </w:pPr>
          </w:p>
          <w:p w14:paraId="2B33B146" w14:textId="77777777" w:rsidR="00BB782A" w:rsidRPr="0023218A" w:rsidRDefault="00BB782A" w:rsidP="000A00FE">
            <w:pPr>
              <w:autoSpaceDE w:val="0"/>
              <w:autoSpaceDN w:val="0"/>
              <w:adjustRightInd w:val="0"/>
              <w:jc w:val="both"/>
              <w:rPr>
                <w:rFonts w:asciiTheme="minorHAnsi" w:hAnsiTheme="minorHAnsi" w:cstheme="minorHAnsi"/>
                <w:b/>
              </w:rPr>
            </w:pPr>
            <w:r w:rsidRPr="0023218A">
              <w:rPr>
                <w:rFonts w:asciiTheme="minorHAnsi" w:hAnsiTheme="minorHAnsi" w:cstheme="minorHAnsi"/>
              </w:rPr>
              <w:t xml:space="preserve">A prospective study in 58 patients in Italy with primary, cryptogenic or symptomatic epilepsy, taking branded levetiracetam (28 monotherapy and 30 polytherapy) and switched to generic levetiracetam.  There was no statistically significant difference in terms of seizure frequency and intensity, occurrence of adverse events, laboratory parameters and electroencephalographic features. Two patients stopped treatment with the generic (both at 3 months after the switch) and restarted therapy with brand levetiracetam because of seizure increase. At the end of the study, the switchback rate was 3.4 %. </w:t>
            </w:r>
            <w:r w:rsidRPr="0023218A">
              <w:rPr>
                <w:rFonts w:asciiTheme="minorHAnsi" w:hAnsiTheme="minorHAnsi" w:cstheme="minorHAnsi"/>
                <w:bCs/>
              </w:rPr>
              <w:t>The authors concluded there was n</w:t>
            </w:r>
            <w:r w:rsidRPr="0023218A">
              <w:rPr>
                <w:rFonts w:asciiTheme="minorHAnsi" w:hAnsiTheme="minorHAnsi" w:cstheme="minorHAnsi"/>
              </w:rPr>
              <w:t>o increase of seizures and adverse effects were observed when branded levetiracetam was interchanged to a generic equivalent. (Vari 2016)</w:t>
            </w:r>
          </w:p>
          <w:p w14:paraId="7924A577" w14:textId="77777777" w:rsidR="00BB782A" w:rsidRPr="0023218A" w:rsidRDefault="00BB782A" w:rsidP="000A00FE">
            <w:pPr>
              <w:autoSpaceDE w:val="0"/>
              <w:autoSpaceDN w:val="0"/>
              <w:adjustRightInd w:val="0"/>
              <w:jc w:val="both"/>
              <w:rPr>
                <w:rFonts w:asciiTheme="minorHAnsi" w:hAnsiTheme="minorHAnsi" w:cstheme="minorHAnsi"/>
              </w:rPr>
            </w:pPr>
          </w:p>
          <w:p w14:paraId="0DECBAAC" w14:textId="77777777" w:rsidR="00BB782A" w:rsidRPr="0023218A" w:rsidRDefault="00BB782A" w:rsidP="00BB782A">
            <w:pPr>
              <w:autoSpaceDE w:val="0"/>
              <w:autoSpaceDN w:val="0"/>
              <w:adjustRightInd w:val="0"/>
              <w:jc w:val="both"/>
              <w:rPr>
                <w:rFonts w:asciiTheme="minorHAnsi" w:hAnsiTheme="minorHAnsi" w:cstheme="minorHAnsi"/>
              </w:rPr>
            </w:pPr>
            <w:r w:rsidRPr="0023218A">
              <w:rPr>
                <w:rFonts w:asciiTheme="minorHAnsi" w:hAnsiTheme="minorHAnsi" w:cstheme="minorHAnsi"/>
              </w:rPr>
              <w:t xml:space="preserve">A retrospective analysis of 151 patients in Poland with epilepsy who switched from brand to generic levetiracetam. Data from one visit before the switch was compared with two visits after the switch. Increased frequency of seizures was noted in 9 patients (6%) during the first follow-up visit. Patients with increased frequency of seizures did not differ from other patients regarding sex, age, age at the onset of epilepsy, and the median dose of levetiracetam before switching or the median duration of treatment before switching. Two patients returned to brand-name LEV. Adverse events were noted in six other patients (4%) and included somnolence, irritability, or dizziness. </w:t>
            </w:r>
            <w:r w:rsidRPr="0023218A">
              <w:rPr>
                <w:rFonts w:asciiTheme="minorHAnsi" w:hAnsiTheme="minorHAnsi" w:cstheme="minorHAnsi"/>
                <w:bCs/>
              </w:rPr>
              <w:t>The authors concluded that</w:t>
            </w:r>
            <w:r w:rsidRPr="0023218A">
              <w:rPr>
                <w:rFonts w:asciiTheme="minorHAnsi" w:hAnsiTheme="minorHAnsi" w:cstheme="minorHAnsi"/>
                <w:b/>
                <w:bCs/>
              </w:rPr>
              <w:t xml:space="preserve"> s</w:t>
            </w:r>
            <w:r w:rsidRPr="0023218A">
              <w:rPr>
                <w:rFonts w:asciiTheme="minorHAnsi" w:hAnsiTheme="minorHAnsi" w:cstheme="minorHAnsi"/>
              </w:rPr>
              <w:t>witching from brand-name to generic levetiracetam is generally safe.  (Bosak 2017)</w:t>
            </w:r>
          </w:p>
          <w:p w14:paraId="4DC21673" w14:textId="77777777" w:rsidR="00BB782A" w:rsidRPr="0023218A" w:rsidRDefault="00BB782A" w:rsidP="00BB782A">
            <w:pPr>
              <w:autoSpaceDE w:val="0"/>
              <w:autoSpaceDN w:val="0"/>
              <w:adjustRightInd w:val="0"/>
              <w:jc w:val="both"/>
              <w:rPr>
                <w:rFonts w:asciiTheme="minorHAnsi" w:hAnsiTheme="minorHAnsi" w:cstheme="minorHAnsi"/>
              </w:rPr>
            </w:pPr>
          </w:p>
          <w:p w14:paraId="2AAE9468" w14:textId="77777777" w:rsidR="00A4050E" w:rsidRPr="0023218A" w:rsidRDefault="00A4050E" w:rsidP="00236351">
            <w:pPr>
              <w:autoSpaceDE w:val="0"/>
              <w:autoSpaceDN w:val="0"/>
              <w:adjustRightInd w:val="0"/>
              <w:jc w:val="both"/>
              <w:rPr>
                <w:rFonts w:asciiTheme="minorHAnsi" w:hAnsiTheme="minorHAnsi" w:cstheme="minorHAnsi"/>
              </w:rPr>
            </w:pPr>
            <w:r w:rsidRPr="0023218A">
              <w:rPr>
                <w:rFonts w:asciiTheme="minorHAnsi" w:hAnsiTheme="minorHAnsi" w:cstheme="minorHAnsi"/>
              </w:rPr>
              <w:t>An observational study included 260 patients in the US who were prescribed generic levetiracetam after mandatory switching.  105 (42.9%) patients switched back to branded levetiracetam.  The reasons for switchback included</w:t>
            </w:r>
            <w:r w:rsidR="00B265FF" w:rsidRPr="0023218A">
              <w:rPr>
                <w:rFonts w:asciiTheme="minorHAnsi" w:hAnsiTheme="minorHAnsi" w:cstheme="minorHAnsi"/>
              </w:rPr>
              <w:t xml:space="preserve"> an</w:t>
            </w:r>
            <w:r w:rsidRPr="0023218A">
              <w:rPr>
                <w:rFonts w:asciiTheme="minorHAnsi" w:hAnsiTheme="minorHAnsi" w:cstheme="minorHAnsi"/>
              </w:rPr>
              <w:t xml:space="preserve"> increase in seizure frequency (n = 48, 19.6%), although 4 patients had decreased seizure frequency on generic 1.6%; (p &lt; 0.0001).  Adverse effects occurred in 8 patients on the generic (3.3%) including complaints of blurred vision (n = 4), headache (n = 3), depression (n = 2), memory loss (n = 2), aggression (n = 1), and mood swings (n = 1), where several of these adverse effects were experienced in conjunction with each other.  An increase in seizure frequency following generic substitution was associated with polytherapy compared to monotherapy (RR 3.223; CI 1.512 – 6.880; p &lt; 0.05).  </w:t>
            </w:r>
            <w:r w:rsidR="00ED44A4" w:rsidRPr="0023218A">
              <w:rPr>
                <w:rFonts w:asciiTheme="minorHAnsi" w:hAnsiTheme="minorHAnsi" w:cstheme="minorHAnsi"/>
              </w:rPr>
              <w:t>(</w:t>
            </w:r>
            <w:r w:rsidRPr="0023218A">
              <w:rPr>
                <w:rFonts w:asciiTheme="minorHAnsi" w:hAnsiTheme="minorHAnsi" w:cstheme="minorHAnsi"/>
              </w:rPr>
              <w:t>Chaluvadi 2011)</w:t>
            </w:r>
          </w:p>
          <w:p w14:paraId="7F904554" w14:textId="77777777" w:rsidR="00D133AF" w:rsidRPr="0023218A" w:rsidRDefault="00D133AF" w:rsidP="000A00FE">
            <w:pPr>
              <w:autoSpaceDE w:val="0"/>
              <w:autoSpaceDN w:val="0"/>
              <w:adjustRightInd w:val="0"/>
              <w:jc w:val="both"/>
              <w:rPr>
                <w:rFonts w:asciiTheme="minorHAnsi" w:hAnsiTheme="minorHAnsi" w:cstheme="minorHAnsi"/>
                <w:b/>
              </w:rPr>
            </w:pPr>
          </w:p>
          <w:p w14:paraId="5CC0B5E1" w14:textId="50EE6AEF" w:rsidR="00D133AF" w:rsidRPr="0023218A" w:rsidRDefault="00D133AF" w:rsidP="000A00FE">
            <w:pPr>
              <w:autoSpaceDE w:val="0"/>
              <w:autoSpaceDN w:val="0"/>
              <w:adjustRightInd w:val="0"/>
              <w:jc w:val="both"/>
              <w:rPr>
                <w:rFonts w:asciiTheme="minorHAnsi" w:hAnsiTheme="minorHAnsi" w:cstheme="minorHAnsi"/>
                <w:b/>
              </w:rPr>
            </w:pPr>
            <w:r w:rsidRPr="0023218A">
              <w:rPr>
                <w:rFonts w:asciiTheme="minorHAnsi" w:hAnsiTheme="minorHAnsi" w:cstheme="minorHAnsi"/>
              </w:rPr>
              <w:t>A prospective, open-label, non-randomised, steady-state, multiple-dose, bioequivalence study was conducted in 12 patients with epilepsy</w:t>
            </w:r>
            <w:r w:rsidR="00F40810" w:rsidRPr="0023218A">
              <w:rPr>
                <w:rFonts w:asciiTheme="minorHAnsi" w:hAnsiTheme="minorHAnsi" w:cstheme="minorHAnsi"/>
              </w:rPr>
              <w:t xml:space="preserve"> in Greece</w:t>
            </w:r>
            <w:r w:rsidRPr="0023218A">
              <w:rPr>
                <w:rFonts w:asciiTheme="minorHAnsi" w:hAnsiTheme="minorHAnsi" w:cstheme="minorHAnsi"/>
              </w:rPr>
              <w:t>. Patients treated with the brand levetiracetam (Keppra; UCB Pharma) for a four-week period and subsequently swi</w:t>
            </w:r>
            <w:r w:rsidR="00BB1D88" w:rsidRPr="0023218A">
              <w:rPr>
                <w:rFonts w:asciiTheme="minorHAnsi" w:hAnsiTheme="minorHAnsi" w:cstheme="minorHAnsi"/>
              </w:rPr>
              <w:t>tched to a generic levetiracetam</w:t>
            </w:r>
            <w:r w:rsidRPr="0023218A">
              <w:rPr>
                <w:rFonts w:asciiTheme="minorHAnsi" w:hAnsiTheme="minorHAnsi" w:cstheme="minorHAnsi"/>
              </w:rPr>
              <w:t xml:space="preserve"> (Pharmaten) for another four-</w:t>
            </w:r>
            <w:r w:rsidR="00BB1D88" w:rsidRPr="0023218A">
              <w:rPr>
                <w:rFonts w:asciiTheme="minorHAnsi" w:hAnsiTheme="minorHAnsi" w:cstheme="minorHAnsi"/>
              </w:rPr>
              <w:t xml:space="preserve">week period. </w:t>
            </w:r>
            <w:r w:rsidRPr="0023218A">
              <w:rPr>
                <w:rFonts w:asciiTheme="minorHAnsi" w:hAnsiTheme="minorHAnsi" w:cstheme="minorHAnsi"/>
              </w:rPr>
              <w:t>The mean AUC +/- SD and Cmax +/- SD was 288.4 +/- 86.3 (mg/L) h and 37.8 +/- 10.4</w:t>
            </w:r>
            <w:r w:rsidR="00BB1D88" w:rsidRPr="0023218A">
              <w:rPr>
                <w:rFonts w:asciiTheme="minorHAnsi" w:hAnsiTheme="minorHAnsi" w:cstheme="minorHAnsi"/>
              </w:rPr>
              <w:t xml:space="preserve"> mg/L respectively for brand levetiracetam</w:t>
            </w:r>
            <w:r w:rsidRPr="0023218A">
              <w:rPr>
                <w:rFonts w:asciiTheme="minorHAnsi" w:hAnsiTheme="minorHAnsi" w:cstheme="minorHAnsi"/>
              </w:rPr>
              <w:t xml:space="preserve"> and 319.2 +/- 104.7 (mg/L) h and 41.6 +/- 12.3 mg</w:t>
            </w:r>
            <w:r w:rsidR="00BB1D88" w:rsidRPr="0023218A">
              <w:rPr>
                <w:rFonts w:asciiTheme="minorHAnsi" w:hAnsiTheme="minorHAnsi" w:cstheme="minorHAnsi"/>
              </w:rPr>
              <w:t>/L respectively for the generic</w:t>
            </w:r>
            <w:r w:rsidRPr="0023218A">
              <w:rPr>
                <w:rFonts w:asciiTheme="minorHAnsi" w:hAnsiTheme="minorHAnsi" w:cstheme="minorHAnsi"/>
              </w:rPr>
              <w:t>. Statistic analysis showed no statistical significant difference in bioequivalence. Also, no change in seizures frequency and/or adverse events was recorded.</w:t>
            </w:r>
            <w:r w:rsidR="00BB1D88" w:rsidRPr="0023218A">
              <w:rPr>
                <w:rFonts w:asciiTheme="minorHAnsi" w:hAnsiTheme="minorHAnsi" w:cstheme="minorHAnsi"/>
              </w:rPr>
              <w:t xml:space="preserve"> </w:t>
            </w:r>
            <w:r w:rsidRPr="0023218A">
              <w:rPr>
                <w:rFonts w:asciiTheme="minorHAnsi" w:hAnsiTheme="minorHAnsi" w:cstheme="minorHAnsi"/>
              </w:rPr>
              <w:t xml:space="preserve">  </w:t>
            </w:r>
            <w:r w:rsidR="00BB1D88" w:rsidRPr="0023218A">
              <w:rPr>
                <w:rFonts w:asciiTheme="minorHAnsi" w:hAnsiTheme="minorHAnsi" w:cstheme="minorHAnsi"/>
              </w:rPr>
              <w:t>(Markoula 2017)</w:t>
            </w:r>
            <w:r w:rsidRPr="0023218A">
              <w:rPr>
                <w:rFonts w:asciiTheme="minorHAnsi" w:hAnsiTheme="minorHAnsi" w:cstheme="minorHAnsi"/>
              </w:rPr>
              <w:t xml:space="preserve">   </w:t>
            </w:r>
          </w:p>
          <w:p w14:paraId="74F77884" w14:textId="77777777" w:rsidR="00D133AF" w:rsidRPr="0023218A" w:rsidRDefault="00D133AF" w:rsidP="000A00FE">
            <w:pPr>
              <w:autoSpaceDE w:val="0"/>
              <w:autoSpaceDN w:val="0"/>
              <w:adjustRightInd w:val="0"/>
              <w:jc w:val="both"/>
              <w:rPr>
                <w:rFonts w:asciiTheme="minorHAnsi" w:hAnsiTheme="minorHAnsi" w:cstheme="minorHAnsi"/>
                <w:b/>
              </w:rPr>
            </w:pPr>
          </w:p>
          <w:p w14:paraId="54D744A8" w14:textId="1BB147FE" w:rsidR="00D133AF" w:rsidRPr="0023218A" w:rsidRDefault="001478F8" w:rsidP="000A00FE">
            <w:pPr>
              <w:autoSpaceDE w:val="0"/>
              <w:autoSpaceDN w:val="0"/>
              <w:adjustRightInd w:val="0"/>
              <w:jc w:val="both"/>
              <w:rPr>
                <w:rFonts w:asciiTheme="minorHAnsi" w:hAnsiTheme="minorHAnsi" w:cstheme="minorHAnsi"/>
                <w:b/>
                <w:bCs/>
              </w:rPr>
            </w:pPr>
            <w:r w:rsidRPr="0023218A">
              <w:rPr>
                <w:rFonts w:asciiTheme="minorHAnsi" w:hAnsiTheme="minorHAnsi" w:cstheme="minorHAnsi"/>
              </w:rPr>
              <w:t xml:space="preserve">A retrospective analysis on prospectively collected data from a therapeutic drug monitoring (TDM) database. 27 on levetiracetam with at least one TDM test while receiving generic products were compared with </w:t>
            </w:r>
            <w:r w:rsidR="00FB6585" w:rsidRPr="0023218A">
              <w:rPr>
                <w:rFonts w:asciiTheme="minorHAnsi" w:hAnsiTheme="minorHAnsi" w:cstheme="minorHAnsi"/>
              </w:rPr>
              <w:t>120</w:t>
            </w:r>
            <w:r w:rsidRPr="0023218A">
              <w:rPr>
                <w:rFonts w:asciiTheme="minorHAnsi" w:hAnsiTheme="minorHAnsi" w:cstheme="minorHAnsi"/>
              </w:rPr>
              <w:t xml:space="preserve"> control patients for levetiracetam. The proportion of patients showing an intrasubject change greater than +/-20% in AED plasma concentrations was similar in the brand name vs generic group compared with the control one for and levetiracetam (44% vs 38%), These are the first data in the literature about the within-patient variation in steady-state plasma concentrations of a series of stable treatments with brand-name AEDs in a real clinical setting. </w:t>
            </w:r>
            <w:r w:rsidRPr="0023218A">
              <w:rPr>
                <w:rFonts w:asciiTheme="minorHAnsi" w:hAnsiTheme="minorHAnsi" w:cstheme="minorHAnsi"/>
                <w:bCs/>
              </w:rPr>
              <w:t>The authors concluded that</w:t>
            </w:r>
            <w:r w:rsidRPr="0023218A">
              <w:rPr>
                <w:rFonts w:asciiTheme="minorHAnsi" w:hAnsiTheme="minorHAnsi" w:cstheme="minorHAnsi"/>
                <w:b/>
                <w:bCs/>
              </w:rPr>
              <w:t xml:space="preserve"> </w:t>
            </w:r>
            <w:r w:rsidRPr="0023218A">
              <w:rPr>
                <w:rFonts w:asciiTheme="minorHAnsi" w:hAnsiTheme="minorHAnsi" w:cstheme="minorHAnsi"/>
              </w:rPr>
              <w:t xml:space="preserve">a significant interday variability in intrapatient </w:t>
            </w:r>
            <w:r w:rsidR="00FB6585" w:rsidRPr="0023218A">
              <w:rPr>
                <w:rFonts w:asciiTheme="minorHAnsi" w:hAnsiTheme="minorHAnsi" w:cstheme="minorHAnsi"/>
              </w:rPr>
              <w:t xml:space="preserve">levetiracetam </w:t>
            </w:r>
            <w:r w:rsidRPr="0023218A">
              <w:rPr>
                <w:rFonts w:asciiTheme="minorHAnsi" w:hAnsiTheme="minorHAnsi" w:cstheme="minorHAnsi"/>
              </w:rPr>
              <w:t>plasma concentrations can be observed even in patients stabilized with the same brand name product over time. This suggests that any change in plasma AED concentration and possible related clinical effects after generic substitution may be not necessarily related to the switch.</w:t>
            </w:r>
            <w:r w:rsidR="008E48BB" w:rsidRPr="0023218A">
              <w:rPr>
                <w:rFonts w:asciiTheme="minorHAnsi" w:hAnsiTheme="minorHAnsi" w:cstheme="minorHAnsi"/>
              </w:rPr>
              <w:t xml:space="preserve"> (Contin 2016)</w:t>
            </w:r>
          </w:p>
          <w:p w14:paraId="6171BFAA" w14:textId="77777777" w:rsidR="00D133AF" w:rsidRPr="0023218A" w:rsidRDefault="00D133AF" w:rsidP="000A00FE">
            <w:pPr>
              <w:autoSpaceDE w:val="0"/>
              <w:autoSpaceDN w:val="0"/>
              <w:adjustRightInd w:val="0"/>
              <w:jc w:val="both"/>
              <w:rPr>
                <w:rFonts w:asciiTheme="minorHAnsi" w:hAnsiTheme="minorHAnsi" w:cstheme="minorHAnsi"/>
                <w:b/>
              </w:rPr>
            </w:pPr>
          </w:p>
          <w:p w14:paraId="4E91DE37" w14:textId="77777777" w:rsidR="00F4770C" w:rsidRPr="0023218A" w:rsidRDefault="00F4770C" w:rsidP="000A00FE">
            <w:pPr>
              <w:jc w:val="both"/>
              <w:rPr>
                <w:rFonts w:asciiTheme="minorHAnsi" w:hAnsiTheme="minorHAnsi" w:cstheme="minorHAnsi"/>
              </w:rPr>
            </w:pPr>
            <w:r w:rsidRPr="0023218A">
              <w:rPr>
                <w:rFonts w:asciiTheme="minorHAnsi" w:hAnsiTheme="minorHAnsi" w:cstheme="minorHAnsi"/>
              </w:rPr>
              <w:t xml:space="preserve">Two US papers describe case reports of epilepsy patients who have had problems after switching from brand levetiracetam to generic.  </w:t>
            </w:r>
          </w:p>
          <w:p w14:paraId="4D06D413" w14:textId="77777777" w:rsidR="00F4770C" w:rsidRPr="0023218A" w:rsidRDefault="00F4770C" w:rsidP="000A00FE">
            <w:pPr>
              <w:jc w:val="both"/>
              <w:rPr>
                <w:rFonts w:asciiTheme="minorHAnsi" w:hAnsiTheme="minorHAnsi" w:cstheme="minorHAnsi"/>
              </w:rPr>
            </w:pPr>
          </w:p>
          <w:p w14:paraId="1A02AC8E" w14:textId="77777777" w:rsidR="00F4770C" w:rsidRPr="0023218A" w:rsidRDefault="00F4770C" w:rsidP="000A00FE">
            <w:pPr>
              <w:autoSpaceDE w:val="0"/>
              <w:autoSpaceDN w:val="0"/>
              <w:adjustRightInd w:val="0"/>
              <w:jc w:val="both"/>
              <w:rPr>
                <w:rFonts w:asciiTheme="minorHAnsi" w:hAnsiTheme="minorHAnsi" w:cstheme="minorHAnsi"/>
                <w:iCs/>
              </w:rPr>
            </w:pPr>
            <w:r w:rsidRPr="0023218A">
              <w:rPr>
                <w:rFonts w:asciiTheme="minorHAnsi" w:hAnsiTheme="minorHAnsi" w:cstheme="minorHAnsi"/>
              </w:rPr>
              <w:t xml:space="preserve">The first paper reported that patients had an increase in seizure frequency after being changed from branded levetiracetam to generic and their seizure frequency returned to baseline after switching back to Keppra.  The authors concluded there was ‘probable causality’ with generic levetiracetam.  (Fitzgerald </w:t>
            </w:r>
            <w:r w:rsidRPr="0023218A">
              <w:rPr>
                <w:rFonts w:asciiTheme="minorHAnsi" w:hAnsiTheme="minorHAnsi" w:cstheme="minorHAnsi"/>
                <w:iCs/>
              </w:rPr>
              <w:t>2011)</w:t>
            </w:r>
          </w:p>
          <w:p w14:paraId="73A27A48" w14:textId="77777777" w:rsidR="00F4770C" w:rsidRPr="0023218A" w:rsidRDefault="00F4770C" w:rsidP="000A00FE">
            <w:pPr>
              <w:jc w:val="both"/>
              <w:rPr>
                <w:rFonts w:asciiTheme="minorHAnsi" w:hAnsiTheme="minorHAnsi" w:cstheme="minorHAnsi"/>
              </w:rPr>
            </w:pPr>
          </w:p>
          <w:p w14:paraId="3B3A0CED" w14:textId="77777777" w:rsidR="00F4770C" w:rsidRPr="0023218A" w:rsidRDefault="00F4770C" w:rsidP="000A00FE">
            <w:pPr>
              <w:autoSpaceDE w:val="0"/>
              <w:autoSpaceDN w:val="0"/>
              <w:adjustRightInd w:val="0"/>
              <w:jc w:val="both"/>
              <w:rPr>
                <w:rFonts w:asciiTheme="minorHAnsi" w:hAnsiTheme="minorHAnsi" w:cstheme="minorHAnsi"/>
              </w:rPr>
            </w:pPr>
            <w:r w:rsidRPr="0023218A">
              <w:rPr>
                <w:rFonts w:asciiTheme="minorHAnsi" w:hAnsiTheme="minorHAnsi" w:cstheme="minorHAnsi"/>
              </w:rPr>
              <w:t xml:space="preserve">Another US paper described 4 brain tumour patients who experienced increased seizure frequency following brand to generic switch.   (Armstrong 2010) </w:t>
            </w:r>
          </w:p>
          <w:p w14:paraId="63D2C668" w14:textId="77777777" w:rsidR="00405A35" w:rsidRPr="0023218A" w:rsidRDefault="00405A35" w:rsidP="000A00FE">
            <w:pPr>
              <w:autoSpaceDE w:val="0"/>
              <w:autoSpaceDN w:val="0"/>
              <w:adjustRightInd w:val="0"/>
              <w:jc w:val="both"/>
              <w:rPr>
                <w:rFonts w:asciiTheme="minorHAnsi" w:hAnsiTheme="minorHAnsi" w:cstheme="minorHAnsi"/>
                <w:b/>
              </w:rPr>
            </w:pPr>
          </w:p>
          <w:p w14:paraId="0F5CA41D" w14:textId="77777777" w:rsidR="00405A35" w:rsidRPr="0076504A" w:rsidRDefault="00405A35" w:rsidP="005772A8">
            <w:pPr>
              <w:autoSpaceDE w:val="0"/>
              <w:autoSpaceDN w:val="0"/>
              <w:adjustRightInd w:val="0"/>
              <w:rPr>
                <w:rFonts w:ascii="Calibri" w:hAnsi="Calibri" w:cs="Arial"/>
                <w:b/>
              </w:rPr>
            </w:pPr>
          </w:p>
        </w:tc>
      </w:tr>
    </w:tbl>
    <w:p w14:paraId="47CC10CA" w14:textId="77777777" w:rsidR="00D9226A" w:rsidRDefault="00D9226A">
      <w:pPr>
        <w:rPr>
          <w:rFonts w:ascii="Calibri" w:hAnsi="Calibri"/>
        </w:rPr>
      </w:pPr>
    </w:p>
    <w:p w14:paraId="7AACEE78" w14:textId="77777777" w:rsidR="00940FAF" w:rsidRDefault="00940FAF">
      <w:pPr>
        <w:rPr>
          <w:rFonts w:ascii="Calibri" w:hAnsi="Calibri"/>
        </w:rPr>
      </w:pPr>
    </w:p>
    <w:p w14:paraId="574570AC" w14:textId="77777777" w:rsidR="00940FAF" w:rsidRPr="0018137D" w:rsidRDefault="0076504A">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764490" w:rsidRPr="00457256" w14:paraId="0D724DB0" w14:textId="77777777">
        <w:tc>
          <w:tcPr>
            <w:tcW w:w="8522" w:type="dxa"/>
            <w:gridSpan w:val="3"/>
            <w:tcBorders>
              <w:top w:val="nil"/>
              <w:left w:val="nil"/>
              <w:bottom w:val="nil"/>
              <w:right w:val="nil"/>
            </w:tcBorders>
            <w:shd w:val="clear" w:color="auto" w:fill="FF6600"/>
          </w:tcPr>
          <w:p w14:paraId="1E0052B9" w14:textId="77777777" w:rsidR="00764490" w:rsidRPr="00457256" w:rsidRDefault="00764490" w:rsidP="00764490">
            <w:pPr>
              <w:pStyle w:val="Heading3"/>
              <w:rPr>
                <w:rFonts w:ascii="Calibri" w:hAnsi="Calibri"/>
              </w:rPr>
            </w:pPr>
            <w:bookmarkStart w:id="11" w:name="_Oxcarbazepine"/>
            <w:bookmarkEnd w:id="11"/>
            <w:r w:rsidRPr="00457256">
              <w:rPr>
                <w:rFonts w:ascii="Calibri" w:hAnsi="Calibri"/>
              </w:rPr>
              <w:t>Oxcarbazepine</w:t>
            </w:r>
          </w:p>
        </w:tc>
      </w:tr>
      <w:tr w:rsidR="00764490" w:rsidRPr="00457256" w14:paraId="2CE2ABB6" w14:textId="77777777">
        <w:tc>
          <w:tcPr>
            <w:tcW w:w="8522" w:type="dxa"/>
            <w:gridSpan w:val="3"/>
            <w:tcBorders>
              <w:top w:val="nil"/>
            </w:tcBorders>
            <w:shd w:val="clear" w:color="auto" w:fill="000000"/>
          </w:tcPr>
          <w:p w14:paraId="751B218A" w14:textId="77777777" w:rsidR="00764490" w:rsidRPr="00457256" w:rsidRDefault="00764490" w:rsidP="00764490">
            <w:pPr>
              <w:rPr>
                <w:rFonts w:ascii="Calibri" w:hAnsi="Calibri"/>
              </w:rPr>
            </w:pPr>
          </w:p>
        </w:tc>
      </w:tr>
      <w:tr w:rsidR="00764490" w:rsidRPr="00457256" w14:paraId="3F35FEC1" w14:textId="77777777">
        <w:tc>
          <w:tcPr>
            <w:tcW w:w="1908" w:type="dxa"/>
            <w:vMerge w:val="restart"/>
            <w:shd w:val="clear" w:color="auto" w:fill="auto"/>
            <w:vAlign w:val="center"/>
          </w:tcPr>
          <w:p w14:paraId="0EE23345" w14:textId="77777777" w:rsidR="00764490" w:rsidRPr="00457256" w:rsidRDefault="00764490" w:rsidP="00764490">
            <w:pPr>
              <w:rPr>
                <w:rFonts w:ascii="Calibri" w:hAnsi="Calibri"/>
              </w:rPr>
            </w:pPr>
            <w:r w:rsidRPr="00457256">
              <w:rPr>
                <w:rFonts w:ascii="Calibri" w:hAnsi="Calibri"/>
              </w:rPr>
              <w:t>Forms available</w:t>
            </w:r>
          </w:p>
        </w:tc>
        <w:tc>
          <w:tcPr>
            <w:tcW w:w="2700" w:type="dxa"/>
            <w:shd w:val="clear" w:color="auto" w:fill="auto"/>
          </w:tcPr>
          <w:p w14:paraId="16D5A2DA" w14:textId="77777777" w:rsidR="00764490" w:rsidRPr="00457256" w:rsidRDefault="00764490" w:rsidP="00764490">
            <w:pPr>
              <w:rPr>
                <w:rFonts w:ascii="Calibri" w:hAnsi="Calibri"/>
              </w:rPr>
            </w:pPr>
            <w:r w:rsidRPr="00457256">
              <w:rPr>
                <w:rFonts w:ascii="Calibri" w:hAnsi="Calibri"/>
              </w:rPr>
              <w:t>Oral solution</w:t>
            </w:r>
          </w:p>
        </w:tc>
        <w:tc>
          <w:tcPr>
            <w:tcW w:w="3914" w:type="dxa"/>
            <w:shd w:val="clear" w:color="auto" w:fill="auto"/>
          </w:tcPr>
          <w:p w14:paraId="1CD5554C" w14:textId="77777777" w:rsidR="00764490" w:rsidRPr="00457256" w:rsidRDefault="00764490" w:rsidP="00764490">
            <w:pPr>
              <w:rPr>
                <w:rFonts w:ascii="Calibri" w:hAnsi="Calibri"/>
              </w:rPr>
            </w:pPr>
            <w:r w:rsidRPr="00457256">
              <w:rPr>
                <w:rFonts w:ascii="Calibri" w:hAnsi="Calibri"/>
              </w:rPr>
              <w:t>300mg/5ml</w:t>
            </w:r>
          </w:p>
        </w:tc>
      </w:tr>
      <w:tr w:rsidR="00764490" w:rsidRPr="00457256" w14:paraId="5DDF927F" w14:textId="77777777">
        <w:tc>
          <w:tcPr>
            <w:tcW w:w="1908" w:type="dxa"/>
            <w:vMerge/>
            <w:shd w:val="clear" w:color="auto" w:fill="auto"/>
          </w:tcPr>
          <w:p w14:paraId="157B0A28" w14:textId="77777777" w:rsidR="00764490" w:rsidRPr="00457256" w:rsidRDefault="00764490" w:rsidP="00764490">
            <w:pPr>
              <w:rPr>
                <w:rFonts w:ascii="Calibri" w:hAnsi="Calibri"/>
              </w:rPr>
            </w:pPr>
          </w:p>
        </w:tc>
        <w:tc>
          <w:tcPr>
            <w:tcW w:w="2700" w:type="dxa"/>
            <w:shd w:val="clear" w:color="auto" w:fill="auto"/>
          </w:tcPr>
          <w:p w14:paraId="2C41646B" w14:textId="77777777" w:rsidR="00764490" w:rsidRPr="00457256" w:rsidRDefault="00764490" w:rsidP="00764490">
            <w:pPr>
              <w:rPr>
                <w:rFonts w:ascii="Calibri" w:hAnsi="Calibri"/>
              </w:rPr>
            </w:pPr>
            <w:r w:rsidRPr="00457256">
              <w:rPr>
                <w:rFonts w:ascii="Calibri" w:hAnsi="Calibri"/>
              </w:rPr>
              <w:t>Tablets</w:t>
            </w:r>
          </w:p>
        </w:tc>
        <w:tc>
          <w:tcPr>
            <w:tcW w:w="3914" w:type="dxa"/>
            <w:shd w:val="clear" w:color="auto" w:fill="auto"/>
          </w:tcPr>
          <w:p w14:paraId="63B62613" w14:textId="77777777" w:rsidR="00764490" w:rsidRPr="00457256" w:rsidRDefault="00764490" w:rsidP="00764490">
            <w:pPr>
              <w:rPr>
                <w:rFonts w:ascii="Calibri" w:hAnsi="Calibri"/>
              </w:rPr>
            </w:pPr>
            <w:r w:rsidRPr="00457256">
              <w:rPr>
                <w:rFonts w:ascii="Calibri" w:hAnsi="Calibri"/>
              </w:rPr>
              <w:t>150mg, 300mg, 600mg</w:t>
            </w:r>
          </w:p>
        </w:tc>
      </w:tr>
      <w:tr w:rsidR="00764490" w:rsidRPr="00457256" w14:paraId="5A5F6F5E" w14:textId="77777777">
        <w:tc>
          <w:tcPr>
            <w:tcW w:w="1908" w:type="dxa"/>
            <w:shd w:val="clear" w:color="auto" w:fill="auto"/>
          </w:tcPr>
          <w:p w14:paraId="65040C0B" w14:textId="77777777" w:rsidR="00764490" w:rsidRPr="00457256" w:rsidRDefault="00764490" w:rsidP="00764490">
            <w:pPr>
              <w:rPr>
                <w:rFonts w:ascii="Calibri" w:hAnsi="Calibri"/>
              </w:rPr>
            </w:pPr>
            <w:r w:rsidRPr="00457256">
              <w:rPr>
                <w:rFonts w:ascii="Calibri" w:hAnsi="Calibri"/>
              </w:rPr>
              <w:t>Brands available</w:t>
            </w:r>
          </w:p>
        </w:tc>
        <w:tc>
          <w:tcPr>
            <w:tcW w:w="6614" w:type="dxa"/>
            <w:gridSpan w:val="2"/>
            <w:shd w:val="clear" w:color="auto" w:fill="auto"/>
          </w:tcPr>
          <w:p w14:paraId="674EF023" w14:textId="77777777" w:rsidR="00764490" w:rsidRPr="00457256" w:rsidRDefault="00764490" w:rsidP="00764490">
            <w:pPr>
              <w:rPr>
                <w:rFonts w:ascii="Calibri" w:hAnsi="Calibri"/>
              </w:rPr>
            </w:pPr>
            <w:r w:rsidRPr="00457256">
              <w:rPr>
                <w:rFonts w:ascii="Calibri" w:hAnsi="Calibri"/>
              </w:rPr>
              <w:t>Non-proprietary, Trileptal</w:t>
            </w:r>
          </w:p>
        </w:tc>
      </w:tr>
      <w:tr w:rsidR="00764490" w:rsidRPr="00457256" w14:paraId="2DA19DBB" w14:textId="77777777">
        <w:tc>
          <w:tcPr>
            <w:tcW w:w="8522" w:type="dxa"/>
            <w:gridSpan w:val="3"/>
            <w:shd w:val="clear" w:color="auto" w:fill="FF6600"/>
          </w:tcPr>
          <w:p w14:paraId="1A403E45" w14:textId="77777777" w:rsidR="00764490" w:rsidRPr="00457256" w:rsidRDefault="00764490" w:rsidP="00764490">
            <w:pPr>
              <w:rPr>
                <w:rFonts w:ascii="Calibri" w:hAnsi="Calibri"/>
              </w:rPr>
            </w:pPr>
            <w:r w:rsidRPr="00457256">
              <w:rPr>
                <w:rFonts w:ascii="Calibri" w:hAnsi="Calibri"/>
              </w:rPr>
              <w:t>Recommendation</w:t>
            </w:r>
          </w:p>
        </w:tc>
      </w:tr>
      <w:tr w:rsidR="00764490" w:rsidRPr="00457256" w14:paraId="4FD74E1F" w14:textId="77777777">
        <w:tc>
          <w:tcPr>
            <w:tcW w:w="8522" w:type="dxa"/>
            <w:gridSpan w:val="3"/>
            <w:shd w:val="clear" w:color="auto" w:fill="auto"/>
          </w:tcPr>
          <w:p w14:paraId="2C2CDF68" w14:textId="73247176" w:rsidR="00E3066E" w:rsidRPr="0076504A" w:rsidRDefault="00E3066E" w:rsidP="00236351">
            <w:pPr>
              <w:ind w:left="360"/>
              <w:jc w:val="both"/>
              <w:rPr>
                <w:rFonts w:ascii="Calibri" w:hAnsi="Calibri"/>
              </w:rPr>
            </w:pPr>
            <w:r w:rsidRPr="0076504A">
              <w:rPr>
                <w:rFonts w:ascii="Calibri" w:hAnsi="Calibri"/>
              </w:rPr>
              <w:t>These recommendations should not be used without consulting the ‘principles f</w:t>
            </w:r>
            <w:r w:rsidR="00AE3C0F">
              <w:rPr>
                <w:rFonts w:ascii="Calibri" w:hAnsi="Calibri"/>
              </w:rPr>
              <w:t>or switching’ section on page</w:t>
            </w:r>
            <w:r w:rsidR="00DC0F39">
              <w:rPr>
                <w:rFonts w:ascii="Calibri" w:hAnsi="Calibri"/>
              </w:rPr>
              <w:t xml:space="preserve"> 10</w:t>
            </w:r>
            <w:r w:rsidR="0076504A" w:rsidRPr="0076504A">
              <w:rPr>
                <w:rFonts w:ascii="Calibri" w:hAnsi="Calibri"/>
              </w:rPr>
              <w:t>.</w:t>
            </w:r>
          </w:p>
          <w:p w14:paraId="508375C4" w14:textId="77777777" w:rsidR="00E51C5F" w:rsidRDefault="00E51C5F" w:rsidP="00236351">
            <w:pPr>
              <w:numPr>
                <w:ilvl w:val="0"/>
                <w:numId w:val="8"/>
              </w:numPr>
              <w:jc w:val="both"/>
              <w:rPr>
                <w:rFonts w:ascii="Calibri" w:hAnsi="Calibri"/>
              </w:rPr>
            </w:pPr>
            <w:r w:rsidRPr="0076504A">
              <w:rPr>
                <w:rFonts w:ascii="Calibri" w:hAnsi="Calibri"/>
              </w:rPr>
              <w:t>The limited studies indicate a greater variability in blood levels with this agent.  In these circumstances</w:t>
            </w:r>
            <w:r>
              <w:rPr>
                <w:rFonts w:ascii="Calibri" w:hAnsi="Calibri"/>
              </w:rPr>
              <w:t xml:space="preserve"> switching is not </w:t>
            </w:r>
            <w:r w:rsidR="00AC02DD">
              <w:rPr>
                <w:rFonts w:ascii="Calibri" w:hAnsi="Calibri"/>
              </w:rPr>
              <w:t>supported.</w:t>
            </w:r>
          </w:p>
          <w:p w14:paraId="5E49CA00" w14:textId="77777777" w:rsidR="007A2753" w:rsidRPr="00E51C5F" w:rsidRDefault="007A2753" w:rsidP="00E51C5F">
            <w:pPr>
              <w:rPr>
                <w:rFonts w:ascii="Calibri" w:hAnsi="Calibri"/>
              </w:rPr>
            </w:pPr>
          </w:p>
        </w:tc>
      </w:tr>
      <w:tr w:rsidR="00764490" w:rsidRPr="00457256" w14:paraId="60863101" w14:textId="77777777">
        <w:tc>
          <w:tcPr>
            <w:tcW w:w="8522" w:type="dxa"/>
            <w:gridSpan w:val="3"/>
            <w:shd w:val="clear" w:color="auto" w:fill="FF6600"/>
          </w:tcPr>
          <w:p w14:paraId="11DCD93A" w14:textId="77777777" w:rsidR="00764490" w:rsidRPr="00457256" w:rsidRDefault="00764490" w:rsidP="00764490">
            <w:pPr>
              <w:rPr>
                <w:rFonts w:ascii="Calibri" w:hAnsi="Calibri"/>
              </w:rPr>
            </w:pPr>
            <w:r w:rsidRPr="00457256">
              <w:rPr>
                <w:rFonts w:ascii="Calibri" w:hAnsi="Calibri"/>
              </w:rPr>
              <w:t>Rationale</w:t>
            </w:r>
          </w:p>
        </w:tc>
      </w:tr>
      <w:tr w:rsidR="00764490" w:rsidRPr="00457256" w14:paraId="5B86234C" w14:textId="77777777" w:rsidTr="00A76289">
        <w:trPr>
          <w:trHeight w:val="70"/>
        </w:trPr>
        <w:tc>
          <w:tcPr>
            <w:tcW w:w="8522" w:type="dxa"/>
            <w:gridSpan w:val="3"/>
            <w:shd w:val="clear" w:color="auto" w:fill="auto"/>
          </w:tcPr>
          <w:p w14:paraId="1712D047" w14:textId="71B7EED4" w:rsidR="00940FAF" w:rsidRDefault="00940FAF" w:rsidP="00764490">
            <w:pPr>
              <w:rPr>
                <w:rFonts w:ascii="Calibri" w:hAnsi="Calibri"/>
              </w:rPr>
            </w:pPr>
          </w:p>
          <w:p w14:paraId="2CA552FF" w14:textId="173D013C" w:rsidR="005C0967" w:rsidRDefault="005C0967" w:rsidP="000A00FE">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w:t>
            </w:r>
            <w:r w:rsidR="00A06F98">
              <w:rPr>
                <w:rFonts w:ascii="Calibri" w:hAnsi="Calibri"/>
              </w:rPr>
              <w:t>patient</w:t>
            </w:r>
            <w:r>
              <w:rPr>
                <w:rFonts w:ascii="Calibri" w:hAnsi="Calibri"/>
              </w:rPr>
              <w:t xml:space="preserve"> and/or carer, taking into account factors such as seizure frequency and treatment history.  Take into account patient/carer-related factors such as their negative perceptions about alternative products and/or other issues related to the patient. </w:t>
            </w:r>
          </w:p>
          <w:p w14:paraId="09235CA1" w14:textId="77777777" w:rsidR="005C0967" w:rsidRPr="007A2753" w:rsidRDefault="005C0967" w:rsidP="00764490">
            <w:pPr>
              <w:rPr>
                <w:rFonts w:ascii="Calibri" w:hAnsi="Calibri"/>
              </w:rPr>
            </w:pPr>
          </w:p>
          <w:p w14:paraId="47CCF043" w14:textId="77777777" w:rsidR="00685480" w:rsidRDefault="00685480" w:rsidP="00236351">
            <w:pPr>
              <w:spacing w:before="45" w:after="45"/>
              <w:jc w:val="both"/>
              <w:rPr>
                <w:rFonts w:ascii="Calibri" w:hAnsi="Calibri"/>
              </w:rPr>
            </w:pPr>
            <w:r w:rsidRPr="00594256">
              <w:rPr>
                <w:rFonts w:ascii="Calibri" w:hAnsi="Calibri"/>
                <w:b/>
              </w:rPr>
              <w:t>Half life</w:t>
            </w:r>
            <w:r w:rsidR="00ED44A4">
              <w:rPr>
                <w:rFonts w:ascii="Calibri" w:hAnsi="Calibri"/>
              </w:rPr>
              <w:t>:</w:t>
            </w:r>
            <w:r w:rsidR="00594256">
              <w:rPr>
                <w:rFonts w:ascii="Arial" w:hAnsi="Arial" w:cs="Arial"/>
                <w:color w:val="000000"/>
              </w:rPr>
              <w:t xml:space="preserve"> </w:t>
            </w:r>
            <w:r w:rsidR="00594256" w:rsidRPr="00594256">
              <w:rPr>
                <w:rFonts w:ascii="Calibri" w:hAnsi="Calibri" w:cs="Arial"/>
                <w:color w:val="000000"/>
              </w:rPr>
              <w:t>Oxcarbazepine</w:t>
            </w:r>
            <w:r w:rsidR="00B14945">
              <w:rPr>
                <w:rFonts w:ascii="Calibri" w:hAnsi="Calibri" w:cs="Arial"/>
                <w:color w:val="000000"/>
              </w:rPr>
              <w:t>:</w:t>
            </w:r>
            <w:r w:rsidR="00594256" w:rsidRPr="00594256">
              <w:rPr>
                <w:rFonts w:ascii="Calibri" w:hAnsi="Calibri" w:cs="Arial"/>
                <w:color w:val="000000"/>
              </w:rPr>
              <w:t xml:space="preserve"> 2 hours.  0–monohydroxy metabolite: 9 hours.</w:t>
            </w:r>
            <w:r w:rsidR="00594256">
              <w:rPr>
                <w:rFonts w:ascii="Calibri" w:hAnsi="Calibri" w:cs="Arial"/>
                <w:color w:val="000000"/>
              </w:rPr>
              <w:t xml:space="preserve"> </w:t>
            </w:r>
            <w:r w:rsidR="00594256" w:rsidRPr="00AE3C0F">
              <w:rPr>
                <w:rFonts w:ascii="Calibri" w:hAnsi="Calibri" w:cs="Arial"/>
                <w:color w:val="000000"/>
              </w:rPr>
              <w:t>(Micromedex 2012)</w:t>
            </w:r>
          </w:p>
          <w:p w14:paraId="1C2A0439" w14:textId="77777777" w:rsidR="008E1F8F" w:rsidRPr="006D2965" w:rsidRDefault="008E1F8F" w:rsidP="00236351">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Pr>
                <w:rFonts w:ascii="Calibri" w:hAnsi="Calibri" w:cs="Arial"/>
              </w:rPr>
              <w:t>I</w:t>
            </w:r>
            <w:r w:rsidRPr="008034D0">
              <w:rPr>
                <w:rFonts w:ascii="Calibri" w:hAnsi="Calibri" w:cs="AdvP7B6C"/>
                <w:color w:val="000000"/>
              </w:rPr>
              <w:t xml:space="preserve">  </w:t>
            </w:r>
            <w:r>
              <w:rPr>
                <w:rFonts w:ascii="Calibri" w:hAnsi="Calibri" w:cs="AdvP7B6C"/>
                <w:color w:val="000000"/>
              </w:rPr>
              <w:t>(low</w:t>
            </w:r>
            <w:r w:rsidRPr="008034D0">
              <w:rPr>
                <w:rFonts w:ascii="Calibri" w:hAnsi="Calibri" w:cs="AdvP7B6C"/>
                <w:color w:val="000000"/>
              </w:rPr>
              <w:t xml:space="preserve"> solubility/high permeability</w:t>
            </w:r>
            <w:r>
              <w:rPr>
                <w:rFonts w:ascii="Calibri" w:hAnsi="Calibri" w:cs="AdvP7B6C"/>
                <w:color w:val="000000"/>
              </w:rPr>
              <w:t>)</w:t>
            </w:r>
          </w:p>
          <w:p w14:paraId="12F0B5EF" w14:textId="77777777" w:rsidR="008E1F8F" w:rsidRPr="00AE3C0F" w:rsidRDefault="008E1F8F" w:rsidP="00236351">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 </w:t>
            </w:r>
          </w:p>
          <w:p w14:paraId="37804048" w14:textId="77777777" w:rsidR="00685480" w:rsidRDefault="00685480" w:rsidP="00236351">
            <w:pPr>
              <w:jc w:val="both"/>
              <w:rPr>
                <w:rFonts w:ascii="Calibri" w:hAnsi="Calibri"/>
              </w:rPr>
            </w:pPr>
          </w:p>
          <w:p w14:paraId="4E2ED54F" w14:textId="77777777" w:rsidR="00685480" w:rsidRPr="007C1B22" w:rsidRDefault="00685480" w:rsidP="00236351">
            <w:pPr>
              <w:jc w:val="both"/>
              <w:rPr>
                <w:rFonts w:ascii="Calibri" w:hAnsi="Calibri"/>
              </w:rPr>
            </w:pPr>
            <w:r w:rsidRPr="007C1B22">
              <w:rPr>
                <w:rFonts w:ascii="Calibri" w:hAnsi="Calibri"/>
              </w:rPr>
              <w:t xml:space="preserve">A literature search retrieved </w:t>
            </w:r>
            <w:r>
              <w:rPr>
                <w:rFonts w:ascii="Calibri" w:hAnsi="Calibri"/>
              </w:rPr>
              <w:t>1</w:t>
            </w:r>
            <w:r w:rsidR="00ED44A4">
              <w:rPr>
                <w:rFonts w:ascii="Calibri" w:hAnsi="Calibri"/>
              </w:rPr>
              <w:t xml:space="preserve"> relevant study</w:t>
            </w:r>
            <w:r>
              <w:rPr>
                <w:rFonts w:ascii="Calibri" w:hAnsi="Calibri"/>
              </w:rPr>
              <w:t xml:space="preserve"> which was a</w:t>
            </w:r>
            <w:r w:rsidRPr="007C1B22">
              <w:rPr>
                <w:rFonts w:ascii="Calibri" w:hAnsi="Calibri"/>
              </w:rPr>
              <w:t xml:space="preserve"> </w:t>
            </w:r>
            <w:r>
              <w:rPr>
                <w:rFonts w:ascii="Calibri" w:hAnsi="Calibri"/>
              </w:rPr>
              <w:t>bioequivalence</w:t>
            </w:r>
            <w:r w:rsidRPr="007C1B22">
              <w:rPr>
                <w:rFonts w:ascii="Calibri" w:hAnsi="Calibri"/>
              </w:rPr>
              <w:t xml:space="preserve"> analy</w:t>
            </w:r>
            <w:r>
              <w:rPr>
                <w:rFonts w:ascii="Calibri" w:hAnsi="Calibri"/>
              </w:rPr>
              <w:t>si</w:t>
            </w:r>
            <w:r w:rsidRPr="007C1B22">
              <w:rPr>
                <w:rFonts w:ascii="Calibri" w:hAnsi="Calibri"/>
              </w:rPr>
              <w:t>s in the US.</w:t>
            </w:r>
          </w:p>
          <w:p w14:paraId="75BA18A7" w14:textId="77777777" w:rsidR="00685480" w:rsidRDefault="00685480" w:rsidP="00236351">
            <w:pPr>
              <w:jc w:val="both"/>
              <w:rPr>
                <w:rFonts w:ascii="Calibri" w:hAnsi="Calibri"/>
              </w:rPr>
            </w:pPr>
          </w:p>
          <w:p w14:paraId="7F50C084" w14:textId="77777777" w:rsidR="00685480" w:rsidRPr="00ED44A4" w:rsidRDefault="00685480" w:rsidP="00236351">
            <w:pPr>
              <w:jc w:val="both"/>
              <w:rPr>
                <w:rFonts w:ascii="Calibri" w:hAnsi="Calibri"/>
                <w:b/>
                <w:color w:val="000000"/>
              </w:rPr>
            </w:pPr>
            <w:r>
              <w:rPr>
                <w:rFonts w:ascii="Calibri" w:hAnsi="Calibri"/>
                <w:color w:val="241F20"/>
              </w:rPr>
              <w:t>A study</w:t>
            </w:r>
            <w:r w:rsidRPr="00901A8D">
              <w:rPr>
                <w:rFonts w:ascii="Calibri" w:hAnsi="Calibri"/>
                <w:color w:val="241F20"/>
              </w:rPr>
              <w:t xml:space="preserve"> used bioequivalence data for approved generic AED formulations </w:t>
            </w:r>
            <w:r>
              <w:rPr>
                <w:rFonts w:ascii="Calibri" w:hAnsi="Calibri"/>
                <w:color w:val="241F20"/>
              </w:rPr>
              <w:t>in the US</w:t>
            </w:r>
            <w:r w:rsidRPr="00901A8D">
              <w:rPr>
                <w:rFonts w:ascii="Calibri" w:hAnsi="Calibri"/>
                <w:color w:val="241F20"/>
              </w:rPr>
              <w:t xml:space="preserve"> provided by the FDA Centre for Drug Evaluation and Research, Office of Generic Drugs</w:t>
            </w:r>
            <w:r>
              <w:rPr>
                <w:rFonts w:ascii="Calibri" w:hAnsi="Calibri"/>
                <w:color w:val="241F20"/>
              </w:rPr>
              <w:t xml:space="preserve">. </w:t>
            </w:r>
            <w:r w:rsidRPr="00901A8D">
              <w:rPr>
                <w:rFonts w:ascii="Calibri" w:hAnsi="Calibri"/>
                <w:color w:val="241F20"/>
              </w:rPr>
              <w:t xml:space="preserve"> A total of 141 generic AED products were evaluated in 258 bioequivalenc</w:t>
            </w:r>
            <w:r>
              <w:rPr>
                <w:rFonts w:ascii="Calibri" w:hAnsi="Calibri"/>
                <w:color w:val="241F20"/>
              </w:rPr>
              <w:t>e</w:t>
            </w:r>
            <w:r w:rsidRPr="00901A8D">
              <w:rPr>
                <w:rFonts w:ascii="Calibri" w:hAnsi="Calibri"/>
                <w:color w:val="241F20"/>
              </w:rPr>
              <w:t xml:space="preserve"> studies.  </w:t>
            </w:r>
            <w:r w:rsidRPr="007C1B22">
              <w:rPr>
                <w:rFonts w:ascii="Calibri" w:hAnsi="Calibri"/>
                <w:color w:val="241F20"/>
              </w:rPr>
              <w:t xml:space="preserve">Oxcarbazepine, probably due to low solubility, was particularly variable compared to other AEDs.  Parent oxcarbazepine and its 10-monohydroxy metabolite met bioequivalence standards, but Cmax and AUC ratios for the parent compound were near acceptance limits. </w:t>
            </w:r>
            <w:r>
              <w:rPr>
                <w:rFonts w:ascii="Calibri" w:hAnsi="Calibri"/>
                <w:color w:val="241F20"/>
              </w:rPr>
              <w:t xml:space="preserve"> </w:t>
            </w:r>
            <w:r w:rsidRPr="007C1B22">
              <w:rPr>
                <w:rFonts w:ascii="Calibri" w:hAnsi="Calibri"/>
                <w:color w:val="241F20"/>
              </w:rPr>
              <w:t>Pairs of generic AEDs were tested at the same doses</w:t>
            </w:r>
            <w:r>
              <w:rPr>
                <w:rFonts w:ascii="Calibri" w:hAnsi="Calibri"/>
                <w:color w:val="241F20"/>
              </w:rPr>
              <w:t xml:space="preserve"> and </w:t>
            </w:r>
            <w:r w:rsidRPr="007C1B22">
              <w:rPr>
                <w:rFonts w:ascii="Calibri" w:hAnsi="Calibri" w:cs="AdvAGaramond-R"/>
                <w:color w:val="241F20"/>
              </w:rPr>
              <w:t>AUC for 6 of 21 pairs differed by 25 to 30%.</w:t>
            </w:r>
            <w:r w:rsidRPr="007C1B22">
              <w:rPr>
                <w:rFonts w:ascii="Calibri" w:hAnsi="Calibri"/>
                <w:color w:val="241F20"/>
              </w:rPr>
              <w:t xml:space="preserve">  Cmax for 7 of 12 (58%) oxcarbazepine bioequivalence studies differed by 15 to 25% between fasting and fed studies, a higher proportion than for other </w:t>
            </w:r>
            <w:r w:rsidRPr="00AE3C0F">
              <w:rPr>
                <w:rFonts w:ascii="Calibri" w:hAnsi="Calibri"/>
                <w:color w:val="241F20"/>
              </w:rPr>
              <w:t>AEDs.</w:t>
            </w:r>
            <w:r w:rsidR="00ED44A4" w:rsidRPr="00AE3C0F">
              <w:rPr>
                <w:rFonts w:ascii="Calibri" w:hAnsi="Calibri"/>
                <w:color w:val="241F20"/>
              </w:rPr>
              <w:t xml:space="preserve">  </w:t>
            </w:r>
            <w:r w:rsidR="00ED44A4" w:rsidRPr="00AE3C0F">
              <w:rPr>
                <w:rFonts w:ascii="Calibri" w:hAnsi="Calibri"/>
                <w:color w:val="000000"/>
              </w:rPr>
              <w:t xml:space="preserve">(Krauss </w:t>
            </w:r>
            <w:r w:rsidRPr="00AE3C0F">
              <w:rPr>
                <w:rFonts w:ascii="Calibri" w:hAnsi="Calibri"/>
                <w:color w:val="000000"/>
              </w:rPr>
              <w:t>2011</w:t>
            </w:r>
            <w:r w:rsidR="00ED44A4" w:rsidRPr="00AE3C0F">
              <w:rPr>
                <w:rFonts w:ascii="Calibri" w:hAnsi="Calibri"/>
                <w:color w:val="000000"/>
              </w:rPr>
              <w:t>)</w:t>
            </w:r>
          </w:p>
          <w:p w14:paraId="57F67FEA" w14:textId="77777777" w:rsidR="00940FAF" w:rsidRPr="000A00FE" w:rsidRDefault="00940FAF" w:rsidP="000A00FE">
            <w:pPr>
              <w:jc w:val="both"/>
              <w:rPr>
                <w:rFonts w:asciiTheme="minorHAnsi" w:hAnsiTheme="minorHAnsi" w:cstheme="minorHAnsi"/>
                <w:b/>
              </w:rPr>
            </w:pPr>
          </w:p>
          <w:p w14:paraId="13CA8612" w14:textId="1F7CABBA" w:rsidR="00F86D8B" w:rsidRPr="00457256" w:rsidRDefault="00502922" w:rsidP="000A00FE">
            <w:pPr>
              <w:jc w:val="both"/>
              <w:rPr>
                <w:rFonts w:ascii="Calibri" w:hAnsi="Calibri"/>
              </w:rPr>
            </w:pPr>
            <w:r w:rsidRPr="000A00FE">
              <w:rPr>
                <w:rFonts w:asciiTheme="minorHAnsi" w:hAnsiTheme="minorHAnsi" w:cstheme="minorHAnsi"/>
              </w:rPr>
              <w:t>A prospective observational study included 103 patients with epilepsy treated with oxcarbazepine.  A quarter of the cohort (26%) continued on brand-name oxcarbazepine, the majority (74%) switched to generic products. There were no differences in terms of frequency of seizures and adverse events between patients continuing on brand-name oxcarbazepine and those switching to generic AED. (Bosak 2019)</w:t>
            </w:r>
          </w:p>
        </w:tc>
      </w:tr>
    </w:tbl>
    <w:p w14:paraId="440514BE" w14:textId="4914FB59" w:rsidR="00764490" w:rsidRDefault="0076449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652"/>
        <w:gridCol w:w="3770"/>
      </w:tblGrid>
      <w:tr w:rsidR="004C7A6C" w:rsidRPr="00457256" w14:paraId="57FBF93B" w14:textId="77777777" w:rsidTr="00930FE0">
        <w:tc>
          <w:tcPr>
            <w:tcW w:w="8306" w:type="dxa"/>
            <w:gridSpan w:val="3"/>
            <w:tcBorders>
              <w:top w:val="nil"/>
              <w:left w:val="nil"/>
              <w:bottom w:val="nil"/>
              <w:right w:val="nil"/>
            </w:tcBorders>
            <w:shd w:val="clear" w:color="auto" w:fill="FF6600"/>
          </w:tcPr>
          <w:p w14:paraId="6D39A857" w14:textId="2BA899CD" w:rsidR="004C7A6C" w:rsidRPr="00457256" w:rsidRDefault="004C7A6C" w:rsidP="000839A9">
            <w:pPr>
              <w:pStyle w:val="Heading3"/>
              <w:rPr>
                <w:rFonts w:ascii="Calibri" w:hAnsi="Calibri"/>
              </w:rPr>
            </w:pPr>
            <w:bookmarkStart w:id="12" w:name="_Perampanel"/>
            <w:bookmarkEnd w:id="12"/>
            <w:r>
              <w:rPr>
                <w:rFonts w:ascii="Calibri" w:hAnsi="Calibri"/>
              </w:rPr>
              <w:t>Peramp</w:t>
            </w:r>
            <w:r w:rsidR="001B5B98">
              <w:rPr>
                <w:rFonts w:ascii="Calibri" w:hAnsi="Calibri"/>
              </w:rPr>
              <w:t>anel</w:t>
            </w:r>
          </w:p>
        </w:tc>
      </w:tr>
      <w:tr w:rsidR="004C7A6C" w:rsidRPr="00457256" w14:paraId="0E208F23" w14:textId="77777777" w:rsidTr="00930FE0">
        <w:tc>
          <w:tcPr>
            <w:tcW w:w="8306" w:type="dxa"/>
            <w:gridSpan w:val="3"/>
            <w:tcBorders>
              <w:top w:val="nil"/>
            </w:tcBorders>
            <w:shd w:val="clear" w:color="auto" w:fill="000000"/>
          </w:tcPr>
          <w:p w14:paraId="78952E5D" w14:textId="77777777" w:rsidR="004C7A6C" w:rsidRPr="00457256" w:rsidRDefault="004C7A6C" w:rsidP="000839A9">
            <w:pPr>
              <w:rPr>
                <w:rFonts w:ascii="Calibri" w:hAnsi="Calibri"/>
              </w:rPr>
            </w:pPr>
          </w:p>
        </w:tc>
      </w:tr>
      <w:tr w:rsidR="00303FDA" w:rsidRPr="00457256" w14:paraId="1AE0849D" w14:textId="77777777" w:rsidTr="00ED735B">
        <w:trPr>
          <w:trHeight w:val="430"/>
        </w:trPr>
        <w:tc>
          <w:tcPr>
            <w:tcW w:w="1884" w:type="dxa"/>
            <w:vMerge w:val="restart"/>
            <w:shd w:val="clear" w:color="auto" w:fill="auto"/>
            <w:vAlign w:val="center"/>
          </w:tcPr>
          <w:p w14:paraId="359FB7BE" w14:textId="33701C71" w:rsidR="00303FDA" w:rsidRPr="00457256" w:rsidRDefault="00303FDA" w:rsidP="000839A9">
            <w:pPr>
              <w:rPr>
                <w:rFonts w:ascii="Calibri" w:hAnsi="Calibri"/>
              </w:rPr>
            </w:pPr>
            <w:r w:rsidRPr="00457256">
              <w:rPr>
                <w:rFonts w:ascii="Calibri" w:hAnsi="Calibri"/>
              </w:rPr>
              <w:t>Forms available</w:t>
            </w:r>
          </w:p>
        </w:tc>
        <w:tc>
          <w:tcPr>
            <w:tcW w:w="2652" w:type="dxa"/>
            <w:shd w:val="clear" w:color="auto" w:fill="auto"/>
          </w:tcPr>
          <w:p w14:paraId="4B58CDB6" w14:textId="6D025D28" w:rsidR="00303FDA" w:rsidRDefault="00303FDA" w:rsidP="000839A9">
            <w:pPr>
              <w:rPr>
                <w:rFonts w:ascii="Calibri" w:hAnsi="Calibri"/>
              </w:rPr>
            </w:pPr>
            <w:r>
              <w:rPr>
                <w:rFonts w:ascii="Calibri" w:hAnsi="Calibri"/>
              </w:rPr>
              <w:t>Tablets</w:t>
            </w:r>
          </w:p>
        </w:tc>
        <w:tc>
          <w:tcPr>
            <w:tcW w:w="3770" w:type="dxa"/>
            <w:shd w:val="clear" w:color="auto" w:fill="auto"/>
          </w:tcPr>
          <w:p w14:paraId="28D8A938" w14:textId="41F00522" w:rsidR="00303FDA" w:rsidRDefault="00303FDA" w:rsidP="000839A9">
            <w:pPr>
              <w:rPr>
                <w:rFonts w:ascii="Calibri" w:hAnsi="Calibri"/>
              </w:rPr>
            </w:pPr>
            <w:r>
              <w:rPr>
                <w:rFonts w:ascii="Calibri" w:hAnsi="Calibri"/>
              </w:rPr>
              <w:t>2mg, 4mg, 6mg, 8mg, 10mg,12mg</w:t>
            </w:r>
          </w:p>
        </w:tc>
      </w:tr>
      <w:tr w:rsidR="00303FDA" w:rsidRPr="00457256" w14:paraId="38A6677B" w14:textId="77777777" w:rsidTr="00ED735B">
        <w:trPr>
          <w:trHeight w:val="430"/>
        </w:trPr>
        <w:tc>
          <w:tcPr>
            <w:tcW w:w="1884" w:type="dxa"/>
            <w:vMerge/>
            <w:shd w:val="clear" w:color="auto" w:fill="auto"/>
            <w:vAlign w:val="center"/>
          </w:tcPr>
          <w:p w14:paraId="121FF42E" w14:textId="7749CF77" w:rsidR="00303FDA" w:rsidRPr="00457256" w:rsidRDefault="00303FDA" w:rsidP="000839A9">
            <w:pPr>
              <w:rPr>
                <w:rFonts w:ascii="Calibri" w:hAnsi="Calibri"/>
              </w:rPr>
            </w:pPr>
          </w:p>
        </w:tc>
        <w:tc>
          <w:tcPr>
            <w:tcW w:w="2652" w:type="dxa"/>
            <w:shd w:val="clear" w:color="auto" w:fill="auto"/>
          </w:tcPr>
          <w:p w14:paraId="63DE5F51" w14:textId="729F17C9" w:rsidR="00303FDA" w:rsidRPr="00457256" w:rsidRDefault="00D91CF8" w:rsidP="000839A9">
            <w:pPr>
              <w:rPr>
                <w:rFonts w:ascii="Calibri" w:hAnsi="Calibri"/>
              </w:rPr>
            </w:pPr>
            <w:r>
              <w:rPr>
                <w:rFonts w:ascii="Calibri" w:hAnsi="Calibri"/>
              </w:rPr>
              <w:t>Oral suspension</w:t>
            </w:r>
          </w:p>
        </w:tc>
        <w:tc>
          <w:tcPr>
            <w:tcW w:w="3770" w:type="dxa"/>
            <w:shd w:val="clear" w:color="auto" w:fill="auto"/>
          </w:tcPr>
          <w:p w14:paraId="6EE7409B" w14:textId="3BB31687" w:rsidR="00303FDA" w:rsidRPr="00457256" w:rsidRDefault="00D91CF8" w:rsidP="000839A9">
            <w:pPr>
              <w:rPr>
                <w:rFonts w:ascii="Calibri" w:hAnsi="Calibri"/>
              </w:rPr>
            </w:pPr>
            <w:r>
              <w:rPr>
                <w:rFonts w:ascii="Calibri" w:hAnsi="Calibri"/>
              </w:rPr>
              <w:t>500 micrograms/ml</w:t>
            </w:r>
          </w:p>
        </w:tc>
      </w:tr>
      <w:tr w:rsidR="004C7A6C" w:rsidRPr="00457256" w14:paraId="47ABCE8C" w14:textId="77777777" w:rsidTr="00930FE0">
        <w:tc>
          <w:tcPr>
            <w:tcW w:w="1884" w:type="dxa"/>
            <w:shd w:val="clear" w:color="auto" w:fill="auto"/>
          </w:tcPr>
          <w:p w14:paraId="62DCA62F" w14:textId="77777777" w:rsidR="004C7A6C" w:rsidRPr="00457256" w:rsidRDefault="004C7A6C" w:rsidP="000839A9">
            <w:pPr>
              <w:rPr>
                <w:rFonts w:ascii="Calibri" w:hAnsi="Calibri"/>
              </w:rPr>
            </w:pPr>
            <w:r w:rsidRPr="00457256">
              <w:rPr>
                <w:rFonts w:ascii="Calibri" w:hAnsi="Calibri"/>
              </w:rPr>
              <w:t>Brands available</w:t>
            </w:r>
          </w:p>
        </w:tc>
        <w:tc>
          <w:tcPr>
            <w:tcW w:w="6422" w:type="dxa"/>
            <w:gridSpan w:val="2"/>
            <w:shd w:val="clear" w:color="auto" w:fill="auto"/>
          </w:tcPr>
          <w:p w14:paraId="45E0445F" w14:textId="72ABDEAD" w:rsidR="004C7A6C" w:rsidRPr="00457256" w:rsidRDefault="00303FDA" w:rsidP="000839A9">
            <w:pPr>
              <w:rPr>
                <w:rFonts w:ascii="Calibri" w:hAnsi="Calibri"/>
              </w:rPr>
            </w:pPr>
            <w:r>
              <w:rPr>
                <w:rFonts w:ascii="Calibri" w:hAnsi="Calibri"/>
              </w:rPr>
              <w:t>Fycompa</w:t>
            </w:r>
          </w:p>
        </w:tc>
      </w:tr>
      <w:tr w:rsidR="004C7A6C" w:rsidRPr="00457256" w14:paraId="4AA8096A" w14:textId="77777777" w:rsidTr="00930FE0">
        <w:tc>
          <w:tcPr>
            <w:tcW w:w="8306" w:type="dxa"/>
            <w:gridSpan w:val="3"/>
            <w:shd w:val="clear" w:color="auto" w:fill="FF6600"/>
          </w:tcPr>
          <w:p w14:paraId="251FA920" w14:textId="77777777" w:rsidR="004C7A6C" w:rsidRPr="00B85949" w:rsidRDefault="004C7A6C" w:rsidP="000839A9">
            <w:pPr>
              <w:rPr>
                <w:rFonts w:ascii="Calibri" w:hAnsi="Calibri"/>
                <w:b/>
              </w:rPr>
            </w:pPr>
            <w:r w:rsidRPr="00B85949">
              <w:rPr>
                <w:rFonts w:ascii="Calibri" w:hAnsi="Calibri"/>
                <w:b/>
              </w:rPr>
              <w:t>Recommendation</w:t>
            </w:r>
          </w:p>
        </w:tc>
      </w:tr>
      <w:tr w:rsidR="004C7A6C" w:rsidRPr="00457256" w14:paraId="054EF3B0" w14:textId="77777777" w:rsidTr="00930FE0">
        <w:tc>
          <w:tcPr>
            <w:tcW w:w="8306" w:type="dxa"/>
            <w:gridSpan w:val="3"/>
            <w:shd w:val="clear" w:color="auto" w:fill="auto"/>
          </w:tcPr>
          <w:p w14:paraId="2B7E0AB7" w14:textId="77777777" w:rsidR="004C7A6C" w:rsidRPr="0076504A" w:rsidRDefault="004C7A6C" w:rsidP="000839A9">
            <w:pPr>
              <w:ind w:left="360"/>
              <w:jc w:val="both"/>
              <w:rPr>
                <w:rFonts w:ascii="Calibri" w:hAnsi="Calibri"/>
              </w:rPr>
            </w:pPr>
            <w:r w:rsidRPr="0076504A">
              <w:rPr>
                <w:rFonts w:ascii="Calibri" w:hAnsi="Calibri"/>
              </w:rPr>
              <w:t>These recommendations should not be used without consulting the ‘principles f</w:t>
            </w:r>
            <w:r>
              <w:rPr>
                <w:rFonts w:ascii="Calibri" w:hAnsi="Calibri"/>
              </w:rPr>
              <w:t>or switching’ section on page 10</w:t>
            </w:r>
            <w:r w:rsidRPr="0076504A">
              <w:rPr>
                <w:rFonts w:ascii="Calibri" w:hAnsi="Calibri"/>
              </w:rPr>
              <w:t xml:space="preserve">. </w:t>
            </w:r>
          </w:p>
          <w:p w14:paraId="1D6DD4D7" w14:textId="4A07D033" w:rsidR="004C7A6C" w:rsidRDefault="004C7A6C" w:rsidP="000839A9">
            <w:pPr>
              <w:numPr>
                <w:ilvl w:val="0"/>
                <w:numId w:val="8"/>
              </w:numPr>
              <w:rPr>
                <w:rFonts w:ascii="Calibri" w:hAnsi="Calibri" w:cs="Courier New"/>
              </w:rPr>
            </w:pPr>
            <w:r w:rsidRPr="00B768EF">
              <w:rPr>
                <w:rFonts w:ascii="Calibri" w:hAnsi="Calibri" w:cs="Courier New"/>
              </w:rPr>
              <w:t xml:space="preserve">There are no generics available for </w:t>
            </w:r>
            <w:r w:rsidR="00D91CF8">
              <w:rPr>
                <w:rFonts w:ascii="Calibri" w:hAnsi="Calibri" w:cs="Courier New"/>
              </w:rPr>
              <w:t>perampanel</w:t>
            </w:r>
            <w:r>
              <w:rPr>
                <w:rFonts w:ascii="Calibri" w:hAnsi="Calibri" w:cs="Courier New"/>
              </w:rPr>
              <w:t xml:space="preserve">.  Patent expiry: </w:t>
            </w:r>
            <w:r w:rsidR="00D87640">
              <w:rPr>
                <w:rFonts w:ascii="Calibri" w:hAnsi="Calibri" w:cs="Courier New"/>
              </w:rPr>
              <w:t>2021</w:t>
            </w:r>
            <w:r w:rsidRPr="00B768EF">
              <w:rPr>
                <w:rFonts w:ascii="Calibri" w:hAnsi="Calibri" w:cs="Courier New"/>
              </w:rPr>
              <w:t xml:space="preserve">.  </w:t>
            </w:r>
          </w:p>
          <w:p w14:paraId="198B0517" w14:textId="77777777" w:rsidR="004C7A6C" w:rsidRPr="00457256" w:rsidRDefault="004C7A6C" w:rsidP="000839A9">
            <w:pPr>
              <w:ind w:left="360"/>
              <w:rPr>
                <w:rFonts w:ascii="Calibri" w:hAnsi="Calibri"/>
              </w:rPr>
            </w:pPr>
          </w:p>
        </w:tc>
      </w:tr>
      <w:tr w:rsidR="004C7A6C" w:rsidRPr="00457256" w14:paraId="076D3BB5" w14:textId="77777777" w:rsidTr="00930FE0">
        <w:tc>
          <w:tcPr>
            <w:tcW w:w="8306" w:type="dxa"/>
            <w:gridSpan w:val="3"/>
            <w:shd w:val="clear" w:color="auto" w:fill="FF6600"/>
          </w:tcPr>
          <w:p w14:paraId="40E7607C" w14:textId="77777777" w:rsidR="004C7A6C" w:rsidRPr="00457256" w:rsidRDefault="004C7A6C" w:rsidP="000839A9">
            <w:pPr>
              <w:rPr>
                <w:rFonts w:ascii="Calibri" w:hAnsi="Calibri"/>
              </w:rPr>
            </w:pPr>
            <w:r w:rsidRPr="00457256">
              <w:rPr>
                <w:rFonts w:ascii="Calibri" w:hAnsi="Calibri"/>
              </w:rPr>
              <w:t>Rationale</w:t>
            </w:r>
          </w:p>
        </w:tc>
      </w:tr>
      <w:tr w:rsidR="004C7A6C" w:rsidRPr="00457256" w14:paraId="7289336C" w14:textId="77777777" w:rsidTr="00930FE0">
        <w:tc>
          <w:tcPr>
            <w:tcW w:w="8306" w:type="dxa"/>
            <w:gridSpan w:val="3"/>
            <w:shd w:val="clear" w:color="auto" w:fill="auto"/>
          </w:tcPr>
          <w:p w14:paraId="04984D40" w14:textId="77777777" w:rsidR="004C7A6C" w:rsidRDefault="004C7A6C" w:rsidP="000839A9">
            <w:pPr>
              <w:rPr>
                <w:rFonts w:ascii="Calibri" w:hAnsi="Calibri"/>
              </w:rPr>
            </w:pPr>
          </w:p>
          <w:p w14:paraId="61D83018" w14:textId="77777777" w:rsidR="004C7A6C" w:rsidRDefault="004C7A6C" w:rsidP="000839A9">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patient and/or carer, taking into account factors such as seizure frequency and treatment history.  Take into account patient/carer-related factors such as their negative perceptions about alternative products and/or other issues related to the patient. </w:t>
            </w:r>
          </w:p>
          <w:p w14:paraId="3DB9EA20" w14:textId="77777777" w:rsidR="004C7A6C" w:rsidRPr="00714596" w:rsidRDefault="004C7A6C" w:rsidP="000839A9">
            <w:pPr>
              <w:jc w:val="both"/>
              <w:rPr>
                <w:rFonts w:ascii="Calibri" w:hAnsi="Calibri"/>
              </w:rPr>
            </w:pPr>
          </w:p>
          <w:p w14:paraId="2057AC90" w14:textId="37ECE8CE" w:rsidR="004C7A6C" w:rsidRPr="00714596" w:rsidRDefault="004C7A6C" w:rsidP="000839A9">
            <w:pPr>
              <w:spacing w:before="45" w:after="45"/>
              <w:jc w:val="both"/>
              <w:rPr>
                <w:rFonts w:ascii="Calibri" w:hAnsi="Calibri" w:cs="Arial"/>
                <w:color w:val="000000"/>
              </w:rPr>
            </w:pPr>
            <w:r w:rsidRPr="00714596">
              <w:rPr>
                <w:rFonts w:ascii="Calibri" w:hAnsi="Calibri"/>
                <w:b/>
              </w:rPr>
              <w:t>Half life</w:t>
            </w:r>
            <w:r w:rsidRPr="00714596">
              <w:rPr>
                <w:rFonts w:ascii="Calibri" w:hAnsi="Calibri"/>
              </w:rPr>
              <w:t xml:space="preserve">: </w:t>
            </w:r>
            <w:r w:rsidR="008C6C45">
              <w:rPr>
                <w:rFonts w:ascii="Calibri" w:hAnsi="Calibri"/>
              </w:rPr>
              <w:t>Perampanel</w:t>
            </w:r>
            <w:r w:rsidRPr="00714596">
              <w:rPr>
                <w:rFonts w:ascii="Calibri" w:hAnsi="Calibri" w:cs="Arial"/>
                <w:color w:val="000000"/>
              </w:rPr>
              <w:t xml:space="preserve">: </w:t>
            </w:r>
            <w:r w:rsidR="00BA6A9E">
              <w:rPr>
                <w:rFonts w:ascii="Calibri" w:hAnsi="Calibri" w:cs="Arial"/>
                <w:color w:val="000000"/>
              </w:rPr>
              <w:t>105</w:t>
            </w:r>
            <w:r w:rsidRPr="00714596">
              <w:rPr>
                <w:rFonts w:ascii="Calibri" w:hAnsi="Calibri" w:cs="Arial"/>
                <w:color w:val="000000"/>
              </w:rPr>
              <w:t xml:space="preserve"> hours.</w:t>
            </w:r>
            <w:r w:rsidR="00340A36">
              <w:rPr>
                <w:rFonts w:ascii="Calibri" w:hAnsi="Calibri" w:cs="Arial"/>
                <w:color w:val="000000"/>
              </w:rPr>
              <w:t>When combined with strong CYP3A inducer</w:t>
            </w:r>
            <w:r w:rsidR="001E4B2E">
              <w:rPr>
                <w:rFonts w:ascii="Calibri" w:hAnsi="Calibri" w:cs="Arial"/>
                <w:color w:val="000000"/>
              </w:rPr>
              <w:t xml:space="preserve"> 25 hours.</w:t>
            </w:r>
            <w:r w:rsidRPr="00714596">
              <w:rPr>
                <w:rFonts w:ascii="Calibri" w:hAnsi="Calibri" w:cs="Arial"/>
                <w:color w:val="000000"/>
              </w:rPr>
              <w:t xml:space="preserve">  </w:t>
            </w:r>
            <w:r w:rsidRPr="00AE3C0F">
              <w:rPr>
                <w:rFonts w:ascii="Calibri" w:hAnsi="Calibri" w:cs="Arial"/>
                <w:color w:val="000000"/>
              </w:rPr>
              <w:t>(</w:t>
            </w:r>
            <w:r w:rsidR="001E4B2E">
              <w:rPr>
                <w:rFonts w:ascii="Calibri" w:hAnsi="Calibri" w:cs="Arial"/>
                <w:color w:val="000000"/>
              </w:rPr>
              <w:t>SPC</w:t>
            </w:r>
            <w:r w:rsidR="001E4B2E" w:rsidRPr="00AE3C0F">
              <w:rPr>
                <w:rFonts w:ascii="Calibri" w:hAnsi="Calibri" w:cs="Arial"/>
                <w:color w:val="000000"/>
              </w:rPr>
              <w:t xml:space="preserve"> </w:t>
            </w:r>
            <w:r w:rsidR="001E4B2E">
              <w:rPr>
                <w:rFonts w:ascii="Calibri" w:hAnsi="Calibri" w:cs="Arial"/>
                <w:color w:val="000000"/>
              </w:rPr>
              <w:t>2020</w:t>
            </w:r>
            <w:r w:rsidRPr="00AE3C0F">
              <w:rPr>
                <w:rFonts w:ascii="Calibri" w:hAnsi="Calibri" w:cs="Arial"/>
                <w:color w:val="000000"/>
              </w:rPr>
              <w:t>).</w:t>
            </w:r>
          </w:p>
          <w:p w14:paraId="5E83C91B" w14:textId="77777777" w:rsidR="004C7A6C" w:rsidRPr="006D2965" w:rsidRDefault="004C7A6C" w:rsidP="000839A9">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w:t>
            </w:r>
            <w:r>
              <w:rPr>
                <w:rFonts w:ascii="Calibri" w:hAnsi="Calibri" w:cs="Arial"/>
              </w:rPr>
              <w:t>No data</w:t>
            </w:r>
          </w:p>
          <w:p w14:paraId="00C704E0" w14:textId="77777777" w:rsidR="004C7A6C" w:rsidRPr="00714596" w:rsidRDefault="004C7A6C" w:rsidP="000839A9">
            <w:pPr>
              <w:jc w:val="both"/>
              <w:rPr>
                <w:rFonts w:ascii="Calibri" w:hAnsi="Calibri"/>
              </w:rPr>
            </w:pPr>
          </w:p>
          <w:p w14:paraId="6E12C6B6" w14:textId="77777777" w:rsidR="004C7A6C" w:rsidRPr="00714596" w:rsidRDefault="004C7A6C" w:rsidP="000839A9">
            <w:pPr>
              <w:jc w:val="both"/>
              <w:rPr>
                <w:rFonts w:ascii="Calibri" w:hAnsi="Calibri"/>
              </w:rPr>
            </w:pPr>
            <w:r w:rsidRPr="00714596">
              <w:rPr>
                <w:rFonts w:ascii="Calibri" w:hAnsi="Calibri"/>
              </w:rPr>
              <w:t>A literature search retrieved no relevant studies.</w:t>
            </w:r>
          </w:p>
          <w:p w14:paraId="615E1CF1" w14:textId="77777777" w:rsidR="004C7A6C" w:rsidRPr="00714596" w:rsidRDefault="004C7A6C" w:rsidP="000839A9">
            <w:pPr>
              <w:rPr>
                <w:rFonts w:ascii="Calibri" w:hAnsi="Calibri"/>
              </w:rPr>
            </w:pPr>
          </w:p>
        </w:tc>
      </w:tr>
    </w:tbl>
    <w:p w14:paraId="44FB70A1" w14:textId="31A0E06A" w:rsidR="007725FE" w:rsidRDefault="007725FE">
      <w:pPr>
        <w:rPr>
          <w:rFonts w:ascii="Calibri" w:hAnsi="Calibri"/>
        </w:rPr>
      </w:pPr>
    </w:p>
    <w:p w14:paraId="03CE1229" w14:textId="139B6598" w:rsidR="004C7A6C" w:rsidRDefault="004C7A6C">
      <w:pPr>
        <w:rPr>
          <w:rFonts w:ascii="Calibri" w:hAnsi="Calibri"/>
        </w:rPr>
      </w:pPr>
    </w:p>
    <w:p w14:paraId="4B95429F" w14:textId="3829B5C3" w:rsidR="004C7A6C" w:rsidRDefault="004C7A6C">
      <w:pPr>
        <w:rPr>
          <w:rFonts w:ascii="Calibri" w:hAnsi="Calibri"/>
        </w:rPr>
      </w:pPr>
    </w:p>
    <w:p w14:paraId="332ED82D" w14:textId="27280420" w:rsidR="004C7A6C" w:rsidRDefault="004C7A6C">
      <w:pPr>
        <w:rPr>
          <w:rFonts w:ascii="Calibri" w:hAnsi="Calibri"/>
        </w:rPr>
      </w:pPr>
    </w:p>
    <w:p w14:paraId="453307EE" w14:textId="51C41A2A" w:rsidR="004C7A6C" w:rsidRDefault="004C7A6C">
      <w:pPr>
        <w:rPr>
          <w:rFonts w:ascii="Calibri" w:hAnsi="Calibri"/>
        </w:rPr>
      </w:pPr>
    </w:p>
    <w:p w14:paraId="6B2C9BE4" w14:textId="2965637B" w:rsidR="004C7A6C" w:rsidRDefault="004C7A6C">
      <w:pPr>
        <w:rPr>
          <w:rFonts w:ascii="Calibri" w:hAnsi="Calibri"/>
        </w:rPr>
      </w:pPr>
    </w:p>
    <w:p w14:paraId="31A61DA8" w14:textId="6C5A1E39" w:rsidR="004C7A6C" w:rsidRDefault="004C7A6C">
      <w:pPr>
        <w:rPr>
          <w:rFonts w:ascii="Calibri" w:hAnsi="Calibri"/>
        </w:rPr>
      </w:pPr>
    </w:p>
    <w:p w14:paraId="58465C4E" w14:textId="1E4FEFE2" w:rsidR="00D91CF8" w:rsidRDefault="00D91CF8">
      <w:pPr>
        <w:rPr>
          <w:rFonts w:ascii="Calibri" w:hAnsi="Calibri"/>
        </w:rPr>
      </w:pPr>
    </w:p>
    <w:p w14:paraId="7BB278E1" w14:textId="08D45065" w:rsidR="00D91CF8" w:rsidRDefault="00D91CF8">
      <w:pPr>
        <w:rPr>
          <w:rFonts w:ascii="Calibri" w:hAnsi="Calibri"/>
        </w:rPr>
      </w:pPr>
    </w:p>
    <w:p w14:paraId="541CE185" w14:textId="7304994F" w:rsidR="00D91CF8" w:rsidRDefault="00D91CF8">
      <w:pPr>
        <w:rPr>
          <w:rFonts w:ascii="Calibri" w:hAnsi="Calibri"/>
        </w:rPr>
      </w:pPr>
    </w:p>
    <w:p w14:paraId="127A5E6B" w14:textId="77777777" w:rsidR="00D91CF8" w:rsidRDefault="00D91CF8">
      <w:pPr>
        <w:rPr>
          <w:rFonts w:ascii="Calibri" w:hAnsi="Calibri"/>
        </w:rPr>
      </w:pPr>
    </w:p>
    <w:p w14:paraId="5CE96481" w14:textId="00C18D92" w:rsidR="004C7A6C" w:rsidRDefault="004C7A6C">
      <w:pPr>
        <w:rPr>
          <w:rFonts w:ascii="Calibri" w:hAnsi="Calibri"/>
        </w:rPr>
      </w:pPr>
    </w:p>
    <w:p w14:paraId="1C60D250" w14:textId="55794000" w:rsidR="004C7A6C" w:rsidRDefault="004C7A6C">
      <w:pPr>
        <w:rPr>
          <w:rFonts w:ascii="Calibri" w:hAnsi="Calibri"/>
        </w:rPr>
      </w:pPr>
    </w:p>
    <w:p w14:paraId="2799357D" w14:textId="3BA5CF0F" w:rsidR="004026FF" w:rsidRDefault="004026FF">
      <w:pPr>
        <w:rPr>
          <w:rFonts w:ascii="Calibri" w:hAnsi="Calibri"/>
        </w:rPr>
      </w:pPr>
    </w:p>
    <w:p w14:paraId="63053356" w14:textId="77777777" w:rsidR="004026FF" w:rsidRDefault="004026FF">
      <w:pPr>
        <w:rPr>
          <w:rFonts w:ascii="Calibri" w:hAnsi="Calibri"/>
        </w:rPr>
      </w:pPr>
    </w:p>
    <w:p w14:paraId="506022F2" w14:textId="132976DB" w:rsidR="007725FE" w:rsidRDefault="007725FE">
      <w:pPr>
        <w:rPr>
          <w:rFonts w:ascii="Calibri" w:hAnsi="Calibri"/>
        </w:rPr>
      </w:pPr>
    </w:p>
    <w:p w14:paraId="38C17A56" w14:textId="717F19B8" w:rsidR="007725FE" w:rsidRDefault="007725FE">
      <w:pPr>
        <w:rPr>
          <w:rFonts w:ascii="Calibri" w:hAnsi="Calibri"/>
        </w:rPr>
      </w:pPr>
    </w:p>
    <w:p w14:paraId="340A97F0" w14:textId="77777777" w:rsidR="007725FE" w:rsidRPr="0018137D" w:rsidRDefault="007725F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2641"/>
        <w:gridCol w:w="3794"/>
      </w:tblGrid>
      <w:tr w:rsidR="00D9226A" w:rsidRPr="00457256" w14:paraId="7583E13C" w14:textId="77777777" w:rsidTr="00CC092D">
        <w:tc>
          <w:tcPr>
            <w:tcW w:w="8306" w:type="dxa"/>
            <w:gridSpan w:val="3"/>
            <w:tcBorders>
              <w:top w:val="nil"/>
              <w:left w:val="nil"/>
              <w:bottom w:val="nil"/>
              <w:right w:val="nil"/>
            </w:tcBorders>
            <w:shd w:val="clear" w:color="auto" w:fill="FF6600"/>
          </w:tcPr>
          <w:p w14:paraId="2F8AA90B" w14:textId="24587F69" w:rsidR="00D9226A" w:rsidRPr="00457256" w:rsidRDefault="0076504A" w:rsidP="001D423C">
            <w:pPr>
              <w:pStyle w:val="Heading3"/>
              <w:rPr>
                <w:rFonts w:ascii="Calibri" w:hAnsi="Calibri"/>
              </w:rPr>
            </w:pPr>
            <w:r>
              <w:rPr>
                <w:rFonts w:ascii="Calibri" w:hAnsi="Calibri"/>
              </w:rPr>
              <w:br w:type="page"/>
            </w:r>
            <w:bookmarkStart w:id="13" w:name="_Phenobarbital"/>
            <w:bookmarkEnd w:id="13"/>
            <w:r w:rsidR="00D9226A" w:rsidRPr="00457256">
              <w:rPr>
                <w:rFonts w:ascii="Calibri" w:hAnsi="Calibri"/>
              </w:rPr>
              <w:t>Phenobarbital</w:t>
            </w:r>
          </w:p>
        </w:tc>
      </w:tr>
      <w:tr w:rsidR="00D9226A" w:rsidRPr="00457256" w14:paraId="36CB5C4C" w14:textId="77777777" w:rsidTr="00CC092D">
        <w:tc>
          <w:tcPr>
            <w:tcW w:w="8306" w:type="dxa"/>
            <w:gridSpan w:val="3"/>
            <w:tcBorders>
              <w:top w:val="nil"/>
            </w:tcBorders>
            <w:shd w:val="clear" w:color="auto" w:fill="000000"/>
          </w:tcPr>
          <w:p w14:paraId="5F64BD9F" w14:textId="77777777" w:rsidR="00D9226A" w:rsidRPr="00457256" w:rsidRDefault="00D9226A" w:rsidP="006E675F">
            <w:pPr>
              <w:rPr>
                <w:rFonts w:ascii="Calibri" w:hAnsi="Calibri"/>
              </w:rPr>
            </w:pPr>
          </w:p>
        </w:tc>
      </w:tr>
      <w:tr w:rsidR="00D9226A" w:rsidRPr="00457256" w14:paraId="342DE878" w14:textId="77777777" w:rsidTr="00CC092D">
        <w:tc>
          <w:tcPr>
            <w:tcW w:w="1871" w:type="dxa"/>
            <w:vMerge w:val="restart"/>
            <w:shd w:val="clear" w:color="auto" w:fill="auto"/>
            <w:vAlign w:val="center"/>
          </w:tcPr>
          <w:p w14:paraId="32A099CA" w14:textId="77777777" w:rsidR="00D9226A" w:rsidRPr="00457256" w:rsidRDefault="00D9226A" w:rsidP="006E675F">
            <w:pPr>
              <w:rPr>
                <w:rFonts w:ascii="Calibri" w:hAnsi="Calibri"/>
              </w:rPr>
            </w:pPr>
            <w:r w:rsidRPr="00457256">
              <w:rPr>
                <w:rFonts w:ascii="Calibri" w:hAnsi="Calibri"/>
              </w:rPr>
              <w:t>Forms available</w:t>
            </w:r>
          </w:p>
        </w:tc>
        <w:tc>
          <w:tcPr>
            <w:tcW w:w="2641" w:type="dxa"/>
            <w:shd w:val="clear" w:color="auto" w:fill="auto"/>
          </w:tcPr>
          <w:p w14:paraId="5638AD7A" w14:textId="77777777" w:rsidR="00D9226A" w:rsidRPr="00457256" w:rsidRDefault="00D9226A" w:rsidP="006E675F">
            <w:pPr>
              <w:rPr>
                <w:rFonts w:ascii="Calibri" w:hAnsi="Calibri"/>
              </w:rPr>
            </w:pPr>
            <w:r w:rsidRPr="00457256">
              <w:rPr>
                <w:rFonts w:ascii="Calibri" w:hAnsi="Calibri"/>
              </w:rPr>
              <w:t>Intravenous infusion</w:t>
            </w:r>
          </w:p>
        </w:tc>
        <w:tc>
          <w:tcPr>
            <w:tcW w:w="3794" w:type="dxa"/>
            <w:shd w:val="clear" w:color="auto" w:fill="auto"/>
          </w:tcPr>
          <w:p w14:paraId="57640C04" w14:textId="6B0CE569" w:rsidR="00D9226A" w:rsidRPr="00457256" w:rsidRDefault="00557901" w:rsidP="006E675F">
            <w:pPr>
              <w:rPr>
                <w:rFonts w:ascii="Calibri" w:hAnsi="Calibri"/>
              </w:rPr>
            </w:pPr>
            <w:r>
              <w:rPr>
                <w:rFonts w:ascii="Calibri" w:hAnsi="Calibri"/>
              </w:rPr>
              <w:t>30mg/ml</w:t>
            </w:r>
            <w:r w:rsidR="0035757F">
              <w:rPr>
                <w:rFonts w:ascii="Calibri" w:hAnsi="Calibri"/>
              </w:rPr>
              <w:t xml:space="preserve">, 60mg/ml, </w:t>
            </w:r>
            <w:r w:rsidR="00764490" w:rsidRPr="00457256">
              <w:rPr>
                <w:rFonts w:ascii="Calibri" w:hAnsi="Calibri"/>
              </w:rPr>
              <w:t xml:space="preserve">200mg/ml </w:t>
            </w:r>
          </w:p>
        </w:tc>
      </w:tr>
      <w:tr w:rsidR="00D9226A" w:rsidRPr="00457256" w14:paraId="721C63E8" w14:textId="77777777" w:rsidTr="00CC092D">
        <w:tc>
          <w:tcPr>
            <w:tcW w:w="1871" w:type="dxa"/>
            <w:vMerge/>
            <w:shd w:val="clear" w:color="auto" w:fill="auto"/>
            <w:vAlign w:val="center"/>
          </w:tcPr>
          <w:p w14:paraId="603C1676" w14:textId="77777777" w:rsidR="00D9226A" w:rsidRPr="00457256" w:rsidRDefault="00D9226A" w:rsidP="006E675F">
            <w:pPr>
              <w:rPr>
                <w:rFonts w:ascii="Calibri" w:hAnsi="Calibri"/>
              </w:rPr>
            </w:pPr>
          </w:p>
        </w:tc>
        <w:tc>
          <w:tcPr>
            <w:tcW w:w="2641" w:type="dxa"/>
            <w:shd w:val="clear" w:color="auto" w:fill="auto"/>
          </w:tcPr>
          <w:p w14:paraId="7C36A905" w14:textId="77777777" w:rsidR="00D9226A" w:rsidRPr="00457256" w:rsidRDefault="00D9226A" w:rsidP="006E675F">
            <w:pPr>
              <w:rPr>
                <w:rFonts w:ascii="Calibri" w:hAnsi="Calibri"/>
              </w:rPr>
            </w:pPr>
            <w:r w:rsidRPr="00457256">
              <w:rPr>
                <w:rFonts w:ascii="Calibri" w:hAnsi="Calibri"/>
              </w:rPr>
              <w:t>Oral solution</w:t>
            </w:r>
            <w:r w:rsidR="00764490" w:rsidRPr="00457256">
              <w:rPr>
                <w:rFonts w:ascii="Calibri" w:hAnsi="Calibri"/>
              </w:rPr>
              <w:t xml:space="preserve"> (elixir)</w:t>
            </w:r>
          </w:p>
        </w:tc>
        <w:tc>
          <w:tcPr>
            <w:tcW w:w="3794" w:type="dxa"/>
            <w:shd w:val="clear" w:color="auto" w:fill="auto"/>
          </w:tcPr>
          <w:p w14:paraId="57FF2432" w14:textId="77777777" w:rsidR="00D9226A" w:rsidRPr="00457256" w:rsidRDefault="00764490" w:rsidP="006E675F">
            <w:pPr>
              <w:rPr>
                <w:rFonts w:ascii="Calibri" w:hAnsi="Calibri"/>
              </w:rPr>
            </w:pPr>
            <w:r w:rsidRPr="00457256">
              <w:rPr>
                <w:rFonts w:ascii="Calibri" w:hAnsi="Calibri"/>
              </w:rPr>
              <w:t>15mg/5ml</w:t>
            </w:r>
          </w:p>
        </w:tc>
      </w:tr>
      <w:tr w:rsidR="00D9226A" w:rsidRPr="00457256" w14:paraId="624EDA98" w14:textId="77777777" w:rsidTr="00CC092D">
        <w:tc>
          <w:tcPr>
            <w:tcW w:w="1871" w:type="dxa"/>
            <w:vMerge/>
            <w:shd w:val="clear" w:color="auto" w:fill="auto"/>
          </w:tcPr>
          <w:p w14:paraId="4631C201" w14:textId="77777777" w:rsidR="00D9226A" w:rsidRPr="00457256" w:rsidRDefault="00D9226A" w:rsidP="006E675F">
            <w:pPr>
              <w:rPr>
                <w:rFonts w:ascii="Calibri" w:hAnsi="Calibri"/>
              </w:rPr>
            </w:pPr>
          </w:p>
        </w:tc>
        <w:tc>
          <w:tcPr>
            <w:tcW w:w="2641" w:type="dxa"/>
            <w:shd w:val="clear" w:color="auto" w:fill="auto"/>
          </w:tcPr>
          <w:p w14:paraId="7DEC6A9D" w14:textId="77777777" w:rsidR="00D9226A" w:rsidRPr="00457256" w:rsidRDefault="00D9226A" w:rsidP="006E675F">
            <w:pPr>
              <w:rPr>
                <w:rFonts w:ascii="Calibri" w:hAnsi="Calibri"/>
              </w:rPr>
            </w:pPr>
            <w:r w:rsidRPr="00457256">
              <w:rPr>
                <w:rFonts w:ascii="Calibri" w:hAnsi="Calibri"/>
              </w:rPr>
              <w:t>Tablets</w:t>
            </w:r>
          </w:p>
        </w:tc>
        <w:tc>
          <w:tcPr>
            <w:tcW w:w="3794" w:type="dxa"/>
            <w:shd w:val="clear" w:color="auto" w:fill="auto"/>
          </w:tcPr>
          <w:p w14:paraId="71C30976" w14:textId="77777777" w:rsidR="00D9226A" w:rsidRPr="00457256" w:rsidRDefault="00764490" w:rsidP="006E675F">
            <w:pPr>
              <w:rPr>
                <w:rFonts w:ascii="Calibri" w:hAnsi="Calibri"/>
              </w:rPr>
            </w:pPr>
            <w:r w:rsidRPr="00457256">
              <w:rPr>
                <w:rFonts w:ascii="Calibri" w:hAnsi="Calibri"/>
              </w:rPr>
              <w:t>15mg, 30mg, 60mg</w:t>
            </w:r>
          </w:p>
        </w:tc>
      </w:tr>
      <w:tr w:rsidR="00D9226A" w:rsidRPr="00457256" w14:paraId="0027F4E8" w14:textId="77777777" w:rsidTr="00CC092D">
        <w:tc>
          <w:tcPr>
            <w:tcW w:w="1871" w:type="dxa"/>
            <w:shd w:val="clear" w:color="auto" w:fill="auto"/>
          </w:tcPr>
          <w:p w14:paraId="0624D443" w14:textId="77777777" w:rsidR="00D9226A" w:rsidRPr="00457256" w:rsidRDefault="00D9226A" w:rsidP="006E675F">
            <w:pPr>
              <w:rPr>
                <w:rFonts w:ascii="Calibri" w:hAnsi="Calibri"/>
              </w:rPr>
            </w:pPr>
            <w:r w:rsidRPr="00457256">
              <w:rPr>
                <w:rFonts w:ascii="Calibri" w:hAnsi="Calibri"/>
              </w:rPr>
              <w:t>Brands available</w:t>
            </w:r>
          </w:p>
        </w:tc>
        <w:tc>
          <w:tcPr>
            <w:tcW w:w="6435" w:type="dxa"/>
            <w:gridSpan w:val="2"/>
            <w:shd w:val="clear" w:color="auto" w:fill="auto"/>
          </w:tcPr>
          <w:p w14:paraId="4DEFB60D" w14:textId="77777777" w:rsidR="00D9226A" w:rsidRPr="00457256" w:rsidRDefault="00764490" w:rsidP="006E675F">
            <w:pPr>
              <w:rPr>
                <w:rFonts w:ascii="Calibri" w:hAnsi="Calibri"/>
              </w:rPr>
            </w:pPr>
            <w:r w:rsidRPr="00457256">
              <w:rPr>
                <w:rFonts w:ascii="Calibri" w:hAnsi="Calibri"/>
              </w:rPr>
              <w:t>Non-proprietary</w:t>
            </w:r>
          </w:p>
        </w:tc>
      </w:tr>
      <w:tr w:rsidR="00D9226A" w:rsidRPr="00457256" w14:paraId="30BD1CDA" w14:textId="77777777" w:rsidTr="00CC092D">
        <w:tc>
          <w:tcPr>
            <w:tcW w:w="8306" w:type="dxa"/>
            <w:gridSpan w:val="3"/>
            <w:shd w:val="clear" w:color="auto" w:fill="FF6600"/>
          </w:tcPr>
          <w:p w14:paraId="17EB1624"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0848330E" w14:textId="77777777" w:rsidTr="00CC092D">
        <w:tc>
          <w:tcPr>
            <w:tcW w:w="8306" w:type="dxa"/>
            <w:gridSpan w:val="3"/>
            <w:shd w:val="clear" w:color="auto" w:fill="auto"/>
          </w:tcPr>
          <w:p w14:paraId="62089AC3" w14:textId="29C28934" w:rsidR="00E3066E" w:rsidRPr="0076504A" w:rsidRDefault="00E3066E" w:rsidP="00236351">
            <w:pPr>
              <w:ind w:left="360"/>
              <w:jc w:val="both"/>
              <w:rPr>
                <w:rFonts w:ascii="Calibri" w:hAnsi="Calibri"/>
              </w:rPr>
            </w:pPr>
            <w:r w:rsidRPr="0076504A">
              <w:rPr>
                <w:rFonts w:ascii="Calibri" w:hAnsi="Calibri"/>
              </w:rPr>
              <w:t>These recommendations should not be used without consulting the ‘principles f</w:t>
            </w:r>
            <w:r w:rsidR="0076504A" w:rsidRPr="0076504A">
              <w:rPr>
                <w:rFonts w:ascii="Calibri" w:hAnsi="Calibri"/>
              </w:rPr>
              <w:t xml:space="preserve">or </w:t>
            </w:r>
            <w:r w:rsidR="00AE3C0F">
              <w:rPr>
                <w:rFonts w:ascii="Calibri" w:hAnsi="Calibri"/>
              </w:rPr>
              <w:t xml:space="preserve">switching’ section on page </w:t>
            </w:r>
            <w:r w:rsidR="00DC0F39">
              <w:rPr>
                <w:rFonts w:ascii="Calibri" w:hAnsi="Calibri"/>
              </w:rPr>
              <w:t>10</w:t>
            </w:r>
            <w:r w:rsidR="0076504A" w:rsidRPr="0076504A">
              <w:rPr>
                <w:rFonts w:ascii="Calibri" w:hAnsi="Calibri"/>
              </w:rPr>
              <w:t>.</w:t>
            </w:r>
          </w:p>
          <w:p w14:paraId="7F260666" w14:textId="77777777" w:rsidR="00D9226A" w:rsidRPr="0076504A" w:rsidRDefault="00E3066E" w:rsidP="00236351">
            <w:pPr>
              <w:numPr>
                <w:ilvl w:val="0"/>
                <w:numId w:val="18"/>
              </w:numPr>
              <w:jc w:val="both"/>
              <w:rPr>
                <w:rFonts w:ascii="Calibri" w:hAnsi="Calibri"/>
              </w:rPr>
            </w:pPr>
            <w:r w:rsidRPr="0076504A">
              <w:rPr>
                <w:rFonts w:ascii="Calibri" w:hAnsi="Calibri"/>
              </w:rPr>
              <w:t xml:space="preserve">  </w:t>
            </w:r>
            <w:r w:rsidR="00AC02DD" w:rsidRPr="0076504A">
              <w:rPr>
                <w:rFonts w:ascii="Calibri" w:hAnsi="Calibri"/>
              </w:rPr>
              <w:t xml:space="preserve">There is no brand so generic usage is </w:t>
            </w:r>
            <w:r w:rsidR="008E1F8F">
              <w:rPr>
                <w:rFonts w:ascii="Calibri" w:hAnsi="Calibri"/>
              </w:rPr>
              <w:t>standard practice</w:t>
            </w:r>
            <w:r w:rsidR="00AC02DD" w:rsidRPr="0076504A">
              <w:rPr>
                <w:rFonts w:ascii="Calibri" w:hAnsi="Calibri"/>
              </w:rPr>
              <w:t>.</w:t>
            </w:r>
          </w:p>
          <w:p w14:paraId="70D075E8" w14:textId="77777777" w:rsidR="008805EA" w:rsidRPr="00457256" w:rsidRDefault="008805EA" w:rsidP="00D82B6B">
            <w:pPr>
              <w:ind w:left="360"/>
              <w:rPr>
                <w:rFonts w:ascii="Calibri" w:hAnsi="Calibri"/>
              </w:rPr>
            </w:pPr>
          </w:p>
        </w:tc>
      </w:tr>
      <w:tr w:rsidR="00D9226A" w:rsidRPr="00457256" w14:paraId="7DBCC5FF" w14:textId="77777777" w:rsidTr="00CC092D">
        <w:tc>
          <w:tcPr>
            <w:tcW w:w="8306" w:type="dxa"/>
            <w:gridSpan w:val="3"/>
            <w:tcBorders>
              <w:bottom w:val="single" w:sz="4" w:space="0" w:color="auto"/>
            </w:tcBorders>
            <w:shd w:val="clear" w:color="auto" w:fill="FF6600"/>
          </w:tcPr>
          <w:p w14:paraId="54DB579B" w14:textId="77777777" w:rsidR="00D9226A" w:rsidRPr="00457256" w:rsidRDefault="00D9226A" w:rsidP="006E675F">
            <w:pPr>
              <w:rPr>
                <w:rFonts w:ascii="Calibri" w:hAnsi="Calibri"/>
              </w:rPr>
            </w:pPr>
            <w:r w:rsidRPr="00457256">
              <w:rPr>
                <w:rFonts w:ascii="Calibri" w:hAnsi="Calibri"/>
              </w:rPr>
              <w:t>Rationale</w:t>
            </w:r>
          </w:p>
        </w:tc>
      </w:tr>
      <w:tr w:rsidR="00D82B6B" w:rsidRPr="00457256" w14:paraId="438A8DFA" w14:textId="77777777" w:rsidTr="00CC092D">
        <w:tc>
          <w:tcPr>
            <w:tcW w:w="8306" w:type="dxa"/>
            <w:gridSpan w:val="3"/>
            <w:shd w:val="clear" w:color="auto" w:fill="auto"/>
          </w:tcPr>
          <w:p w14:paraId="4E04CF08" w14:textId="3ABF6513" w:rsidR="00D82B6B" w:rsidRDefault="00D82B6B" w:rsidP="00D82B6B">
            <w:pPr>
              <w:pStyle w:val="Normal1"/>
              <w:rPr>
                <w:rFonts w:ascii="Calibri" w:hAnsi="Calibri"/>
              </w:rPr>
            </w:pPr>
          </w:p>
          <w:p w14:paraId="167A6811" w14:textId="77777777" w:rsidR="00862A26" w:rsidRDefault="00862A26" w:rsidP="00862A26">
            <w:pPr>
              <w:rPr>
                <w:rFonts w:ascii="Calibri" w:hAnsi="Calibri"/>
              </w:rPr>
            </w:pPr>
            <w:r w:rsidRPr="00775BCE">
              <w:rPr>
                <w:rFonts w:ascii="Calibri" w:hAnsi="Calibri"/>
                <w:b/>
                <w:bCs/>
              </w:rPr>
              <w:t>MHRA</w:t>
            </w:r>
            <w:r>
              <w:rPr>
                <w:rFonts w:ascii="Calibri" w:hAnsi="Calibri"/>
                <w:b/>
                <w:bCs/>
              </w:rPr>
              <w:t>-</w:t>
            </w:r>
            <w:r w:rsidRPr="00775BCE">
              <w:rPr>
                <w:rFonts w:ascii="Calibri" w:hAnsi="Calibri"/>
                <w:b/>
                <w:bCs/>
              </w:rPr>
              <w:t>Category 1:</w:t>
            </w:r>
            <w:r>
              <w:rPr>
                <w:rFonts w:ascii="Calibri" w:hAnsi="Calibri"/>
              </w:rPr>
              <w:t xml:space="preserve"> Ensure the patient is maintained on a specific manufacturer’s product. </w:t>
            </w:r>
          </w:p>
          <w:p w14:paraId="5B956D42" w14:textId="77777777" w:rsidR="00862A26" w:rsidRDefault="00862A26" w:rsidP="00D82B6B">
            <w:pPr>
              <w:pStyle w:val="Normal1"/>
              <w:rPr>
                <w:rFonts w:ascii="Calibri" w:hAnsi="Calibri"/>
              </w:rPr>
            </w:pPr>
          </w:p>
          <w:p w14:paraId="29874870" w14:textId="77777777" w:rsidR="00D82B6B" w:rsidRPr="00AE3C0F" w:rsidRDefault="00D82B6B" w:rsidP="00236351">
            <w:pPr>
              <w:pStyle w:val="Normal1"/>
              <w:jc w:val="both"/>
              <w:rPr>
                <w:rFonts w:ascii="Calibri" w:hAnsi="Calibri"/>
              </w:rPr>
            </w:pPr>
            <w:r w:rsidRPr="00AE3C0F">
              <w:rPr>
                <w:rFonts w:ascii="Calibri" w:hAnsi="Calibri"/>
                <w:b/>
              </w:rPr>
              <w:t>Half life</w:t>
            </w:r>
            <w:r w:rsidRPr="008805EA">
              <w:rPr>
                <w:rFonts w:ascii="Calibri" w:hAnsi="Calibri"/>
              </w:rPr>
              <w:t xml:space="preserve">: Phenobarbital: 1.5 to 4.9 days.  Infant half-life range is reported to be 59 to 400 hours following oral or intramuscular administration. A value of 40 to 70 hours has been reported for children. </w:t>
            </w:r>
            <w:r w:rsidRPr="00AE3C0F">
              <w:rPr>
                <w:rFonts w:ascii="Calibri" w:hAnsi="Calibri"/>
              </w:rPr>
              <w:t>(Micromedex 2012)</w:t>
            </w:r>
          </w:p>
          <w:p w14:paraId="45F2C50F" w14:textId="77777777" w:rsidR="00D82B6B" w:rsidRPr="008805EA" w:rsidRDefault="00D82B6B" w:rsidP="00236351">
            <w:pPr>
              <w:pStyle w:val="Normal1"/>
              <w:jc w:val="both"/>
              <w:rPr>
                <w:rFonts w:ascii="Calibri" w:hAnsi="Calibri"/>
              </w:rPr>
            </w:pPr>
          </w:p>
          <w:p w14:paraId="0D7E9829" w14:textId="77777777" w:rsidR="00D82B6B" w:rsidRPr="008805EA" w:rsidRDefault="00D82B6B" w:rsidP="00236351">
            <w:pPr>
              <w:pStyle w:val="Normal1"/>
              <w:jc w:val="both"/>
              <w:rPr>
                <w:rFonts w:ascii="Calibri" w:hAnsi="Calibri"/>
              </w:rPr>
            </w:pPr>
            <w:r w:rsidRPr="00D82B6B">
              <w:rPr>
                <w:rFonts w:ascii="Calibri" w:hAnsi="Calibri"/>
                <w:b/>
              </w:rPr>
              <w:t>Biophar</w:t>
            </w:r>
            <w:r w:rsidR="00AE3C0F">
              <w:rPr>
                <w:rFonts w:ascii="Calibri" w:hAnsi="Calibri"/>
                <w:b/>
              </w:rPr>
              <w:t>maceutics Classification System</w:t>
            </w:r>
            <w:r w:rsidRPr="00D82B6B">
              <w:rPr>
                <w:rFonts w:ascii="Calibri" w:hAnsi="Calibri"/>
                <w:b/>
              </w:rPr>
              <w:t>:</w:t>
            </w:r>
            <w:r w:rsidRPr="008805EA">
              <w:rPr>
                <w:rFonts w:ascii="Calibri" w:hAnsi="Calibri"/>
              </w:rPr>
              <w:t xml:space="preserve"> I</w:t>
            </w:r>
            <w:r w:rsidRPr="008805EA">
              <w:rPr>
                <w:rFonts w:ascii="Calibri" w:hAnsi="Calibri" w:cs="AdvP7B6C"/>
              </w:rPr>
              <w:t xml:space="preserve">  (high solubility/high permeability)</w:t>
            </w:r>
          </w:p>
          <w:p w14:paraId="4CA009DA" w14:textId="77777777" w:rsidR="00D82B6B" w:rsidRPr="00AE3C0F" w:rsidRDefault="00D82B6B" w:rsidP="00236351">
            <w:pPr>
              <w:jc w:val="both"/>
              <w:rPr>
                <w:rFonts w:ascii="Calibri" w:hAnsi="Calibri"/>
              </w:rPr>
            </w:pPr>
            <w:r w:rsidRPr="00AE3C0F">
              <w:rPr>
                <w:rFonts w:ascii="Calibri" w:hAnsi="Calibri" w:cs="AdvP7B72"/>
              </w:rPr>
              <w:t>(Anderson</w:t>
            </w:r>
            <w:r w:rsidRPr="00AE3C0F">
              <w:rPr>
                <w:rFonts w:ascii="Calibri" w:hAnsi="Calibri"/>
              </w:rPr>
              <w:t xml:space="preserve"> 2008)</w:t>
            </w:r>
          </w:p>
          <w:p w14:paraId="32A6C970" w14:textId="77777777" w:rsidR="00D82B6B" w:rsidRPr="00457256" w:rsidRDefault="00D82B6B" w:rsidP="00D82B6B">
            <w:pPr>
              <w:rPr>
                <w:rFonts w:ascii="Calibri" w:hAnsi="Calibri"/>
              </w:rPr>
            </w:pPr>
          </w:p>
        </w:tc>
      </w:tr>
    </w:tbl>
    <w:p w14:paraId="357583D1" w14:textId="77777777" w:rsidR="0076504A" w:rsidRDefault="0076504A">
      <w:pPr>
        <w:rPr>
          <w:rFonts w:ascii="Calibri" w:hAnsi="Calibri"/>
        </w:rPr>
      </w:pPr>
    </w:p>
    <w:p w14:paraId="784EB427" w14:textId="77777777" w:rsidR="002F0DC5" w:rsidRPr="0018137D" w:rsidRDefault="0076504A" w:rsidP="008805EA">
      <w:pPr>
        <w:rPr>
          <w:rFonts w:ascii="Calibri" w:hAnsi="Calibri"/>
        </w:rPr>
      </w:pPr>
      <w:r>
        <w:rPr>
          <w:rFonts w:ascii="Calibri" w:hAnsi="Calibri"/>
        </w:rPr>
        <w:br w:type="page"/>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64"/>
      </w:tblGrid>
      <w:tr w:rsidR="00D9226A" w:rsidRPr="00457256" w14:paraId="160F842A" w14:textId="77777777">
        <w:tc>
          <w:tcPr>
            <w:tcW w:w="8572" w:type="dxa"/>
            <w:gridSpan w:val="3"/>
            <w:tcBorders>
              <w:top w:val="nil"/>
              <w:left w:val="nil"/>
              <w:bottom w:val="nil"/>
              <w:right w:val="nil"/>
            </w:tcBorders>
            <w:shd w:val="clear" w:color="auto" w:fill="FF6600"/>
          </w:tcPr>
          <w:p w14:paraId="7E622417" w14:textId="77777777" w:rsidR="00D9226A" w:rsidRPr="00457256" w:rsidRDefault="00D9226A" w:rsidP="001D423C">
            <w:pPr>
              <w:pStyle w:val="Heading3"/>
              <w:rPr>
                <w:rFonts w:ascii="Calibri" w:hAnsi="Calibri"/>
              </w:rPr>
            </w:pPr>
            <w:bookmarkStart w:id="14" w:name="_Phenytoin"/>
            <w:bookmarkEnd w:id="14"/>
            <w:r w:rsidRPr="00457256">
              <w:rPr>
                <w:rFonts w:ascii="Calibri" w:hAnsi="Calibri"/>
              </w:rPr>
              <w:t>Phenytoin</w:t>
            </w:r>
          </w:p>
        </w:tc>
      </w:tr>
      <w:tr w:rsidR="00D9226A" w:rsidRPr="00457256" w14:paraId="05436986" w14:textId="77777777">
        <w:tc>
          <w:tcPr>
            <w:tcW w:w="8572" w:type="dxa"/>
            <w:gridSpan w:val="3"/>
            <w:tcBorders>
              <w:top w:val="nil"/>
            </w:tcBorders>
            <w:shd w:val="clear" w:color="auto" w:fill="000000"/>
          </w:tcPr>
          <w:p w14:paraId="6C4DF1D5" w14:textId="77777777" w:rsidR="00D9226A" w:rsidRPr="00457256" w:rsidRDefault="00D9226A" w:rsidP="006E675F">
            <w:pPr>
              <w:rPr>
                <w:rFonts w:ascii="Calibri" w:hAnsi="Calibri"/>
              </w:rPr>
            </w:pPr>
          </w:p>
        </w:tc>
      </w:tr>
      <w:tr w:rsidR="00D9226A" w:rsidRPr="00457256" w14:paraId="395D3A95" w14:textId="77777777">
        <w:tc>
          <w:tcPr>
            <w:tcW w:w="1908" w:type="dxa"/>
            <w:vMerge w:val="restart"/>
            <w:shd w:val="clear" w:color="auto" w:fill="auto"/>
            <w:vAlign w:val="center"/>
          </w:tcPr>
          <w:p w14:paraId="0633F7F3" w14:textId="77777777" w:rsidR="00D9226A" w:rsidRPr="00457256" w:rsidRDefault="00D9226A" w:rsidP="006E675F">
            <w:pPr>
              <w:rPr>
                <w:rFonts w:ascii="Calibri" w:hAnsi="Calibri"/>
              </w:rPr>
            </w:pPr>
            <w:r w:rsidRPr="00457256">
              <w:rPr>
                <w:rFonts w:ascii="Calibri" w:hAnsi="Calibri"/>
              </w:rPr>
              <w:t>Forms available</w:t>
            </w:r>
          </w:p>
        </w:tc>
        <w:tc>
          <w:tcPr>
            <w:tcW w:w="2700" w:type="dxa"/>
            <w:shd w:val="clear" w:color="auto" w:fill="auto"/>
          </w:tcPr>
          <w:p w14:paraId="12BBD695" w14:textId="77777777" w:rsidR="00D9226A" w:rsidRPr="00457256" w:rsidRDefault="00764490" w:rsidP="006E675F">
            <w:pPr>
              <w:rPr>
                <w:rFonts w:ascii="Calibri" w:hAnsi="Calibri"/>
              </w:rPr>
            </w:pPr>
            <w:r w:rsidRPr="00457256">
              <w:rPr>
                <w:rFonts w:ascii="Calibri" w:hAnsi="Calibri"/>
              </w:rPr>
              <w:t>Chewable tablets</w:t>
            </w:r>
          </w:p>
        </w:tc>
        <w:tc>
          <w:tcPr>
            <w:tcW w:w="3964" w:type="dxa"/>
            <w:shd w:val="clear" w:color="auto" w:fill="auto"/>
          </w:tcPr>
          <w:p w14:paraId="4B23D989" w14:textId="77777777" w:rsidR="00D9226A" w:rsidRPr="00457256" w:rsidRDefault="00764490" w:rsidP="006E675F">
            <w:pPr>
              <w:rPr>
                <w:rFonts w:ascii="Calibri" w:hAnsi="Calibri"/>
              </w:rPr>
            </w:pPr>
            <w:r w:rsidRPr="00457256">
              <w:rPr>
                <w:rFonts w:ascii="Calibri" w:hAnsi="Calibri"/>
              </w:rPr>
              <w:t>50mg</w:t>
            </w:r>
          </w:p>
        </w:tc>
      </w:tr>
      <w:tr w:rsidR="00764490" w:rsidRPr="00457256" w14:paraId="17333E9E" w14:textId="77777777">
        <w:tc>
          <w:tcPr>
            <w:tcW w:w="1908" w:type="dxa"/>
            <w:vMerge/>
            <w:shd w:val="clear" w:color="auto" w:fill="auto"/>
            <w:vAlign w:val="center"/>
          </w:tcPr>
          <w:p w14:paraId="489D297D" w14:textId="77777777" w:rsidR="00764490" w:rsidRPr="00457256" w:rsidRDefault="00764490" w:rsidP="006E675F">
            <w:pPr>
              <w:rPr>
                <w:rFonts w:ascii="Calibri" w:hAnsi="Calibri"/>
              </w:rPr>
            </w:pPr>
          </w:p>
        </w:tc>
        <w:tc>
          <w:tcPr>
            <w:tcW w:w="2700" w:type="dxa"/>
            <w:shd w:val="clear" w:color="auto" w:fill="auto"/>
          </w:tcPr>
          <w:p w14:paraId="504D8590" w14:textId="77777777" w:rsidR="00764490" w:rsidRPr="00457256" w:rsidRDefault="00764490" w:rsidP="006E675F">
            <w:pPr>
              <w:rPr>
                <w:rFonts w:ascii="Calibri" w:hAnsi="Calibri"/>
              </w:rPr>
            </w:pPr>
            <w:r w:rsidRPr="00457256">
              <w:rPr>
                <w:rFonts w:ascii="Calibri" w:hAnsi="Calibri"/>
              </w:rPr>
              <w:t>Capsules</w:t>
            </w:r>
          </w:p>
        </w:tc>
        <w:tc>
          <w:tcPr>
            <w:tcW w:w="3964" w:type="dxa"/>
            <w:shd w:val="clear" w:color="auto" w:fill="auto"/>
          </w:tcPr>
          <w:p w14:paraId="4909C765" w14:textId="77777777" w:rsidR="00764490" w:rsidRPr="00457256" w:rsidRDefault="00764490" w:rsidP="006E675F">
            <w:pPr>
              <w:rPr>
                <w:rFonts w:ascii="Calibri" w:hAnsi="Calibri"/>
              </w:rPr>
            </w:pPr>
            <w:r w:rsidRPr="00457256">
              <w:rPr>
                <w:rFonts w:ascii="Calibri" w:hAnsi="Calibri"/>
              </w:rPr>
              <w:t>25mg, 50mg, 100mg, 300mg</w:t>
            </w:r>
          </w:p>
        </w:tc>
      </w:tr>
      <w:tr w:rsidR="00D9226A" w:rsidRPr="00457256" w14:paraId="13354FD2" w14:textId="77777777" w:rsidTr="00ED735B">
        <w:tc>
          <w:tcPr>
            <w:tcW w:w="1908" w:type="dxa"/>
            <w:vMerge/>
            <w:shd w:val="clear" w:color="auto" w:fill="auto"/>
            <w:vAlign w:val="center"/>
          </w:tcPr>
          <w:p w14:paraId="23F5ED78" w14:textId="77777777" w:rsidR="00D9226A" w:rsidRPr="00457256" w:rsidRDefault="00D9226A" w:rsidP="006E675F">
            <w:pPr>
              <w:rPr>
                <w:rFonts w:ascii="Calibri" w:hAnsi="Calibri"/>
              </w:rPr>
            </w:pPr>
          </w:p>
        </w:tc>
        <w:tc>
          <w:tcPr>
            <w:tcW w:w="2700" w:type="dxa"/>
            <w:tcBorders>
              <w:bottom w:val="single" w:sz="4" w:space="0" w:color="auto"/>
            </w:tcBorders>
            <w:shd w:val="clear" w:color="auto" w:fill="auto"/>
          </w:tcPr>
          <w:p w14:paraId="2CA3E5AB" w14:textId="77777777" w:rsidR="00D9226A" w:rsidRPr="00457256" w:rsidRDefault="00D9226A" w:rsidP="006E675F">
            <w:pPr>
              <w:rPr>
                <w:rFonts w:ascii="Calibri" w:hAnsi="Calibri"/>
              </w:rPr>
            </w:pPr>
            <w:r w:rsidRPr="00457256">
              <w:rPr>
                <w:rFonts w:ascii="Calibri" w:hAnsi="Calibri"/>
              </w:rPr>
              <w:t>Oral solution</w:t>
            </w:r>
          </w:p>
        </w:tc>
        <w:tc>
          <w:tcPr>
            <w:tcW w:w="3964" w:type="dxa"/>
            <w:tcBorders>
              <w:bottom w:val="single" w:sz="4" w:space="0" w:color="auto"/>
            </w:tcBorders>
            <w:shd w:val="clear" w:color="auto" w:fill="auto"/>
          </w:tcPr>
          <w:p w14:paraId="26AE9921" w14:textId="77777777" w:rsidR="00D9226A" w:rsidRPr="00457256" w:rsidRDefault="00764490" w:rsidP="006E675F">
            <w:pPr>
              <w:rPr>
                <w:rFonts w:ascii="Calibri" w:hAnsi="Calibri"/>
              </w:rPr>
            </w:pPr>
            <w:r w:rsidRPr="00457256">
              <w:rPr>
                <w:rFonts w:ascii="Calibri" w:hAnsi="Calibri"/>
              </w:rPr>
              <w:t>30mg/5ml</w:t>
            </w:r>
          </w:p>
        </w:tc>
      </w:tr>
      <w:tr w:rsidR="00865391" w:rsidRPr="00457256" w14:paraId="591EA2EC" w14:textId="77777777" w:rsidTr="00ED735B">
        <w:tc>
          <w:tcPr>
            <w:tcW w:w="1908" w:type="dxa"/>
            <w:vMerge/>
            <w:shd w:val="clear" w:color="auto" w:fill="auto"/>
          </w:tcPr>
          <w:p w14:paraId="61AE1A6E" w14:textId="77777777" w:rsidR="00865391" w:rsidRPr="00457256" w:rsidRDefault="00865391" w:rsidP="006E675F">
            <w:pPr>
              <w:rPr>
                <w:rFonts w:ascii="Calibri" w:hAnsi="Calibri"/>
              </w:rPr>
            </w:pPr>
          </w:p>
        </w:tc>
        <w:tc>
          <w:tcPr>
            <w:tcW w:w="2700" w:type="dxa"/>
            <w:shd w:val="clear" w:color="auto" w:fill="FFFFFF" w:themeFill="background1"/>
          </w:tcPr>
          <w:p w14:paraId="6F38C70C" w14:textId="06EA8821" w:rsidR="00865391" w:rsidRPr="00457256" w:rsidRDefault="002A2EE6" w:rsidP="006E675F">
            <w:pPr>
              <w:rPr>
                <w:rFonts w:ascii="Calibri" w:hAnsi="Calibri"/>
              </w:rPr>
            </w:pPr>
            <w:r w:rsidRPr="00457256">
              <w:rPr>
                <w:rFonts w:ascii="Calibri" w:hAnsi="Calibri"/>
              </w:rPr>
              <w:t>Tablets</w:t>
            </w:r>
          </w:p>
        </w:tc>
        <w:tc>
          <w:tcPr>
            <w:tcW w:w="3964" w:type="dxa"/>
            <w:shd w:val="clear" w:color="auto" w:fill="FFFFFF" w:themeFill="background1"/>
          </w:tcPr>
          <w:p w14:paraId="7039166F" w14:textId="2084B344" w:rsidR="00865391" w:rsidRPr="00457256" w:rsidRDefault="002A2EE6" w:rsidP="006E675F">
            <w:pPr>
              <w:rPr>
                <w:rFonts w:ascii="Calibri" w:hAnsi="Calibri"/>
              </w:rPr>
            </w:pPr>
            <w:r w:rsidRPr="00457256">
              <w:rPr>
                <w:rFonts w:ascii="Calibri" w:hAnsi="Calibri"/>
              </w:rPr>
              <w:t>100mg</w:t>
            </w:r>
          </w:p>
        </w:tc>
      </w:tr>
      <w:tr w:rsidR="00D9226A" w:rsidRPr="00457256" w14:paraId="4CC46ED4" w14:textId="77777777">
        <w:tc>
          <w:tcPr>
            <w:tcW w:w="1908" w:type="dxa"/>
            <w:vMerge/>
            <w:shd w:val="clear" w:color="auto" w:fill="auto"/>
          </w:tcPr>
          <w:p w14:paraId="7F43F40A" w14:textId="77777777" w:rsidR="00D9226A" w:rsidRPr="00457256" w:rsidRDefault="00D9226A" w:rsidP="006E675F">
            <w:pPr>
              <w:rPr>
                <w:rFonts w:ascii="Calibri" w:hAnsi="Calibri"/>
              </w:rPr>
            </w:pPr>
          </w:p>
        </w:tc>
        <w:tc>
          <w:tcPr>
            <w:tcW w:w="2700" w:type="dxa"/>
            <w:shd w:val="clear" w:color="auto" w:fill="auto"/>
          </w:tcPr>
          <w:p w14:paraId="6CF63225" w14:textId="411223D0" w:rsidR="00D9226A" w:rsidRPr="00457256" w:rsidRDefault="00FC26FA" w:rsidP="006E675F">
            <w:pPr>
              <w:rPr>
                <w:rFonts w:ascii="Calibri" w:hAnsi="Calibri"/>
              </w:rPr>
            </w:pPr>
            <w:r>
              <w:rPr>
                <w:rFonts w:ascii="Calibri" w:hAnsi="Calibri"/>
              </w:rPr>
              <w:t>Injection</w:t>
            </w:r>
          </w:p>
        </w:tc>
        <w:tc>
          <w:tcPr>
            <w:tcW w:w="3964" w:type="dxa"/>
            <w:shd w:val="clear" w:color="auto" w:fill="auto"/>
          </w:tcPr>
          <w:p w14:paraId="3BEEA1DD" w14:textId="076C25A8" w:rsidR="00D9226A" w:rsidRPr="00457256" w:rsidRDefault="00EA53C0" w:rsidP="006E675F">
            <w:pPr>
              <w:rPr>
                <w:rFonts w:ascii="Calibri" w:hAnsi="Calibri"/>
              </w:rPr>
            </w:pPr>
            <w:r>
              <w:rPr>
                <w:rFonts w:ascii="Calibri" w:hAnsi="Calibri"/>
              </w:rPr>
              <w:t>250mg/5ml</w:t>
            </w:r>
          </w:p>
        </w:tc>
      </w:tr>
      <w:tr w:rsidR="00D9226A" w:rsidRPr="00457256" w14:paraId="45DA3431" w14:textId="77777777">
        <w:tc>
          <w:tcPr>
            <w:tcW w:w="1908" w:type="dxa"/>
            <w:shd w:val="clear" w:color="auto" w:fill="auto"/>
          </w:tcPr>
          <w:p w14:paraId="26DCA929" w14:textId="77777777" w:rsidR="00D9226A" w:rsidRPr="00457256" w:rsidRDefault="00D9226A" w:rsidP="006E675F">
            <w:pPr>
              <w:rPr>
                <w:rFonts w:ascii="Calibri" w:hAnsi="Calibri"/>
              </w:rPr>
            </w:pPr>
            <w:r w:rsidRPr="00457256">
              <w:rPr>
                <w:rFonts w:ascii="Calibri" w:hAnsi="Calibri"/>
              </w:rPr>
              <w:t>Brands available</w:t>
            </w:r>
          </w:p>
        </w:tc>
        <w:tc>
          <w:tcPr>
            <w:tcW w:w="6664" w:type="dxa"/>
            <w:gridSpan w:val="2"/>
            <w:shd w:val="clear" w:color="auto" w:fill="auto"/>
          </w:tcPr>
          <w:p w14:paraId="7A52642E" w14:textId="77777777" w:rsidR="00D9226A" w:rsidRPr="00457256" w:rsidRDefault="0060219D" w:rsidP="006E675F">
            <w:pPr>
              <w:rPr>
                <w:rFonts w:ascii="Calibri" w:hAnsi="Calibri"/>
              </w:rPr>
            </w:pPr>
            <w:r w:rsidRPr="00457256">
              <w:rPr>
                <w:rFonts w:ascii="Calibri" w:hAnsi="Calibri"/>
              </w:rPr>
              <w:t>Non-proprietary, Epanutin</w:t>
            </w:r>
          </w:p>
        </w:tc>
      </w:tr>
      <w:tr w:rsidR="00D9226A" w:rsidRPr="00457256" w14:paraId="2F71EF7D" w14:textId="77777777">
        <w:tc>
          <w:tcPr>
            <w:tcW w:w="8572" w:type="dxa"/>
            <w:gridSpan w:val="3"/>
            <w:shd w:val="clear" w:color="auto" w:fill="FF6600"/>
          </w:tcPr>
          <w:p w14:paraId="5F1122D3"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628B8072" w14:textId="77777777">
        <w:tc>
          <w:tcPr>
            <w:tcW w:w="8572" w:type="dxa"/>
            <w:gridSpan w:val="3"/>
            <w:shd w:val="clear" w:color="auto" w:fill="auto"/>
          </w:tcPr>
          <w:p w14:paraId="40FD6B65" w14:textId="37D93BA9" w:rsidR="00E3066E" w:rsidRPr="0076504A" w:rsidRDefault="00E3066E" w:rsidP="00236351">
            <w:pPr>
              <w:ind w:left="360"/>
              <w:jc w:val="both"/>
              <w:rPr>
                <w:rFonts w:ascii="Calibri" w:hAnsi="Calibri"/>
              </w:rPr>
            </w:pPr>
            <w:r w:rsidRPr="0076504A">
              <w:rPr>
                <w:rFonts w:ascii="Calibri" w:hAnsi="Calibri"/>
              </w:rPr>
              <w:t>These recommendations should not be used without consulting the ‘principles fo</w:t>
            </w:r>
            <w:r w:rsidR="00AE3C0F">
              <w:rPr>
                <w:rFonts w:ascii="Calibri" w:hAnsi="Calibri"/>
              </w:rPr>
              <w:t xml:space="preserve">r switching’ section on page </w:t>
            </w:r>
            <w:r w:rsidR="00DC0F39">
              <w:rPr>
                <w:rFonts w:ascii="Calibri" w:hAnsi="Calibri"/>
              </w:rPr>
              <w:t>10</w:t>
            </w:r>
            <w:r w:rsidR="0076504A" w:rsidRPr="0076504A">
              <w:rPr>
                <w:rFonts w:ascii="Calibri" w:hAnsi="Calibri"/>
              </w:rPr>
              <w:t>.</w:t>
            </w:r>
          </w:p>
          <w:p w14:paraId="550DEB7D" w14:textId="77777777" w:rsidR="00D9226A" w:rsidRPr="0076504A" w:rsidRDefault="00AC02DD" w:rsidP="00236351">
            <w:pPr>
              <w:numPr>
                <w:ilvl w:val="0"/>
                <w:numId w:val="8"/>
              </w:numPr>
              <w:jc w:val="both"/>
              <w:rPr>
                <w:rFonts w:ascii="Calibri" w:hAnsi="Calibri"/>
              </w:rPr>
            </w:pPr>
            <w:r w:rsidRPr="0076504A">
              <w:rPr>
                <w:rFonts w:ascii="Calibri" w:hAnsi="Calibri"/>
              </w:rPr>
              <w:t>There is a lot</w:t>
            </w:r>
            <w:r w:rsidR="00FE5DC5" w:rsidRPr="0076504A">
              <w:rPr>
                <w:rFonts w:ascii="Calibri" w:hAnsi="Calibri"/>
              </w:rPr>
              <w:t xml:space="preserve"> of (older) data on switching with</w:t>
            </w:r>
            <w:r w:rsidR="00B265FF">
              <w:rPr>
                <w:rFonts w:ascii="Calibri" w:hAnsi="Calibri"/>
              </w:rPr>
              <w:t xml:space="preserve"> p</w:t>
            </w:r>
            <w:r w:rsidRPr="0076504A">
              <w:rPr>
                <w:rFonts w:ascii="Calibri" w:hAnsi="Calibri"/>
              </w:rPr>
              <w:t>henytoin</w:t>
            </w:r>
            <w:r w:rsidR="00FE5DC5" w:rsidRPr="0076504A">
              <w:rPr>
                <w:rFonts w:ascii="Calibri" w:hAnsi="Calibri"/>
              </w:rPr>
              <w:t>.</w:t>
            </w:r>
          </w:p>
          <w:p w14:paraId="12100689" w14:textId="77777777" w:rsidR="00AC02DD" w:rsidRDefault="00AC02DD" w:rsidP="00236351">
            <w:pPr>
              <w:numPr>
                <w:ilvl w:val="0"/>
                <w:numId w:val="8"/>
              </w:numPr>
              <w:jc w:val="both"/>
              <w:rPr>
                <w:rFonts w:ascii="Calibri" w:hAnsi="Calibri"/>
              </w:rPr>
            </w:pPr>
            <w:r>
              <w:rPr>
                <w:rFonts w:ascii="Calibri" w:hAnsi="Calibri"/>
              </w:rPr>
              <w:t xml:space="preserve">When </w:t>
            </w:r>
            <w:r w:rsidR="008E1F8F">
              <w:rPr>
                <w:rFonts w:ascii="Calibri" w:hAnsi="Calibri"/>
              </w:rPr>
              <w:t>p</w:t>
            </w:r>
            <w:r>
              <w:rPr>
                <w:rFonts w:ascii="Calibri" w:hAnsi="Calibri"/>
              </w:rPr>
              <w:t>henytoin is used as a maintenance therapy switching should be avoided whenever possible.</w:t>
            </w:r>
          </w:p>
          <w:p w14:paraId="0BD76D5F" w14:textId="77777777" w:rsidR="00E3066E" w:rsidRPr="00457256" w:rsidRDefault="00E3066E" w:rsidP="00E3066E">
            <w:pPr>
              <w:ind w:left="360"/>
              <w:rPr>
                <w:rFonts w:ascii="Calibri" w:hAnsi="Calibri"/>
              </w:rPr>
            </w:pPr>
          </w:p>
        </w:tc>
      </w:tr>
      <w:tr w:rsidR="00D9226A" w:rsidRPr="00457256" w14:paraId="43EDBCFC" w14:textId="77777777">
        <w:tc>
          <w:tcPr>
            <w:tcW w:w="8572" w:type="dxa"/>
            <w:gridSpan w:val="3"/>
            <w:tcBorders>
              <w:bottom w:val="single" w:sz="4" w:space="0" w:color="auto"/>
            </w:tcBorders>
            <w:shd w:val="clear" w:color="auto" w:fill="FF6600"/>
          </w:tcPr>
          <w:p w14:paraId="1CCB7254" w14:textId="77777777" w:rsidR="00D9226A" w:rsidRPr="00457256" w:rsidRDefault="00D9226A" w:rsidP="006E675F">
            <w:pPr>
              <w:rPr>
                <w:rFonts w:ascii="Calibri" w:hAnsi="Calibri"/>
              </w:rPr>
            </w:pPr>
            <w:r w:rsidRPr="00457256">
              <w:rPr>
                <w:rFonts w:ascii="Calibri" w:hAnsi="Calibri"/>
              </w:rPr>
              <w:t>Rationale</w:t>
            </w:r>
          </w:p>
        </w:tc>
      </w:tr>
      <w:tr w:rsidR="00AB3E12" w:rsidRPr="00457256" w14:paraId="4C909223" w14:textId="77777777">
        <w:tc>
          <w:tcPr>
            <w:tcW w:w="8572" w:type="dxa"/>
            <w:gridSpan w:val="3"/>
            <w:shd w:val="clear" w:color="auto" w:fill="auto"/>
          </w:tcPr>
          <w:p w14:paraId="4FC80505" w14:textId="77777777" w:rsidR="00862A26" w:rsidRDefault="00862A26" w:rsidP="00236351">
            <w:pPr>
              <w:spacing w:before="45" w:after="45"/>
              <w:jc w:val="both"/>
              <w:rPr>
                <w:rFonts w:ascii="Calibri" w:hAnsi="Calibri"/>
                <w:b/>
              </w:rPr>
            </w:pPr>
          </w:p>
          <w:p w14:paraId="3E809861" w14:textId="77777777" w:rsidR="00862A26" w:rsidRDefault="00862A26" w:rsidP="00862A26">
            <w:pPr>
              <w:rPr>
                <w:rFonts w:ascii="Calibri" w:hAnsi="Calibri"/>
              </w:rPr>
            </w:pPr>
            <w:r w:rsidRPr="00775BCE">
              <w:rPr>
                <w:rFonts w:ascii="Calibri" w:hAnsi="Calibri"/>
                <w:b/>
                <w:bCs/>
              </w:rPr>
              <w:t>MHRA</w:t>
            </w:r>
            <w:r>
              <w:rPr>
                <w:rFonts w:ascii="Calibri" w:hAnsi="Calibri"/>
                <w:b/>
                <w:bCs/>
              </w:rPr>
              <w:t>-</w:t>
            </w:r>
            <w:r w:rsidRPr="00775BCE">
              <w:rPr>
                <w:rFonts w:ascii="Calibri" w:hAnsi="Calibri"/>
                <w:b/>
                <w:bCs/>
              </w:rPr>
              <w:t>Category 1:</w:t>
            </w:r>
            <w:r>
              <w:rPr>
                <w:rFonts w:ascii="Calibri" w:hAnsi="Calibri"/>
              </w:rPr>
              <w:t xml:space="preserve"> Ensure the patient is maintained on a specific manufacturer’s product. </w:t>
            </w:r>
          </w:p>
          <w:p w14:paraId="00C2A71A" w14:textId="77777777" w:rsidR="00862A26" w:rsidRDefault="00862A26" w:rsidP="00236351">
            <w:pPr>
              <w:spacing w:before="45" w:after="45"/>
              <w:jc w:val="both"/>
              <w:rPr>
                <w:rFonts w:ascii="Calibri" w:hAnsi="Calibri"/>
                <w:b/>
              </w:rPr>
            </w:pPr>
          </w:p>
          <w:p w14:paraId="1277D96E" w14:textId="4775797E" w:rsidR="00AB3E12" w:rsidRPr="00AE3C0F" w:rsidRDefault="00AB3E12" w:rsidP="00236351">
            <w:pPr>
              <w:spacing w:before="45" w:after="45"/>
              <w:jc w:val="both"/>
              <w:rPr>
                <w:rFonts w:ascii="Calibri" w:hAnsi="Calibri" w:cs="Arial"/>
                <w:color w:val="000000"/>
              </w:rPr>
            </w:pPr>
            <w:r w:rsidRPr="00F55E6F">
              <w:rPr>
                <w:rFonts w:ascii="Calibri" w:hAnsi="Calibri"/>
                <w:b/>
              </w:rPr>
              <w:t>Half life</w:t>
            </w:r>
            <w:r w:rsidRPr="00F55E6F">
              <w:rPr>
                <w:rFonts w:ascii="Calibri" w:hAnsi="Calibri"/>
              </w:rPr>
              <w:t>:</w:t>
            </w:r>
            <w:r>
              <w:rPr>
                <w:rFonts w:ascii="Calibri" w:hAnsi="Calibri"/>
              </w:rPr>
              <w:t xml:space="preserve">  Phenytoin (dose dependent): 7 to 60 hours.  Mean 22 </w:t>
            </w:r>
            <w:r>
              <w:t>±</w:t>
            </w:r>
            <w:r>
              <w:rPr>
                <w:rFonts w:ascii="Calibri" w:hAnsi="Calibri"/>
              </w:rPr>
              <w:t xml:space="preserve"> 9 hours</w:t>
            </w:r>
            <w:r w:rsidRPr="00AE3C0F">
              <w:rPr>
                <w:rFonts w:ascii="Calibri" w:hAnsi="Calibri"/>
              </w:rPr>
              <w:t>. (Dollery 1999)  Phenytoin c</w:t>
            </w:r>
            <w:r w:rsidRPr="00AE3C0F">
              <w:rPr>
                <w:rFonts w:ascii="Calibri" w:hAnsi="Calibri" w:cs="Arial"/>
                <w:color w:val="000000"/>
              </w:rPr>
              <w:t>hewable tablet: 14 hours.  Suspension: 22 hours. (Micromedex 2012)</w:t>
            </w:r>
          </w:p>
          <w:p w14:paraId="1ADD0830" w14:textId="77777777" w:rsidR="00AB3E12" w:rsidRPr="006D2965" w:rsidRDefault="00AB3E12" w:rsidP="00236351">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Pr>
                <w:rFonts w:ascii="Calibri" w:hAnsi="Calibri" w:cs="Arial"/>
              </w:rPr>
              <w:t>I</w:t>
            </w:r>
            <w:r w:rsidRPr="008034D0">
              <w:rPr>
                <w:rFonts w:ascii="Calibri" w:hAnsi="Calibri" w:cs="AdvP7B6C"/>
                <w:color w:val="000000"/>
              </w:rPr>
              <w:t xml:space="preserve">  </w:t>
            </w:r>
            <w:r>
              <w:rPr>
                <w:rFonts w:ascii="Calibri" w:hAnsi="Calibri" w:cs="AdvP7B6C"/>
                <w:color w:val="000000"/>
              </w:rPr>
              <w:t>(low</w:t>
            </w:r>
            <w:r w:rsidRPr="008034D0">
              <w:rPr>
                <w:rFonts w:ascii="Calibri" w:hAnsi="Calibri" w:cs="AdvP7B6C"/>
                <w:color w:val="000000"/>
              </w:rPr>
              <w:t xml:space="preserve"> solubility/high permeability</w:t>
            </w:r>
            <w:r>
              <w:rPr>
                <w:rFonts w:ascii="Calibri" w:hAnsi="Calibri" w:cs="AdvP7B6C"/>
                <w:color w:val="000000"/>
              </w:rPr>
              <w:t>)</w:t>
            </w:r>
          </w:p>
          <w:p w14:paraId="2C8FC7E5" w14:textId="77777777" w:rsidR="00AB3E12" w:rsidRPr="00AE3C0F" w:rsidRDefault="00AB3E12" w:rsidP="00236351">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 </w:t>
            </w:r>
          </w:p>
          <w:p w14:paraId="22F46759" w14:textId="77777777" w:rsidR="00AB3E12" w:rsidRDefault="00AB3E12" w:rsidP="00236351">
            <w:pPr>
              <w:jc w:val="both"/>
              <w:rPr>
                <w:rFonts w:ascii="Calibri" w:hAnsi="Calibri"/>
              </w:rPr>
            </w:pPr>
          </w:p>
          <w:p w14:paraId="152D7BEE" w14:textId="77777777" w:rsidR="00AB3E12" w:rsidRPr="0015187A" w:rsidRDefault="00AB3E12" w:rsidP="00236351">
            <w:pPr>
              <w:jc w:val="both"/>
              <w:rPr>
                <w:rFonts w:ascii="Calibri" w:hAnsi="Calibri"/>
              </w:rPr>
            </w:pPr>
            <w:r w:rsidRPr="0015187A">
              <w:rPr>
                <w:rFonts w:ascii="Calibri" w:hAnsi="Calibri"/>
              </w:rPr>
              <w:t>A literature search</w:t>
            </w:r>
            <w:r>
              <w:rPr>
                <w:rFonts w:ascii="Calibri" w:hAnsi="Calibri"/>
              </w:rPr>
              <w:t xml:space="preserve"> retrieved 11</w:t>
            </w:r>
            <w:r w:rsidRPr="0015187A">
              <w:rPr>
                <w:rFonts w:ascii="Calibri" w:hAnsi="Calibri"/>
              </w:rPr>
              <w:t xml:space="preserve"> re</w:t>
            </w:r>
            <w:r>
              <w:rPr>
                <w:rFonts w:ascii="Calibri" w:hAnsi="Calibri"/>
              </w:rPr>
              <w:t xml:space="preserve">levant studies. These included 6 </w:t>
            </w:r>
            <w:r w:rsidRPr="0015187A">
              <w:rPr>
                <w:rFonts w:ascii="Calibri" w:hAnsi="Calibri"/>
              </w:rPr>
              <w:t>bioequivalence studies, 3 data analysis studies from healthcare claims databases in the US, another review of health claims in the US and a survey of physicians’ experiences in US.</w:t>
            </w:r>
          </w:p>
          <w:p w14:paraId="0CF80E97" w14:textId="77777777" w:rsidR="00AB3E12" w:rsidRDefault="00AB3E12" w:rsidP="00236351">
            <w:pPr>
              <w:jc w:val="both"/>
              <w:rPr>
                <w:rFonts w:ascii="Calibri" w:hAnsi="Calibri"/>
              </w:rPr>
            </w:pPr>
          </w:p>
          <w:p w14:paraId="23546204" w14:textId="77777777" w:rsidR="00AB3E12" w:rsidRPr="00AE3C0F" w:rsidRDefault="00AB3E12" w:rsidP="009933CE">
            <w:pPr>
              <w:jc w:val="both"/>
              <w:rPr>
                <w:rFonts w:ascii="Calibri" w:hAnsi="Calibri"/>
              </w:rPr>
            </w:pPr>
            <w:r>
              <w:rPr>
                <w:rFonts w:ascii="Calibri" w:hAnsi="Calibri"/>
              </w:rPr>
              <w:t xml:space="preserve">Due to the volume of information on phenytoin the evidence reported below is a brief </w:t>
            </w:r>
            <w:r w:rsidRPr="00AE3C0F">
              <w:rPr>
                <w:rFonts w:ascii="Calibri" w:hAnsi="Calibri"/>
              </w:rPr>
              <w:t xml:space="preserve">summary and more information can be found in appendix </w:t>
            </w:r>
            <w:r w:rsidR="00AE3C0F" w:rsidRPr="00AE3C0F">
              <w:rPr>
                <w:rFonts w:ascii="Calibri" w:hAnsi="Calibri"/>
              </w:rPr>
              <w:t>6.</w:t>
            </w:r>
          </w:p>
          <w:p w14:paraId="7740FEE7" w14:textId="77777777" w:rsidR="00AB3E12" w:rsidRPr="00AE3C0F" w:rsidRDefault="00AB3E12" w:rsidP="009933CE">
            <w:pPr>
              <w:jc w:val="both"/>
              <w:rPr>
                <w:rFonts w:ascii="Calibri" w:hAnsi="Calibri"/>
              </w:rPr>
            </w:pPr>
          </w:p>
          <w:p w14:paraId="137FE0C0" w14:textId="77777777" w:rsidR="00AB3E12" w:rsidRPr="00AE3C0F" w:rsidRDefault="00AB3E12" w:rsidP="009933CE">
            <w:pPr>
              <w:jc w:val="both"/>
              <w:rPr>
                <w:rFonts w:ascii="Calibri" w:hAnsi="Calibri"/>
              </w:rPr>
            </w:pPr>
            <w:r w:rsidRPr="00AE3C0F">
              <w:rPr>
                <w:rFonts w:ascii="Calibri" w:hAnsi="Calibri"/>
              </w:rPr>
              <w:t xml:space="preserve">A randomised control trial measured brand (Dilantin) and generic (Phenytex) phenytoin levels in 10 patients and found that patients had higher phenytoin concentrations when on generic; however, this was tolerated in all but one patient. </w:t>
            </w:r>
            <w:r w:rsidRPr="00AE3C0F">
              <w:rPr>
                <w:rFonts w:ascii="Calibri" w:hAnsi="Calibri"/>
                <w:color w:val="000000"/>
              </w:rPr>
              <w:t>(</w:t>
            </w:r>
            <w:r w:rsidRPr="00AE3C0F">
              <w:rPr>
                <w:rFonts w:ascii="Calibri" w:hAnsi="Calibri"/>
              </w:rPr>
              <w:t>Mikati</w:t>
            </w:r>
            <w:r w:rsidRPr="00AE3C0F">
              <w:rPr>
                <w:rFonts w:ascii="Calibri" w:hAnsi="Calibri"/>
                <w:bCs/>
                <w:i/>
                <w:iCs/>
                <w:sz w:val="15"/>
                <w:szCs w:val="15"/>
              </w:rPr>
              <w:t xml:space="preserve">  </w:t>
            </w:r>
            <w:r w:rsidRPr="00AE3C0F">
              <w:rPr>
                <w:rFonts w:ascii="Calibri" w:hAnsi="Calibri"/>
                <w:bCs/>
              </w:rPr>
              <w:t>1992)</w:t>
            </w:r>
          </w:p>
          <w:p w14:paraId="2BDDF0E8" w14:textId="77777777" w:rsidR="00AB3E12" w:rsidRPr="00AE3C0F" w:rsidRDefault="00AB3E12" w:rsidP="009933CE">
            <w:pPr>
              <w:jc w:val="both"/>
              <w:rPr>
                <w:rFonts w:ascii="Calibri" w:hAnsi="Calibri"/>
              </w:rPr>
            </w:pPr>
          </w:p>
          <w:p w14:paraId="7C6FAEDF" w14:textId="77777777" w:rsidR="00AB3E12" w:rsidRPr="00AE3C0F" w:rsidRDefault="00AB3E12" w:rsidP="009933CE">
            <w:pPr>
              <w:jc w:val="both"/>
              <w:rPr>
                <w:rFonts w:ascii="Calibri" w:hAnsi="Calibri"/>
              </w:rPr>
            </w:pPr>
            <w:r w:rsidRPr="00AE3C0F">
              <w:rPr>
                <w:rFonts w:ascii="Calibri" w:hAnsi="Calibri"/>
              </w:rPr>
              <w:t xml:space="preserve">Two bioequivalence studies measuring phenytoin levels of brands and generics have produced results of questionable value because they included phenytoin formulations which have been withdrawn from the market.  (Rosenbaum </w:t>
            </w:r>
            <w:r w:rsidRPr="00AE3C0F">
              <w:rPr>
                <w:rFonts w:ascii="Calibri" w:hAnsi="Calibri"/>
                <w:bCs/>
              </w:rPr>
              <w:t>1994</w:t>
            </w:r>
            <w:r w:rsidRPr="00AE3C0F">
              <w:rPr>
                <w:rFonts w:ascii="Calibri" w:hAnsi="Calibri"/>
              </w:rPr>
              <w:t>, Soryal 1992)</w:t>
            </w:r>
          </w:p>
          <w:p w14:paraId="6394A2DC" w14:textId="77777777" w:rsidR="00AB3E12" w:rsidRPr="00AE3C0F" w:rsidRDefault="00AB3E12" w:rsidP="009933CE">
            <w:pPr>
              <w:jc w:val="both"/>
              <w:rPr>
                <w:rFonts w:ascii="Calibri" w:hAnsi="Calibri"/>
              </w:rPr>
            </w:pPr>
          </w:p>
          <w:p w14:paraId="5838C9E2" w14:textId="77777777" w:rsidR="00AB3E12" w:rsidRPr="00AE3C0F" w:rsidRDefault="00AB3E12" w:rsidP="009933CE">
            <w:pPr>
              <w:jc w:val="both"/>
              <w:rPr>
                <w:rFonts w:ascii="Calibri" w:hAnsi="Calibri"/>
              </w:rPr>
            </w:pPr>
            <w:r w:rsidRPr="00AE3C0F">
              <w:rPr>
                <w:rFonts w:ascii="Calibri" w:hAnsi="Calibri"/>
              </w:rPr>
              <w:t xml:space="preserve">A bioequivalence study in bone marrow transplant patients found the median total phenytoin value was the same for brand and generic; however, the range was greater for generics.  The brand provided more consistent, predictable levels. (Stetz 2005) </w:t>
            </w:r>
          </w:p>
          <w:p w14:paraId="15A5B587" w14:textId="77777777" w:rsidR="00AB3E12" w:rsidRPr="00AE3C0F" w:rsidRDefault="00AB3E12" w:rsidP="00236351">
            <w:pPr>
              <w:jc w:val="both"/>
              <w:rPr>
                <w:rFonts w:ascii="Calibri" w:hAnsi="Calibri"/>
              </w:rPr>
            </w:pPr>
          </w:p>
          <w:p w14:paraId="1131A807" w14:textId="77777777" w:rsidR="00AB3E12" w:rsidRPr="00AE3C0F" w:rsidRDefault="00AB3E12" w:rsidP="00236351">
            <w:pPr>
              <w:jc w:val="both"/>
              <w:rPr>
                <w:rFonts w:ascii="Calibri" w:hAnsi="Calibri"/>
              </w:rPr>
            </w:pPr>
            <w:r w:rsidRPr="00AE3C0F">
              <w:rPr>
                <w:rFonts w:ascii="Calibri" w:hAnsi="Calibri"/>
              </w:rPr>
              <w:t xml:space="preserve">A bioequivalence study measured phenytoin levels in 8 patients who had been switched from brand to generic and had experienced increased seizures.  There was a 30% decrease in total and free phenytoin concentrations and all 8 patients’ levels returned to similar pre-switch levels after restarting the brand. </w:t>
            </w:r>
            <w:r w:rsidRPr="00AE3C0F">
              <w:rPr>
                <w:rFonts w:ascii="Calibri" w:hAnsi="Calibri" w:cs="NewCenturySchlbk-Roman"/>
              </w:rPr>
              <w:t>(Burkhardt 2004)</w:t>
            </w:r>
          </w:p>
          <w:p w14:paraId="3907DFEC" w14:textId="77777777" w:rsidR="00AB3E12" w:rsidRPr="00AE3C0F" w:rsidRDefault="00AB3E12" w:rsidP="00236351">
            <w:pPr>
              <w:jc w:val="both"/>
              <w:rPr>
                <w:rFonts w:ascii="Calibri" w:hAnsi="Calibri"/>
              </w:rPr>
            </w:pPr>
          </w:p>
          <w:p w14:paraId="7E26303B" w14:textId="77777777" w:rsidR="00AB3E12" w:rsidRPr="00AE3C0F" w:rsidRDefault="00AB3E12" w:rsidP="00236351">
            <w:pPr>
              <w:jc w:val="both"/>
              <w:rPr>
                <w:rFonts w:ascii="Calibri" w:hAnsi="Calibri"/>
              </w:rPr>
            </w:pPr>
            <w:r w:rsidRPr="00AE3C0F">
              <w:rPr>
                <w:rFonts w:ascii="Calibri" w:hAnsi="Calibri"/>
              </w:rPr>
              <w:t xml:space="preserve">A study by Wilder et al </w:t>
            </w:r>
            <w:r w:rsidRPr="003B00B5">
              <w:rPr>
                <w:rFonts w:ascii="Calibri" w:hAnsi="Calibri"/>
                <w:color w:val="000000"/>
              </w:rPr>
              <w:t>(Wilder 2001)</w:t>
            </w:r>
            <w:r w:rsidRPr="00AE3C0F">
              <w:rPr>
                <w:rFonts w:ascii="Calibri" w:hAnsi="Calibri"/>
              </w:rPr>
              <w:t xml:space="preserve"> concluded that Mylan’s generic extended phenytoin sodium was bioequivalent to the brand product under fed conditions. (Rackley 2005)</w:t>
            </w:r>
          </w:p>
          <w:p w14:paraId="1A153CEC" w14:textId="77777777" w:rsidR="00AB3E12" w:rsidRPr="00AE3C0F" w:rsidRDefault="00AB3E12" w:rsidP="00236351">
            <w:pPr>
              <w:jc w:val="both"/>
              <w:rPr>
                <w:rFonts w:ascii="Calibri" w:hAnsi="Calibri"/>
              </w:rPr>
            </w:pPr>
          </w:p>
          <w:p w14:paraId="3BCEFC62" w14:textId="77777777" w:rsidR="00AB3E12" w:rsidRPr="00AE3C0F" w:rsidRDefault="00AB3E12" w:rsidP="00236351">
            <w:pPr>
              <w:jc w:val="both"/>
              <w:rPr>
                <w:rFonts w:ascii="Calibri" w:hAnsi="Calibri"/>
              </w:rPr>
            </w:pPr>
            <w:r w:rsidRPr="00AE3C0F">
              <w:rPr>
                <w:rFonts w:ascii="Calibri" w:hAnsi="Calibri"/>
              </w:rPr>
              <w:t>A bioequivalence study in the UK assessed 5 phenytoin formulations and concluded that changing the phenytoin preparation was unlikely to be of clinical significance.</w:t>
            </w:r>
          </w:p>
          <w:p w14:paraId="0EB4FC7E" w14:textId="77777777" w:rsidR="00AB3E12" w:rsidRPr="00AE3C0F" w:rsidRDefault="00AB3E12" w:rsidP="00236351">
            <w:pPr>
              <w:jc w:val="both"/>
              <w:rPr>
                <w:rFonts w:ascii="Calibri" w:hAnsi="Calibri"/>
              </w:rPr>
            </w:pPr>
            <w:r w:rsidRPr="00AE3C0F">
              <w:rPr>
                <w:rFonts w:ascii="Calibri" w:hAnsi="Calibri"/>
                <w:bCs/>
              </w:rPr>
              <w:t>(Chen</w:t>
            </w:r>
            <w:r w:rsidRPr="00AE3C0F">
              <w:rPr>
                <w:rFonts w:ascii="Calibri" w:hAnsi="Calibri"/>
              </w:rPr>
              <w:t xml:space="preserve"> 1982)</w:t>
            </w:r>
          </w:p>
          <w:p w14:paraId="50472CCA" w14:textId="77777777" w:rsidR="00AB3E12" w:rsidRPr="00AE3C0F" w:rsidRDefault="00AB3E12" w:rsidP="00236351">
            <w:pPr>
              <w:jc w:val="both"/>
              <w:rPr>
                <w:rFonts w:ascii="Calibri" w:hAnsi="Calibri"/>
              </w:rPr>
            </w:pPr>
          </w:p>
          <w:p w14:paraId="558E1201" w14:textId="77777777" w:rsidR="00AB3E12" w:rsidRPr="00AE3C0F" w:rsidRDefault="00AB3E12" w:rsidP="00236351">
            <w:pPr>
              <w:jc w:val="both"/>
              <w:rPr>
                <w:rFonts w:ascii="Calibri" w:hAnsi="Calibri"/>
              </w:rPr>
            </w:pPr>
            <w:r w:rsidRPr="00AE3C0F">
              <w:rPr>
                <w:rFonts w:ascii="Calibri" w:hAnsi="Calibri"/>
              </w:rPr>
              <w:t>Following a survey of physicians, investigators reviewed 50 cases and found 15 described patients on phenytoin who had increased seizure frequency after switching from brand to generic.  Their blood levels of phenytoin decreased by an average 40%. (Berg 2008)</w:t>
            </w:r>
          </w:p>
          <w:p w14:paraId="46559B49" w14:textId="77777777" w:rsidR="00AB3E12" w:rsidRPr="00AE3C0F" w:rsidRDefault="00AB3E12" w:rsidP="00236351">
            <w:pPr>
              <w:jc w:val="both"/>
              <w:rPr>
                <w:rFonts w:ascii="Calibri" w:hAnsi="Calibri"/>
              </w:rPr>
            </w:pPr>
          </w:p>
          <w:p w14:paraId="5D332113" w14:textId="77777777" w:rsidR="00AB3E12" w:rsidRPr="00AE3C0F" w:rsidRDefault="00AB3E12" w:rsidP="00236351">
            <w:pPr>
              <w:autoSpaceDE w:val="0"/>
              <w:autoSpaceDN w:val="0"/>
              <w:adjustRightInd w:val="0"/>
              <w:jc w:val="both"/>
              <w:rPr>
                <w:rFonts w:ascii="Calibri" w:hAnsi="Calibri"/>
              </w:rPr>
            </w:pPr>
            <w:r w:rsidRPr="00AE3C0F">
              <w:rPr>
                <w:rFonts w:ascii="Calibri" w:hAnsi="Calibri"/>
                <w:color w:val="000000"/>
              </w:rPr>
              <w:t>Two US studies used healthcare claims database</w:t>
            </w:r>
            <w:r w:rsidR="00B265FF">
              <w:rPr>
                <w:rFonts w:ascii="Calibri" w:hAnsi="Calibri"/>
                <w:color w:val="000000"/>
              </w:rPr>
              <w:t>s</w:t>
            </w:r>
            <w:r w:rsidRPr="00AE3C0F">
              <w:rPr>
                <w:rFonts w:ascii="Calibri" w:hAnsi="Calibri"/>
                <w:color w:val="000000"/>
              </w:rPr>
              <w:t xml:space="preserve"> and found that epileptic patients who had received emergency care for epilepsy related events were more likely to have switched from brand to generic prior to the incident; including patients on phenytoin.  </w:t>
            </w:r>
            <w:r w:rsidRPr="00AE3C0F">
              <w:rPr>
                <w:rFonts w:ascii="Calibri" w:hAnsi="Calibri"/>
              </w:rPr>
              <w:t>(Zachry 2009, Hansen 2009).  Conversely another US study using healthcare claims found event rates for all-cause emergency departmen</w:t>
            </w:r>
            <w:r w:rsidR="00B265FF">
              <w:rPr>
                <w:rFonts w:ascii="Calibri" w:hAnsi="Calibri"/>
              </w:rPr>
              <w:t>t visits and hospitalisations were</w:t>
            </w:r>
            <w:r w:rsidRPr="00AE3C0F">
              <w:rPr>
                <w:rFonts w:ascii="Calibri" w:hAnsi="Calibri"/>
              </w:rPr>
              <w:t xml:space="preserve"> similar for patients using generic and brand phenytoin.  However, this study found phenytoin patients experienced higher rates of discontinuation, change in dose, or addition of second AED.</w:t>
            </w:r>
            <w:r w:rsidRPr="00AE3C0F">
              <w:rPr>
                <w:rFonts w:ascii="Calibri" w:hAnsi="Calibri" w:cs="AdvPS_TIR"/>
                <w:sz w:val="20"/>
                <w:szCs w:val="20"/>
              </w:rPr>
              <w:t xml:space="preserve"> </w:t>
            </w:r>
            <w:r w:rsidRPr="00AE3C0F">
              <w:rPr>
                <w:rFonts w:ascii="Calibri" w:hAnsi="Calibri" w:cs="AdvPS_TIR"/>
              </w:rPr>
              <w:t>(</w:t>
            </w:r>
            <w:r w:rsidRPr="00AE3C0F">
              <w:rPr>
                <w:rFonts w:ascii="Calibri" w:hAnsi="Calibri"/>
              </w:rPr>
              <w:t xml:space="preserve">Erickson 2011)    </w:t>
            </w:r>
          </w:p>
          <w:p w14:paraId="0D88C2C7" w14:textId="77777777" w:rsidR="00AB3E12" w:rsidRPr="00AE3C0F" w:rsidRDefault="00AB3E12" w:rsidP="00236351">
            <w:pPr>
              <w:jc w:val="both"/>
              <w:rPr>
                <w:rFonts w:ascii="Calibri" w:hAnsi="Calibri"/>
              </w:rPr>
            </w:pPr>
          </w:p>
          <w:p w14:paraId="52A4FCD8" w14:textId="77777777" w:rsidR="00AB3E12" w:rsidRPr="00AE3C0F" w:rsidRDefault="00AB3E12" w:rsidP="00236351">
            <w:pPr>
              <w:jc w:val="both"/>
              <w:rPr>
                <w:rFonts w:ascii="Calibri" w:hAnsi="Calibri"/>
              </w:rPr>
            </w:pPr>
            <w:r w:rsidRPr="00AE3C0F">
              <w:rPr>
                <w:rFonts w:ascii="Calibri" w:hAnsi="Calibri"/>
              </w:rPr>
              <w:t>Another study in the US reviewed healthcare claims and found a high rate of switching back to brand for epileptic patients (32.3%). (Labiner 2010)</w:t>
            </w:r>
          </w:p>
          <w:p w14:paraId="1E84DF49" w14:textId="77777777" w:rsidR="00AB3E12" w:rsidRPr="00AE3C0F" w:rsidRDefault="00AB3E12" w:rsidP="00236351">
            <w:pPr>
              <w:jc w:val="both"/>
              <w:rPr>
                <w:rFonts w:ascii="Calibri" w:hAnsi="Calibri"/>
              </w:rPr>
            </w:pPr>
          </w:p>
          <w:p w14:paraId="6A76ADD0" w14:textId="77777777" w:rsidR="00AB3E12" w:rsidRPr="00AE3C0F" w:rsidRDefault="00B265FF" w:rsidP="00236351">
            <w:pPr>
              <w:jc w:val="both"/>
              <w:rPr>
                <w:rStyle w:val="Strong"/>
                <w:rFonts w:ascii="Calibri" w:hAnsi="Calibri"/>
                <w:b w:val="0"/>
                <w:lang w:val="en"/>
              </w:rPr>
            </w:pPr>
            <w:r>
              <w:rPr>
                <w:rFonts w:ascii="Calibri" w:hAnsi="Calibri" w:cs="Times-Roman"/>
              </w:rPr>
              <w:t>In a</w:t>
            </w:r>
            <w:r w:rsidR="00AB3E12" w:rsidRPr="00AE3C0F">
              <w:rPr>
                <w:rFonts w:ascii="Calibri" w:hAnsi="Calibri" w:cs="Times-Roman"/>
              </w:rPr>
              <w:t xml:space="preserve"> US analysis of healthcare claims </w:t>
            </w:r>
            <w:r>
              <w:rPr>
                <w:rFonts w:ascii="Calibri" w:hAnsi="Calibri" w:cs="Times-Roman"/>
              </w:rPr>
              <w:t xml:space="preserve">the </w:t>
            </w:r>
            <w:r w:rsidR="00AB3E12" w:rsidRPr="00AE3C0F">
              <w:rPr>
                <w:rFonts w:ascii="Calibri" w:hAnsi="Calibri" w:cs="Times-Roman"/>
              </w:rPr>
              <w:t>authors concluded that there was no observed increase in emergency department visits or hospitalisation for seizure</w:t>
            </w:r>
            <w:r>
              <w:rPr>
                <w:rFonts w:ascii="Calibri" w:hAnsi="Calibri" w:cs="Times-Roman"/>
              </w:rPr>
              <w:t>s</w:t>
            </w:r>
            <w:r w:rsidR="00AB3E12" w:rsidRPr="00AE3C0F">
              <w:rPr>
                <w:rFonts w:ascii="Calibri" w:hAnsi="Calibri" w:cs="Times-Roman"/>
              </w:rPr>
              <w:t xml:space="preserve"> after switching to generic phenytoin.  Despite a higher proportion of patients with a low phenytoin serum concentration in the post-switch period no increase in the proportion of patients with a seizure was identified.  </w:t>
            </w:r>
            <w:r w:rsidR="00AB3E12" w:rsidRPr="00AE3C0F">
              <w:rPr>
                <w:rStyle w:val="Strong"/>
                <w:rFonts w:ascii="Calibri" w:hAnsi="Calibri"/>
                <w:b w:val="0"/>
                <w:lang w:val="en"/>
              </w:rPr>
              <w:t>(Kinikar 2012)</w:t>
            </w:r>
          </w:p>
          <w:p w14:paraId="65F6EA8A" w14:textId="77777777" w:rsidR="00AB3E12" w:rsidRPr="00457256" w:rsidRDefault="00AB3E12" w:rsidP="00AB3E12">
            <w:pPr>
              <w:rPr>
                <w:rFonts w:ascii="Calibri" w:hAnsi="Calibri"/>
              </w:rPr>
            </w:pPr>
          </w:p>
        </w:tc>
      </w:tr>
    </w:tbl>
    <w:p w14:paraId="61433908" w14:textId="77777777" w:rsidR="00D9226A" w:rsidRDefault="00D9226A">
      <w:pPr>
        <w:rPr>
          <w:rFonts w:ascii="Calibri" w:hAnsi="Calibri"/>
        </w:rPr>
      </w:pPr>
    </w:p>
    <w:p w14:paraId="6AEFCC75" w14:textId="77777777" w:rsidR="00276FFC" w:rsidRDefault="00276FFC">
      <w:pPr>
        <w:rPr>
          <w:rFonts w:ascii="Calibri" w:hAnsi="Calibri"/>
        </w:rPr>
      </w:pPr>
    </w:p>
    <w:p w14:paraId="0C839B92" w14:textId="77777777" w:rsidR="00276FFC" w:rsidRDefault="00276FFC">
      <w:pPr>
        <w:rPr>
          <w:rFonts w:ascii="Calibri" w:hAnsi="Calibri"/>
        </w:rPr>
      </w:pPr>
    </w:p>
    <w:p w14:paraId="2FF3D548" w14:textId="77777777" w:rsidR="00276FFC" w:rsidRPr="0018137D" w:rsidRDefault="0076504A">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D9226A" w:rsidRPr="00457256" w14:paraId="06840C4B" w14:textId="77777777">
        <w:tc>
          <w:tcPr>
            <w:tcW w:w="8522" w:type="dxa"/>
            <w:gridSpan w:val="3"/>
            <w:tcBorders>
              <w:top w:val="nil"/>
              <w:left w:val="nil"/>
              <w:bottom w:val="nil"/>
              <w:right w:val="nil"/>
            </w:tcBorders>
            <w:shd w:val="clear" w:color="auto" w:fill="FF6600"/>
          </w:tcPr>
          <w:p w14:paraId="3849E933" w14:textId="77777777" w:rsidR="00D9226A" w:rsidRPr="00457256" w:rsidRDefault="00D9226A" w:rsidP="001D423C">
            <w:pPr>
              <w:pStyle w:val="Heading3"/>
              <w:rPr>
                <w:rFonts w:ascii="Calibri" w:hAnsi="Calibri"/>
              </w:rPr>
            </w:pPr>
            <w:bookmarkStart w:id="15" w:name="_Pregabalin"/>
            <w:bookmarkEnd w:id="15"/>
            <w:r w:rsidRPr="00457256">
              <w:rPr>
                <w:rFonts w:ascii="Calibri" w:hAnsi="Calibri"/>
              </w:rPr>
              <w:t>Pregabalin</w:t>
            </w:r>
          </w:p>
        </w:tc>
      </w:tr>
      <w:tr w:rsidR="00D9226A" w:rsidRPr="00457256" w14:paraId="0E1B515C" w14:textId="77777777">
        <w:tc>
          <w:tcPr>
            <w:tcW w:w="8522" w:type="dxa"/>
            <w:gridSpan w:val="3"/>
            <w:tcBorders>
              <w:top w:val="nil"/>
            </w:tcBorders>
            <w:shd w:val="clear" w:color="auto" w:fill="000000"/>
          </w:tcPr>
          <w:p w14:paraId="12D846A8" w14:textId="77777777" w:rsidR="00D9226A" w:rsidRPr="00457256" w:rsidRDefault="00D9226A" w:rsidP="006E675F">
            <w:pPr>
              <w:rPr>
                <w:rFonts w:ascii="Calibri" w:hAnsi="Calibri"/>
              </w:rPr>
            </w:pPr>
          </w:p>
        </w:tc>
      </w:tr>
      <w:tr w:rsidR="00D9226A" w:rsidRPr="00457256" w14:paraId="5E55ACDA" w14:textId="77777777">
        <w:tc>
          <w:tcPr>
            <w:tcW w:w="1908" w:type="dxa"/>
            <w:shd w:val="clear" w:color="auto" w:fill="auto"/>
            <w:vAlign w:val="center"/>
          </w:tcPr>
          <w:p w14:paraId="490CDDFC" w14:textId="77777777" w:rsidR="00D9226A" w:rsidRPr="00457256" w:rsidRDefault="00D9226A" w:rsidP="006E675F">
            <w:pPr>
              <w:rPr>
                <w:rFonts w:ascii="Calibri" w:hAnsi="Calibri"/>
              </w:rPr>
            </w:pPr>
            <w:r w:rsidRPr="00457256">
              <w:rPr>
                <w:rFonts w:ascii="Calibri" w:hAnsi="Calibri"/>
              </w:rPr>
              <w:t>Forms available</w:t>
            </w:r>
          </w:p>
        </w:tc>
        <w:tc>
          <w:tcPr>
            <w:tcW w:w="2700" w:type="dxa"/>
            <w:shd w:val="clear" w:color="auto" w:fill="auto"/>
          </w:tcPr>
          <w:p w14:paraId="0DACE2CB" w14:textId="77777777" w:rsidR="00D9226A" w:rsidRPr="00457256" w:rsidRDefault="00764490" w:rsidP="006E675F">
            <w:pPr>
              <w:rPr>
                <w:rFonts w:ascii="Calibri" w:hAnsi="Calibri"/>
              </w:rPr>
            </w:pPr>
            <w:r w:rsidRPr="00457256">
              <w:rPr>
                <w:rFonts w:ascii="Calibri" w:hAnsi="Calibri"/>
              </w:rPr>
              <w:t>Capsules</w:t>
            </w:r>
          </w:p>
        </w:tc>
        <w:tc>
          <w:tcPr>
            <w:tcW w:w="3914" w:type="dxa"/>
            <w:shd w:val="clear" w:color="auto" w:fill="auto"/>
          </w:tcPr>
          <w:p w14:paraId="3C853BD8" w14:textId="77777777" w:rsidR="00D9226A" w:rsidRPr="00457256" w:rsidRDefault="00764490" w:rsidP="006E675F">
            <w:pPr>
              <w:rPr>
                <w:rFonts w:ascii="Calibri" w:hAnsi="Calibri"/>
              </w:rPr>
            </w:pPr>
            <w:r w:rsidRPr="00457256">
              <w:rPr>
                <w:rFonts w:ascii="Calibri" w:hAnsi="Calibri"/>
              </w:rPr>
              <w:t>25mg, 50mg, 75mg, 100mg, 150mg, 200mg, 225mg, 300mg</w:t>
            </w:r>
          </w:p>
        </w:tc>
      </w:tr>
      <w:tr w:rsidR="00D9226A" w:rsidRPr="00457256" w14:paraId="26BB6726" w14:textId="77777777">
        <w:tc>
          <w:tcPr>
            <w:tcW w:w="1908" w:type="dxa"/>
            <w:shd w:val="clear" w:color="auto" w:fill="auto"/>
          </w:tcPr>
          <w:p w14:paraId="17D509CE" w14:textId="77777777" w:rsidR="00D9226A" w:rsidRPr="00457256" w:rsidRDefault="00D9226A" w:rsidP="006E675F">
            <w:pPr>
              <w:rPr>
                <w:rFonts w:ascii="Calibri" w:hAnsi="Calibri"/>
              </w:rPr>
            </w:pPr>
            <w:r w:rsidRPr="00457256">
              <w:rPr>
                <w:rFonts w:ascii="Calibri" w:hAnsi="Calibri"/>
              </w:rPr>
              <w:t>Brands available</w:t>
            </w:r>
          </w:p>
        </w:tc>
        <w:tc>
          <w:tcPr>
            <w:tcW w:w="6614" w:type="dxa"/>
            <w:gridSpan w:val="2"/>
            <w:shd w:val="clear" w:color="auto" w:fill="auto"/>
          </w:tcPr>
          <w:p w14:paraId="62E5D8CF" w14:textId="77777777" w:rsidR="00D9226A" w:rsidRPr="00457256" w:rsidRDefault="00764490" w:rsidP="006E675F">
            <w:pPr>
              <w:rPr>
                <w:rFonts w:ascii="Calibri" w:hAnsi="Calibri"/>
              </w:rPr>
            </w:pPr>
            <w:r w:rsidRPr="00457256">
              <w:rPr>
                <w:rFonts w:ascii="Calibri" w:hAnsi="Calibri"/>
              </w:rPr>
              <w:t>Lyrica</w:t>
            </w:r>
          </w:p>
        </w:tc>
      </w:tr>
      <w:tr w:rsidR="00D9226A" w:rsidRPr="00457256" w14:paraId="4DC73438" w14:textId="77777777">
        <w:tc>
          <w:tcPr>
            <w:tcW w:w="8522" w:type="dxa"/>
            <w:gridSpan w:val="3"/>
            <w:shd w:val="clear" w:color="auto" w:fill="FF6600"/>
          </w:tcPr>
          <w:p w14:paraId="7E70F07F"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5CE17579" w14:textId="77777777">
        <w:tc>
          <w:tcPr>
            <w:tcW w:w="8522" w:type="dxa"/>
            <w:gridSpan w:val="3"/>
            <w:shd w:val="clear" w:color="auto" w:fill="auto"/>
          </w:tcPr>
          <w:p w14:paraId="6E2B1A63" w14:textId="108902CA" w:rsidR="00E3066E" w:rsidRDefault="00E3066E" w:rsidP="00236351">
            <w:pPr>
              <w:ind w:left="360"/>
              <w:jc w:val="both"/>
              <w:rPr>
                <w:rFonts w:ascii="Calibri" w:hAnsi="Calibri"/>
              </w:rPr>
            </w:pPr>
            <w:r w:rsidRPr="0076504A">
              <w:rPr>
                <w:rFonts w:ascii="Calibri" w:hAnsi="Calibri"/>
              </w:rPr>
              <w:t>These recommendations should not be used without consulting the ‘principles f</w:t>
            </w:r>
            <w:r w:rsidR="00AE3C0F">
              <w:rPr>
                <w:rFonts w:ascii="Calibri" w:hAnsi="Calibri"/>
              </w:rPr>
              <w:t xml:space="preserve">or switching’ section on page </w:t>
            </w:r>
            <w:r w:rsidR="00DC0F39">
              <w:rPr>
                <w:rFonts w:ascii="Calibri" w:hAnsi="Calibri"/>
              </w:rPr>
              <w:t>10</w:t>
            </w:r>
            <w:r w:rsidR="0076504A" w:rsidRPr="0076504A">
              <w:rPr>
                <w:rFonts w:ascii="Calibri" w:hAnsi="Calibri"/>
              </w:rPr>
              <w:t>.</w:t>
            </w:r>
          </w:p>
          <w:p w14:paraId="4D65124C" w14:textId="77777777" w:rsidR="00D9226A" w:rsidRPr="00E3066E" w:rsidRDefault="00013A6F" w:rsidP="00236351">
            <w:pPr>
              <w:numPr>
                <w:ilvl w:val="0"/>
                <w:numId w:val="8"/>
              </w:numPr>
              <w:jc w:val="both"/>
              <w:rPr>
                <w:rFonts w:ascii="Calibri" w:hAnsi="Calibri"/>
              </w:rPr>
            </w:pPr>
            <w:r>
              <w:rPr>
                <w:rFonts w:ascii="Calibri" w:hAnsi="Calibri" w:cs="Courier New"/>
              </w:rPr>
              <w:t>Most use of preg</w:t>
            </w:r>
            <w:r w:rsidR="00B768EF">
              <w:rPr>
                <w:rFonts w:ascii="Calibri" w:hAnsi="Calibri" w:cs="Courier New"/>
              </w:rPr>
              <w:t>abalin is in neuropathic pain where dose is less critical than in epilepsy.</w:t>
            </w:r>
          </w:p>
          <w:p w14:paraId="397BC92C" w14:textId="77777777" w:rsidR="00E3066E" w:rsidRPr="00AC02DD" w:rsidRDefault="00E3066E" w:rsidP="0077054F">
            <w:pPr>
              <w:ind w:left="360"/>
              <w:rPr>
                <w:rFonts w:ascii="Calibri" w:hAnsi="Calibri"/>
              </w:rPr>
            </w:pPr>
          </w:p>
        </w:tc>
      </w:tr>
      <w:tr w:rsidR="00D9226A" w:rsidRPr="00457256" w14:paraId="3D0E2D83" w14:textId="77777777">
        <w:tc>
          <w:tcPr>
            <w:tcW w:w="8522" w:type="dxa"/>
            <w:gridSpan w:val="3"/>
            <w:shd w:val="clear" w:color="auto" w:fill="FF6600"/>
          </w:tcPr>
          <w:p w14:paraId="506490A7" w14:textId="77777777" w:rsidR="00D9226A" w:rsidRPr="00457256" w:rsidRDefault="00D9226A" w:rsidP="006E675F">
            <w:pPr>
              <w:rPr>
                <w:rFonts w:ascii="Calibri" w:hAnsi="Calibri"/>
              </w:rPr>
            </w:pPr>
            <w:r w:rsidRPr="00457256">
              <w:rPr>
                <w:rFonts w:ascii="Calibri" w:hAnsi="Calibri"/>
              </w:rPr>
              <w:t>Rationale</w:t>
            </w:r>
          </w:p>
        </w:tc>
      </w:tr>
      <w:tr w:rsidR="00D9226A" w:rsidRPr="00457256" w14:paraId="1995EE24" w14:textId="77777777">
        <w:tc>
          <w:tcPr>
            <w:tcW w:w="8522" w:type="dxa"/>
            <w:gridSpan w:val="3"/>
            <w:shd w:val="clear" w:color="auto" w:fill="auto"/>
          </w:tcPr>
          <w:p w14:paraId="63F4C212" w14:textId="0A11A5E3" w:rsidR="00CD3716" w:rsidRDefault="00CD3716" w:rsidP="00CD3716">
            <w:pPr>
              <w:rPr>
                <w:rFonts w:ascii="Calibri" w:hAnsi="Calibri"/>
              </w:rPr>
            </w:pPr>
          </w:p>
          <w:p w14:paraId="7443F41E" w14:textId="77777777" w:rsidR="00A21511" w:rsidRDefault="00A21511" w:rsidP="00A21511">
            <w:pPr>
              <w:rPr>
                <w:rFonts w:ascii="Calibri" w:hAnsi="Calibri"/>
              </w:rPr>
            </w:pPr>
            <w:r w:rsidRPr="00265D6C">
              <w:rPr>
                <w:rFonts w:ascii="Calibri" w:hAnsi="Calibri"/>
                <w:b/>
                <w:bCs/>
              </w:rPr>
              <w:t>MHRA-Category 3</w:t>
            </w:r>
            <w:r>
              <w:rPr>
                <w:rFonts w:ascii="Calibri" w:hAnsi="Calibri"/>
              </w:rPr>
              <w:t xml:space="preserve">: The potential for clinically relevant differences to exist between different manufacturers’ products is considered to be extremely low.  However, consider other patient/carer-related factors, such as negative perceptions about alternative products and/or issues related to the patient. </w:t>
            </w:r>
          </w:p>
          <w:p w14:paraId="6215AABD" w14:textId="77777777" w:rsidR="00A21511" w:rsidRDefault="00A21511" w:rsidP="00CD3716">
            <w:pPr>
              <w:rPr>
                <w:rFonts w:ascii="Calibri" w:hAnsi="Calibri"/>
              </w:rPr>
            </w:pPr>
          </w:p>
          <w:p w14:paraId="3FC61151" w14:textId="77777777" w:rsidR="00CD3716" w:rsidRPr="00F55E6F" w:rsidRDefault="00CD3716" w:rsidP="00236351">
            <w:pPr>
              <w:jc w:val="both"/>
              <w:rPr>
                <w:rFonts w:ascii="Calibri" w:hAnsi="Calibri"/>
                <w:b/>
              </w:rPr>
            </w:pPr>
            <w:r w:rsidRPr="00F55E6F">
              <w:rPr>
                <w:rFonts w:ascii="Calibri" w:hAnsi="Calibri"/>
                <w:b/>
              </w:rPr>
              <w:t>Half Life</w:t>
            </w:r>
            <w:r w:rsidR="0077054F">
              <w:rPr>
                <w:rFonts w:ascii="Calibri" w:hAnsi="Calibri"/>
              </w:rPr>
              <w:t>:</w:t>
            </w:r>
            <w:r w:rsidR="00B14945">
              <w:rPr>
                <w:rFonts w:ascii="Calibri" w:hAnsi="Calibri"/>
              </w:rPr>
              <w:t xml:space="preserve"> P</w:t>
            </w:r>
            <w:r w:rsidR="00F55E6F">
              <w:rPr>
                <w:rFonts w:ascii="Calibri" w:hAnsi="Calibri"/>
              </w:rPr>
              <w:t>regabalin</w:t>
            </w:r>
            <w:r w:rsidR="00B14945">
              <w:rPr>
                <w:rFonts w:ascii="Calibri" w:hAnsi="Calibri"/>
              </w:rPr>
              <w:t>:</w:t>
            </w:r>
            <w:r w:rsidR="00F55E6F">
              <w:rPr>
                <w:rFonts w:ascii="Calibri" w:hAnsi="Calibri"/>
              </w:rPr>
              <w:t xml:space="preserve"> 6.3 hours</w:t>
            </w:r>
            <w:r w:rsidR="00F55E6F" w:rsidRPr="00F55E6F">
              <w:rPr>
                <w:rFonts w:ascii="Calibri" w:hAnsi="Calibri"/>
              </w:rPr>
              <w:t>.</w:t>
            </w:r>
            <w:r w:rsidR="00F55E6F" w:rsidRPr="00F55E6F">
              <w:rPr>
                <w:rFonts w:ascii="Calibri" w:hAnsi="Calibri"/>
                <w:b/>
              </w:rPr>
              <w:t xml:space="preserve"> </w:t>
            </w:r>
            <w:r w:rsidR="00F55E6F" w:rsidRPr="00AE3C0F">
              <w:rPr>
                <w:rFonts w:ascii="Calibri" w:hAnsi="Calibri"/>
              </w:rPr>
              <w:t>(Micromedex 2012)</w:t>
            </w:r>
          </w:p>
          <w:p w14:paraId="2C933608" w14:textId="77777777" w:rsidR="00013A6F" w:rsidRPr="006D2965" w:rsidRDefault="00013A6F" w:rsidP="00236351">
            <w:pPr>
              <w:jc w:val="both"/>
              <w:rPr>
                <w:rFonts w:ascii="Calibri" w:hAnsi="Calibri" w:cs="Arial"/>
              </w:rPr>
            </w:pPr>
            <w:r w:rsidRPr="00AE3C0F">
              <w:rPr>
                <w:rFonts w:ascii="Calibri" w:hAnsi="Calibri"/>
                <w:b/>
              </w:rPr>
              <w:t>Biopharmaceutics Classification System</w:t>
            </w:r>
            <w:r w:rsidRPr="00AE3C0F">
              <w:rPr>
                <w:rFonts w:ascii="Calibri" w:hAnsi="Calibri" w:cs="Arial"/>
                <w:b/>
              </w:rPr>
              <w:t>:</w:t>
            </w:r>
            <w:r w:rsidRPr="006D2965">
              <w:rPr>
                <w:rFonts w:ascii="Calibri" w:hAnsi="Calibri" w:cs="Arial"/>
              </w:rPr>
              <w:t xml:space="preserve"> I</w:t>
            </w:r>
            <w:r w:rsidRPr="008034D0">
              <w:rPr>
                <w:rFonts w:ascii="Calibri" w:hAnsi="Calibri" w:cs="AdvP7B6C"/>
                <w:color w:val="000000"/>
              </w:rPr>
              <w:t xml:space="preserve">  </w:t>
            </w:r>
            <w:r>
              <w:rPr>
                <w:rFonts w:ascii="Calibri" w:hAnsi="Calibri" w:cs="AdvP7B6C"/>
                <w:color w:val="000000"/>
              </w:rPr>
              <w:t>(high</w:t>
            </w:r>
            <w:r w:rsidRPr="008034D0">
              <w:rPr>
                <w:rFonts w:ascii="Calibri" w:hAnsi="Calibri" w:cs="AdvP7B6C"/>
                <w:color w:val="000000"/>
              </w:rPr>
              <w:t xml:space="preserve"> solubility/high permeability</w:t>
            </w:r>
            <w:r>
              <w:rPr>
                <w:rFonts w:ascii="Calibri" w:hAnsi="Calibri" w:cs="AdvP7B6C"/>
                <w:color w:val="000000"/>
              </w:rPr>
              <w:t>)</w:t>
            </w:r>
          </w:p>
          <w:p w14:paraId="268C9013" w14:textId="77777777" w:rsidR="00013A6F" w:rsidRPr="00AE3C0F" w:rsidRDefault="00013A6F" w:rsidP="00236351">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 </w:t>
            </w:r>
          </w:p>
          <w:p w14:paraId="797FE118" w14:textId="77777777" w:rsidR="00CD3716" w:rsidRDefault="00CD3716" w:rsidP="00236351">
            <w:pPr>
              <w:jc w:val="both"/>
              <w:rPr>
                <w:rFonts w:ascii="Calibri" w:hAnsi="Calibri"/>
              </w:rPr>
            </w:pPr>
          </w:p>
          <w:p w14:paraId="39EB5EC3" w14:textId="77777777" w:rsidR="00D9226A" w:rsidRDefault="00276FFC" w:rsidP="00236351">
            <w:pPr>
              <w:jc w:val="both"/>
              <w:rPr>
                <w:rFonts w:ascii="Calibri" w:hAnsi="Calibri"/>
              </w:rPr>
            </w:pPr>
            <w:r w:rsidRPr="00457256">
              <w:rPr>
                <w:rFonts w:ascii="Calibri" w:hAnsi="Calibri"/>
              </w:rPr>
              <w:t>A literature search retrieved no relevant studies.</w:t>
            </w:r>
          </w:p>
          <w:p w14:paraId="159F4139" w14:textId="77777777" w:rsidR="00CD3716" w:rsidRPr="00457256" w:rsidRDefault="00CD3716" w:rsidP="006E675F">
            <w:pPr>
              <w:rPr>
                <w:rFonts w:ascii="Calibri" w:hAnsi="Calibri"/>
              </w:rPr>
            </w:pPr>
          </w:p>
        </w:tc>
      </w:tr>
    </w:tbl>
    <w:p w14:paraId="27DDAB07" w14:textId="77777777" w:rsidR="0076504A" w:rsidRDefault="0076504A">
      <w:pPr>
        <w:rPr>
          <w:rFonts w:ascii="Calibri" w:hAnsi="Calibri"/>
        </w:rPr>
      </w:pPr>
    </w:p>
    <w:p w14:paraId="7DF6FE1C" w14:textId="77777777" w:rsidR="00D9226A" w:rsidRPr="0018137D" w:rsidRDefault="0076504A">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D9226A" w:rsidRPr="00457256" w14:paraId="41310180" w14:textId="77777777">
        <w:tc>
          <w:tcPr>
            <w:tcW w:w="8522" w:type="dxa"/>
            <w:gridSpan w:val="3"/>
            <w:tcBorders>
              <w:top w:val="nil"/>
              <w:left w:val="nil"/>
              <w:bottom w:val="nil"/>
              <w:right w:val="nil"/>
            </w:tcBorders>
            <w:shd w:val="clear" w:color="auto" w:fill="FF6600"/>
          </w:tcPr>
          <w:p w14:paraId="077F7ED2" w14:textId="77777777" w:rsidR="00D9226A" w:rsidRPr="00457256" w:rsidRDefault="00D9226A" w:rsidP="001D423C">
            <w:pPr>
              <w:pStyle w:val="Heading3"/>
              <w:rPr>
                <w:rFonts w:ascii="Calibri" w:hAnsi="Calibri"/>
              </w:rPr>
            </w:pPr>
            <w:bookmarkStart w:id="16" w:name="_Primidone"/>
            <w:bookmarkEnd w:id="16"/>
            <w:r w:rsidRPr="00457256">
              <w:rPr>
                <w:rFonts w:ascii="Calibri" w:hAnsi="Calibri"/>
              </w:rPr>
              <w:t>Primidone</w:t>
            </w:r>
          </w:p>
        </w:tc>
      </w:tr>
      <w:tr w:rsidR="00D9226A" w:rsidRPr="00457256" w14:paraId="52BEF0CE" w14:textId="77777777">
        <w:tc>
          <w:tcPr>
            <w:tcW w:w="8522" w:type="dxa"/>
            <w:gridSpan w:val="3"/>
            <w:tcBorders>
              <w:top w:val="nil"/>
            </w:tcBorders>
            <w:shd w:val="clear" w:color="auto" w:fill="000000"/>
          </w:tcPr>
          <w:p w14:paraId="101362B8" w14:textId="77777777" w:rsidR="00D9226A" w:rsidRPr="00457256" w:rsidRDefault="00D9226A" w:rsidP="006E675F">
            <w:pPr>
              <w:rPr>
                <w:rFonts w:ascii="Calibri" w:hAnsi="Calibri"/>
              </w:rPr>
            </w:pPr>
          </w:p>
        </w:tc>
      </w:tr>
      <w:tr w:rsidR="00D9226A" w:rsidRPr="00457256" w14:paraId="0FE39BE7" w14:textId="77777777">
        <w:tc>
          <w:tcPr>
            <w:tcW w:w="1908" w:type="dxa"/>
            <w:shd w:val="clear" w:color="auto" w:fill="auto"/>
          </w:tcPr>
          <w:p w14:paraId="0228DF03" w14:textId="77777777" w:rsidR="00D9226A" w:rsidRPr="00457256" w:rsidRDefault="006E675F" w:rsidP="006E675F">
            <w:pPr>
              <w:rPr>
                <w:rFonts w:ascii="Calibri" w:hAnsi="Calibri"/>
              </w:rPr>
            </w:pPr>
            <w:r w:rsidRPr="00457256">
              <w:rPr>
                <w:rFonts w:ascii="Calibri" w:hAnsi="Calibri"/>
              </w:rPr>
              <w:t>Forms available</w:t>
            </w:r>
          </w:p>
        </w:tc>
        <w:tc>
          <w:tcPr>
            <w:tcW w:w="2700" w:type="dxa"/>
            <w:shd w:val="clear" w:color="auto" w:fill="auto"/>
          </w:tcPr>
          <w:p w14:paraId="75003733" w14:textId="77777777" w:rsidR="00D9226A" w:rsidRPr="00457256" w:rsidRDefault="00D9226A" w:rsidP="006E675F">
            <w:pPr>
              <w:rPr>
                <w:rFonts w:ascii="Calibri" w:hAnsi="Calibri"/>
              </w:rPr>
            </w:pPr>
            <w:r w:rsidRPr="00457256">
              <w:rPr>
                <w:rFonts w:ascii="Calibri" w:hAnsi="Calibri"/>
              </w:rPr>
              <w:t>Tablets</w:t>
            </w:r>
          </w:p>
        </w:tc>
        <w:tc>
          <w:tcPr>
            <w:tcW w:w="3914" w:type="dxa"/>
            <w:shd w:val="clear" w:color="auto" w:fill="auto"/>
          </w:tcPr>
          <w:p w14:paraId="245299D1" w14:textId="77777777" w:rsidR="00D9226A" w:rsidRPr="00457256" w:rsidRDefault="006E675F" w:rsidP="006E675F">
            <w:pPr>
              <w:rPr>
                <w:rFonts w:ascii="Calibri" w:hAnsi="Calibri"/>
              </w:rPr>
            </w:pPr>
            <w:r w:rsidRPr="00457256">
              <w:rPr>
                <w:rFonts w:ascii="Calibri" w:hAnsi="Calibri"/>
              </w:rPr>
              <w:t>50mg, 250mg</w:t>
            </w:r>
          </w:p>
        </w:tc>
      </w:tr>
      <w:tr w:rsidR="00D9226A" w:rsidRPr="00457256" w14:paraId="4F1AFBAB" w14:textId="77777777">
        <w:tc>
          <w:tcPr>
            <w:tcW w:w="1908" w:type="dxa"/>
            <w:shd w:val="clear" w:color="auto" w:fill="auto"/>
          </w:tcPr>
          <w:p w14:paraId="29E0B081" w14:textId="77777777" w:rsidR="00D9226A" w:rsidRPr="00457256" w:rsidRDefault="00D9226A" w:rsidP="006E675F">
            <w:pPr>
              <w:rPr>
                <w:rFonts w:ascii="Calibri" w:hAnsi="Calibri"/>
              </w:rPr>
            </w:pPr>
            <w:r w:rsidRPr="00457256">
              <w:rPr>
                <w:rFonts w:ascii="Calibri" w:hAnsi="Calibri"/>
              </w:rPr>
              <w:t>Brands available</w:t>
            </w:r>
          </w:p>
        </w:tc>
        <w:tc>
          <w:tcPr>
            <w:tcW w:w="6614" w:type="dxa"/>
            <w:gridSpan w:val="2"/>
            <w:shd w:val="clear" w:color="auto" w:fill="auto"/>
          </w:tcPr>
          <w:p w14:paraId="2BE0188F" w14:textId="77777777" w:rsidR="00D9226A" w:rsidRPr="00457256" w:rsidRDefault="006E675F" w:rsidP="006E675F">
            <w:pPr>
              <w:rPr>
                <w:rFonts w:ascii="Calibri" w:hAnsi="Calibri"/>
              </w:rPr>
            </w:pPr>
            <w:r w:rsidRPr="00457256">
              <w:rPr>
                <w:rFonts w:ascii="Calibri" w:hAnsi="Calibri"/>
              </w:rPr>
              <w:t>Mysoline</w:t>
            </w:r>
          </w:p>
        </w:tc>
      </w:tr>
      <w:tr w:rsidR="00D9226A" w:rsidRPr="00457256" w14:paraId="7974C47C" w14:textId="77777777">
        <w:tc>
          <w:tcPr>
            <w:tcW w:w="8522" w:type="dxa"/>
            <w:gridSpan w:val="3"/>
            <w:shd w:val="clear" w:color="auto" w:fill="FF6600"/>
          </w:tcPr>
          <w:p w14:paraId="5935A12B"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04899B08" w14:textId="77777777">
        <w:tc>
          <w:tcPr>
            <w:tcW w:w="8522" w:type="dxa"/>
            <w:gridSpan w:val="3"/>
            <w:shd w:val="clear" w:color="auto" w:fill="auto"/>
          </w:tcPr>
          <w:p w14:paraId="0FA2CF66" w14:textId="6E60FCB2" w:rsidR="00E3066E" w:rsidRDefault="00E3066E" w:rsidP="00236351">
            <w:pPr>
              <w:ind w:left="360"/>
              <w:jc w:val="both"/>
              <w:rPr>
                <w:rFonts w:ascii="Calibri" w:hAnsi="Calibri"/>
              </w:rPr>
            </w:pPr>
            <w:r w:rsidRPr="0076504A">
              <w:rPr>
                <w:rFonts w:ascii="Calibri" w:hAnsi="Calibri"/>
              </w:rPr>
              <w:t>These recommendations should not be used without consulting the ‘principles f</w:t>
            </w:r>
            <w:r w:rsidR="00AE3C0F">
              <w:rPr>
                <w:rFonts w:ascii="Calibri" w:hAnsi="Calibri"/>
              </w:rPr>
              <w:t xml:space="preserve">or switching’ section on page </w:t>
            </w:r>
            <w:r w:rsidR="00DC0F39">
              <w:rPr>
                <w:rFonts w:ascii="Calibri" w:hAnsi="Calibri"/>
              </w:rPr>
              <w:t>10</w:t>
            </w:r>
            <w:r w:rsidR="0076504A" w:rsidRPr="0076504A">
              <w:rPr>
                <w:rFonts w:ascii="Calibri" w:hAnsi="Calibri"/>
              </w:rPr>
              <w:t>.</w:t>
            </w:r>
          </w:p>
          <w:p w14:paraId="73FB2364" w14:textId="77777777" w:rsidR="00D9226A" w:rsidRPr="00AC02DD" w:rsidRDefault="00AC02DD" w:rsidP="003B00B5">
            <w:pPr>
              <w:numPr>
                <w:ilvl w:val="0"/>
                <w:numId w:val="8"/>
              </w:numPr>
              <w:jc w:val="both"/>
              <w:rPr>
                <w:rFonts w:ascii="Calibri" w:hAnsi="Calibri"/>
              </w:rPr>
            </w:pPr>
            <w:r w:rsidRPr="00AC02DD">
              <w:rPr>
                <w:rFonts w:ascii="Calibri" w:hAnsi="Calibri"/>
              </w:rPr>
              <w:t xml:space="preserve">Data </w:t>
            </w:r>
            <w:r w:rsidR="00013A6F">
              <w:rPr>
                <w:rFonts w:ascii="Calibri" w:hAnsi="Calibri"/>
              </w:rPr>
              <w:t>are</w:t>
            </w:r>
            <w:r w:rsidR="00013A6F" w:rsidRPr="00AC02DD">
              <w:rPr>
                <w:rFonts w:ascii="Calibri" w:hAnsi="Calibri"/>
              </w:rPr>
              <w:t xml:space="preserve"> </w:t>
            </w:r>
            <w:r w:rsidRPr="00AC02DD">
              <w:rPr>
                <w:rFonts w:ascii="Calibri" w:hAnsi="Calibri"/>
              </w:rPr>
              <w:t xml:space="preserve">very limited to support any conclusions.  </w:t>
            </w:r>
            <w:r>
              <w:rPr>
                <w:rFonts w:ascii="Calibri" w:hAnsi="Calibri"/>
              </w:rPr>
              <w:t xml:space="preserve">The low solubility of </w:t>
            </w:r>
            <w:r w:rsidR="00013A6F">
              <w:rPr>
                <w:rFonts w:ascii="Calibri" w:hAnsi="Calibri"/>
              </w:rPr>
              <w:t>p</w:t>
            </w:r>
            <w:r>
              <w:rPr>
                <w:rFonts w:ascii="Calibri" w:hAnsi="Calibri"/>
              </w:rPr>
              <w:t>rimidone provides a theoretical risk and the lack of financial advantage means that switching should not be supported.</w:t>
            </w:r>
            <w:r>
              <w:rPr>
                <w:rFonts w:ascii="Calibri" w:hAnsi="Calibri"/>
              </w:rPr>
              <w:br/>
            </w:r>
          </w:p>
        </w:tc>
      </w:tr>
      <w:tr w:rsidR="00D9226A" w:rsidRPr="00457256" w14:paraId="4E04A868" w14:textId="77777777">
        <w:tc>
          <w:tcPr>
            <w:tcW w:w="8522" w:type="dxa"/>
            <w:gridSpan w:val="3"/>
            <w:shd w:val="clear" w:color="auto" w:fill="FF6600"/>
          </w:tcPr>
          <w:p w14:paraId="2E0D445E" w14:textId="77777777" w:rsidR="00D9226A" w:rsidRPr="00457256" w:rsidRDefault="00D9226A" w:rsidP="006E675F">
            <w:pPr>
              <w:rPr>
                <w:rFonts w:ascii="Calibri" w:hAnsi="Calibri"/>
              </w:rPr>
            </w:pPr>
            <w:r w:rsidRPr="00457256">
              <w:rPr>
                <w:rFonts w:ascii="Calibri" w:hAnsi="Calibri"/>
              </w:rPr>
              <w:t>Rationale</w:t>
            </w:r>
          </w:p>
        </w:tc>
      </w:tr>
      <w:tr w:rsidR="00D9226A" w:rsidRPr="00457256" w14:paraId="3C064C26" w14:textId="77777777">
        <w:tc>
          <w:tcPr>
            <w:tcW w:w="8522" w:type="dxa"/>
            <w:gridSpan w:val="3"/>
            <w:shd w:val="clear" w:color="auto" w:fill="auto"/>
          </w:tcPr>
          <w:p w14:paraId="23BD8AF4" w14:textId="5B2D9A7B" w:rsidR="00F948E0" w:rsidRDefault="00F948E0" w:rsidP="00F948E0">
            <w:pPr>
              <w:rPr>
                <w:rFonts w:ascii="Calibri" w:hAnsi="Calibri"/>
              </w:rPr>
            </w:pPr>
          </w:p>
          <w:p w14:paraId="43154830" w14:textId="77777777" w:rsidR="0042461F" w:rsidRDefault="0042461F" w:rsidP="0042461F">
            <w:pPr>
              <w:rPr>
                <w:rFonts w:ascii="Calibri" w:hAnsi="Calibri"/>
              </w:rPr>
            </w:pPr>
            <w:r w:rsidRPr="00775BCE">
              <w:rPr>
                <w:rFonts w:ascii="Calibri" w:hAnsi="Calibri"/>
                <w:b/>
                <w:bCs/>
              </w:rPr>
              <w:t>MHRA</w:t>
            </w:r>
            <w:r>
              <w:rPr>
                <w:rFonts w:ascii="Calibri" w:hAnsi="Calibri"/>
                <w:b/>
                <w:bCs/>
              </w:rPr>
              <w:t>-</w:t>
            </w:r>
            <w:r w:rsidRPr="00775BCE">
              <w:rPr>
                <w:rFonts w:ascii="Calibri" w:hAnsi="Calibri"/>
                <w:b/>
                <w:bCs/>
              </w:rPr>
              <w:t>Category 1:</w:t>
            </w:r>
            <w:r>
              <w:rPr>
                <w:rFonts w:ascii="Calibri" w:hAnsi="Calibri"/>
              </w:rPr>
              <w:t xml:space="preserve"> Ensure the patient is maintained on a specific manufacturer’s product. </w:t>
            </w:r>
          </w:p>
          <w:p w14:paraId="7F8C43E3" w14:textId="77777777" w:rsidR="0042461F" w:rsidRDefault="0042461F" w:rsidP="00F948E0">
            <w:pPr>
              <w:rPr>
                <w:rFonts w:ascii="Calibri" w:hAnsi="Calibri"/>
              </w:rPr>
            </w:pPr>
          </w:p>
          <w:p w14:paraId="39887F11" w14:textId="77777777" w:rsidR="00F55E6F" w:rsidRPr="00F55E6F" w:rsidRDefault="00F948E0" w:rsidP="00236351">
            <w:pPr>
              <w:spacing w:before="45" w:after="45"/>
              <w:jc w:val="both"/>
              <w:rPr>
                <w:rFonts w:ascii="Calibri" w:hAnsi="Calibri" w:cs="Arial"/>
                <w:color w:val="000000"/>
              </w:rPr>
            </w:pPr>
            <w:r w:rsidRPr="00F55E6F">
              <w:rPr>
                <w:rFonts w:ascii="Calibri" w:hAnsi="Calibri"/>
                <w:b/>
              </w:rPr>
              <w:t>Half life</w:t>
            </w:r>
            <w:r w:rsidR="0077054F" w:rsidRPr="00F55E6F">
              <w:rPr>
                <w:rFonts w:ascii="Calibri" w:hAnsi="Calibri"/>
                <w:b/>
              </w:rPr>
              <w:t>:</w:t>
            </w:r>
            <w:r w:rsidR="00B14945">
              <w:rPr>
                <w:rFonts w:ascii="Calibri" w:hAnsi="Calibri" w:cs="Arial"/>
                <w:color w:val="000000"/>
              </w:rPr>
              <w:t xml:space="preserve"> </w:t>
            </w:r>
            <w:r w:rsidR="00F55E6F" w:rsidRPr="00F55E6F">
              <w:rPr>
                <w:rFonts w:ascii="Calibri" w:hAnsi="Calibri" w:cs="Arial"/>
                <w:color w:val="000000"/>
              </w:rPr>
              <w:t>Primidone</w:t>
            </w:r>
            <w:r w:rsidR="00B14945">
              <w:rPr>
                <w:rFonts w:ascii="Calibri" w:hAnsi="Calibri" w:cs="Arial"/>
                <w:color w:val="000000"/>
              </w:rPr>
              <w:t xml:space="preserve"> (systemic):</w:t>
            </w:r>
            <w:r w:rsidR="00F55E6F" w:rsidRPr="00F55E6F">
              <w:rPr>
                <w:rFonts w:ascii="Calibri" w:hAnsi="Calibri" w:cs="Arial"/>
                <w:color w:val="000000"/>
              </w:rPr>
              <w:t xml:space="preserve"> 3 to 23 hours.  Pheno</w:t>
            </w:r>
            <w:r w:rsidR="00B14945">
              <w:rPr>
                <w:rFonts w:ascii="Calibri" w:hAnsi="Calibri" w:cs="Arial"/>
                <w:color w:val="000000"/>
              </w:rPr>
              <w:t>barbital metabolite:</w:t>
            </w:r>
            <w:r w:rsidR="00F55E6F" w:rsidRPr="00F55E6F">
              <w:rPr>
                <w:rFonts w:ascii="Calibri" w:hAnsi="Calibri" w:cs="Arial"/>
                <w:color w:val="000000"/>
              </w:rPr>
              <w:t xml:space="preserve"> 75 to 126 </w:t>
            </w:r>
            <w:r w:rsidR="00B14945">
              <w:rPr>
                <w:rFonts w:ascii="Calibri" w:hAnsi="Calibri" w:cs="Arial"/>
                <w:color w:val="000000"/>
              </w:rPr>
              <w:t xml:space="preserve">hours. </w:t>
            </w:r>
            <w:r w:rsidR="00315EA8" w:rsidRPr="00315EA8">
              <w:rPr>
                <w:rFonts w:ascii="Calibri" w:hAnsi="Calibri" w:cs="Arial"/>
                <w:color w:val="25282A"/>
              </w:rPr>
              <w:t xml:space="preserve">Phenylethyl-malonamide </w:t>
            </w:r>
            <w:r w:rsidR="00315EA8">
              <w:rPr>
                <w:rFonts w:ascii="Calibri" w:hAnsi="Calibri" w:cs="Arial"/>
                <w:color w:val="25282A"/>
              </w:rPr>
              <w:t>(PEMA) active</w:t>
            </w:r>
            <w:r w:rsidR="00B14945">
              <w:rPr>
                <w:rFonts w:ascii="Calibri" w:hAnsi="Calibri" w:cs="Arial"/>
                <w:color w:val="000000"/>
              </w:rPr>
              <w:t xml:space="preserve"> metabolite:</w:t>
            </w:r>
            <w:r w:rsidR="00F55E6F" w:rsidRPr="00F55E6F">
              <w:rPr>
                <w:rFonts w:ascii="Calibri" w:hAnsi="Calibri" w:cs="Arial"/>
                <w:color w:val="000000"/>
              </w:rPr>
              <w:t xml:space="preserve"> 10 to 25 hours.</w:t>
            </w:r>
            <w:r w:rsidR="00F55E6F" w:rsidRPr="00F55E6F">
              <w:rPr>
                <w:rFonts w:ascii="Calibri" w:hAnsi="Calibri" w:cs="Arial"/>
                <w:b/>
                <w:color w:val="000000"/>
              </w:rPr>
              <w:t xml:space="preserve">  </w:t>
            </w:r>
            <w:r w:rsidR="00F55E6F" w:rsidRPr="00AE3C0F">
              <w:rPr>
                <w:rFonts w:ascii="Calibri" w:hAnsi="Calibri" w:cs="Arial"/>
                <w:color w:val="000000"/>
              </w:rPr>
              <w:t>(Micromedex 2011)</w:t>
            </w:r>
          </w:p>
          <w:p w14:paraId="447F9381" w14:textId="77777777" w:rsidR="00013A6F" w:rsidRPr="006D2965" w:rsidRDefault="00013A6F" w:rsidP="00236351">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sidRPr="008034D0">
              <w:rPr>
                <w:rFonts w:ascii="Calibri" w:hAnsi="Calibri" w:cs="AdvP7B6C"/>
                <w:color w:val="000000"/>
              </w:rPr>
              <w:t xml:space="preserve">  </w:t>
            </w:r>
            <w:r>
              <w:rPr>
                <w:rFonts w:ascii="Calibri" w:hAnsi="Calibri" w:cs="AdvP7B6C"/>
                <w:color w:val="000000"/>
              </w:rPr>
              <w:t>(high</w:t>
            </w:r>
            <w:r w:rsidRPr="008034D0">
              <w:rPr>
                <w:rFonts w:ascii="Calibri" w:hAnsi="Calibri" w:cs="AdvP7B6C"/>
                <w:color w:val="000000"/>
              </w:rPr>
              <w:t xml:space="preserve"> solubility/high permeability</w:t>
            </w:r>
            <w:r>
              <w:rPr>
                <w:rFonts w:ascii="Calibri" w:hAnsi="Calibri" w:cs="AdvP7B6C"/>
                <w:color w:val="000000"/>
              </w:rPr>
              <w:t>)</w:t>
            </w:r>
          </w:p>
          <w:p w14:paraId="6D4A9E04" w14:textId="77777777" w:rsidR="00013A6F" w:rsidRPr="00AE3C0F" w:rsidRDefault="00013A6F" w:rsidP="00236351">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w:t>
            </w:r>
            <w:r w:rsidR="00AE3C0F" w:rsidRPr="00AE3C0F">
              <w:rPr>
                <w:rFonts w:ascii="Calibri" w:hAnsi="Calibri"/>
              </w:rPr>
              <w:t>)</w:t>
            </w:r>
          </w:p>
          <w:p w14:paraId="629CFDB5" w14:textId="77777777" w:rsidR="00F948E0" w:rsidRPr="00DB16E9" w:rsidRDefault="00F948E0" w:rsidP="00236351">
            <w:pPr>
              <w:jc w:val="both"/>
              <w:rPr>
                <w:rFonts w:ascii="Calibri" w:hAnsi="Calibri"/>
              </w:rPr>
            </w:pPr>
          </w:p>
          <w:p w14:paraId="3BBDE524" w14:textId="77777777" w:rsidR="00F948E0" w:rsidRPr="00DB16E9" w:rsidRDefault="00F948E0" w:rsidP="00236351">
            <w:pPr>
              <w:jc w:val="both"/>
              <w:rPr>
                <w:rFonts w:ascii="Calibri" w:eastAsia="MinionPro-Regular" w:hAnsi="Calibri"/>
              </w:rPr>
            </w:pPr>
            <w:r w:rsidRPr="00DB16E9">
              <w:rPr>
                <w:rFonts w:ascii="Calibri" w:hAnsi="Calibri"/>
              </w:rPr>
              <w:t xml:space="preserve">A literature search </w:t>
            </w:r>
            <w:r>
              <w:rPr>
                <w:rFonts w:ascii="Calibri" w:hAnsi="Calibri"/>
              </w:rPr>
              <w:t xml:space="preserve">retrieved 2 relevant studies: a </w:t>
            </w:r>
            <w:r w:rsidRPr="00DB16E9">
              <w:rPr>
                <w:rFonts w:ascii="Calibri" w:hAnsi="Calibri"/>
              </w:rPr>
              <w:t>data analysis study from a US healthcare claims database</w:t>
            </w:r>
            <w:r>
              <w:rPr>
                <w:rFonts w:ascii="Calibri" w:hAnsi="Calibri"/>
              </w:rPr>
              <w:t xml:space="preserve"> and a</w:t>
            </w:r>
            <w:r w:rsidRPr="00DB16E9">
              <w:rPr>
                <w:rFonts w:ascii="Calibri" w:hAnsi="Calibri"/>
              </w:rPr>
              <w:t xml:space="preserve"> case report.    </w:t>
            </w:r>
          </w:p>
          <w:p w14:paraId="7F0C6E7D" w14:textId="77777777" w:rsidR="00F948E0" w:rsidRDefault="00F948E0" w:rsidP="00236351">
            <w:pPr>
              <w:autoSpaceDE w:val="0"/>
              <w:autoSpaceDN w:val="0"/>
              <w:adjustRightInd w:val="0"/>
              <w:jc w:val="both"/>
              <w:rPr>
                <w:rFonts w:ascii="Calibri" w:eastAsia="MinionPro-Regular" w:hAnsi="Calibri"/>
              </w:rPr>
            </w:pPr>
          </w:p>
          <w:p w14:paraId="1AF7BE81" w14:textId="77777777" w:rsidR="00F948E0" w:rsidRPr="00DB16E9" w:rsidRDefault="00F948E0" w:rsidP="00236351">
            <w:pPr>
              <w:autoSpaceDE w:val="0"/>
              <w:autoSpaceDN w:val="0"/>
              <w:adjustRightInd w:val="0"/>
              <w:jc w:val="both"/>
              <w:rPr>
                <w:rFonts w:ascii="Calibri" w:eastAsia="MinionPro-Regular" w:hAnsi="Calibri"/>
              </w:rPr>
            </w:pPr>
            <w:r w:rsidRPr="00DB16E9">
              <w:rPr>
                <w:rFonts w:ascii="Calibri" w:eastAsia="MinionPro-Regular" w:hAnsi="Calibri"/>
              </w:rPr>
              <w:t xml:space="preserve">A US study used claims data from PharMetrics Database between January 2000 and October 2007. </w:t>
            </w:r>
            <w:r>
              <w:rPr>
                <w:rFonts w:ascii="Calibri" w:eastAsia="MinionPro-Regular" w:hAnsi="Calibri"/>
              </w:rPr>
              <w:t xml:space="preserve"> </w:t>
            </w:r>
            <w:r w:rsidRPr="00DB16E9">
              <w:rPr>
                <w:rFonts w:ascii="Calibri" w:eastAsia="MinionPro-Regular" w:hAnsi="Calibri"/>
              </w:rPr>
              <w:t>33625 patients were taking 1 of 5 AEDs (carbamazepine, gabapentin, phenytoin, primidone, zonisamide) and the mean observation period was 4 years.</w:t>
            </w:r>
          </w:p>
          <w:p w14:paraId="2D540F8A" w14:textId="77777777" w:rsidR="00F948E0" w:rsidRPr="00DB16E9" w:rsidRDefault="00F948E0" w:rsidP="00236351">
            <w:pPr>
              <w:autoSpaceDE w:val="0"/>
              <w:autoSpaceDN w:val="0"/>
              <w:adjustRightInd w:val="0"/>
              <w:jc w:val="both"/>
              <w:rPr>
                <w:rFonts w:ascii="Calibri" w:hAnsi="Calibri"/>
                <w:b/>
              </w:rPr>
            </w:pPr>
            <w:r w:rsidRPr="00DB16E9">
              <w:rPr>
                <w:rFonts w:ascii="Calibri" w:hAnsi="Calibri"/>
                <w:bCs/>
              </w:rPr>
              <w:t>There were 1301 patients on primidone of which 843 (64.8%) were on polytherapy and 808 (62.1%) had stable epilepsy (</w:t>
            </w:r>
            <w:r w:rsidRPr="00DB16E9">
              <w:rPr>
                <w:rFonts w:ascii="Calibri" w:hAnsi="Calibri"/>
              </w:rPr>
              <w:t>defined as patients with ≤2 outpatient services per year on average throughout the observation period and no</w:t>
            </w:r>
            <w:r w:rsidR="00B265FF">
              <w:rPr>
                <w:rFonts w:ascii="Calibri" w:hAnsi="Calibri"/>
              </w:rPr>
              <w:t xml:space="preserve"> emergency department</w:t>
            </w:r>
            <w:r w:rsidRPr="00DB16E9">
              <w:rPr>
                <w:rFonts w:ascii="Calibri" w:hAnsi="Calibri"/>
              </w:rPr>
              <w:t xml:space="preserve"> visit</w:t>
            </w:r>
            <w:r w:rsidR="00B265FF">
              <w:rPr>
                <w:rFonts w:ascii="Calibri" w:hAnsi="Calibri"/>
              </w:rPr>
              <w:t>s</w:t>
            </w:r>
            <w:r w:rsidRPr="00DB16E9">
              <w:rPr>
                <w:rFonts w:ascii="Calibri" w:hAnsi="Calibri"/>
              </w:rPr>
              <w:t xml:space="preserve"> associated with epilepsy or non</w:t>
            </w:r>
            <w:r w:rsidR="000D50AB">
              <w:rPr>
                <w:rFonts w:ascii="Calibri" w:hAnsi="Calibri"/>
              </w:rPr>
              <w:t>-</w:t>
            </w:r>
            <w:r w:rsidRPr="00DB16E9">
              <w:rPr>
                <w:rFonts w:ascii="Calibri" w:hAnsi="Calibri"/>
              </w:rPr>
              <w:t>febrile convulsions).</w:t>
            </w:r>
            <w:r w:rsidR="000D50AB">
              <w:rPr>
                <w:rFonts w:ascii="Calibri" w:hAnsi="Calibri"/>
              </w:rPr>
              <w:t xml:space="preserve"> </w:t>
            </w:r>
            <w:r w:rsidRPr="00DB16E9">
              <w:rPr>
                <w:rFonts w:ascii="Calibri" w:hAnsi="Calibri"/>
                <w:bCs/>
              </w:rPr>
              <w:t xml:space="preserve">699 (65.6%) received only one generic version during the study period while 221 (20.8%) received two and 145 (13.6%) received three versions. </w:t>
            </w:r>
            <w:r w:rsidRPr="00DB16E9">
              <w:rPr>
                <w:rFonts w:ascii="Calibri" w:hAnsi="Calibri"/>
              </w:rPr>
              <w:t xml:space="preserve">After one year 116 (17.7%) had switched from brand to generic, of which 33 (27.6%) switched back to brand.  Rates of healthcare utilisation were not reported for individual AEDs and neither were reasons for switchback. </w:t>
            </w:r>
            <w:r w:rsidR="0077054F" w:rsidRPr="00AE3C0F">
              <w:rPr>
                <w:rFonts w:ascii="Calibri" w:hAnsi="Calibri"/>
              </w:rPr>
              <w:t>(</w:t>
            </w:r>
            <w:r w:rsidRPr="00AE3C0F">
              <w:rPr>
                <w:rFonts w:ascii="Calibri" w:hAnsi="Calibri"/>
              </w:rPr>
              <w:t xml:space="preserve">Labiner </w:t>
            </w:r>
            <w:r w:rsidR="002845E0" w:rsidRPr="00AE3C0F">
              <w:rPr>
                <w:rFonts w:ascii="Calibri" w:hAnsi="Calibri"/>
              </w:rPr>
              <w:t>2010</w:t>
            </w:r>
            <w:r w:rsidR="0077054F" w:rsidRPr="00AE3C0F">
              <w:rPr>
                <w:rFonts w:ascii="Calibri" w:hAnsi="Calibri"/>
              </w:rPr>
              <w:t>)</w:t>
            </w:r>
          </w:p>
          <w:p w14:paraId="0CE4EF36" w14:textId="77777777" w:rsidR="00F948E0" w:rsidRPr="00DB16E9" w:rsidRDefault="00F948E0" w:rsidP="00236351">
            <w:pPr>
              <w:jc w:val="both"/>
              <w:rPr>
                <w:rFonts w:ascii="Calibri" w:hAnsi="Calibri"/>
                <w:b/>
              </w:rPr>
            </w:pPr>
          </w:p>
          <w:p w14:paraId="45B9A86F" w14:textId="77777777" w:rsidR="00F948E0" w:rsidRPr="00DB16E9" w:rsidRDefault="00F948E0" w:rsidP="00B265FF">
            <w:pPr>
              <w:jc w:val="both"/>
              <w:rPr>
                <w:rFonts w:ascii="Calibri" w:hAnsi="Calibri"/>
              </w:rPr>
            </w:pPr>
            <w:r w:rsidRPr="00DB16E9">
              <w:rPr>
                <w:rFonts w:ascii="Calibri" w:hAnsi="Calibri"/>
              </w:rPr>
              <w:t>A case report describes a 16-year-old with seizures since birth who took primidone (Mysoline) 500 mg per day and clonazep</w:t>
            </w:r>
            <w:r>
              <w:rPr>
                <w:rFonts w:ascii="Calibri" w:hAnsi="Calibri"/>
              </w:rPr>
              <w:t>am (Klonopin,) 4 mg</w:t>
            </w:r>
            <w:r w:rsidRPr="00DB16E9">
              <w:rPr>
                <w:rFonts w:ascii="Calibri" w:hAnsi="Calibri"/>
              </w:rPr>
              <w:t xml:space="preserve"> per day, and her usual seizure frequency was one to two seizures per week.</w:t>
            </w:r>
            <w:r w:rsidR="00B265FF">
              <w:rPr>
                <w:rFonts w:ascii="Calibri" w:hAnsi="Calibri"/>
              </w:rPr>
              <w:t xml:space="preserve"> </w:t>
            </w:r>
            <w:r w:rsidRPr="00DB16E9">
              <w:rPr>
                <w:rFonts w:ascii="Calibri" w:hAnsi="Calibri"/>
              </w:rPr>
              <w:t>After a switch to generic primidone (Bolar Pharmecutial Co), there was a rise in seizure frequency within three weeks</w:t>
            </w:r>
            <w:r>
              <w:rPr>
                <w:rFonts w:ascii="Calibri" w:hAnsi="Calibri"/>
              </w:rPr>
              <w:t xml:space="preserve">.  </w:t>
            </w:r>
            <w:r w:rsidRPr="00DB16E9">
              <w:rPr>
                <w:rFonts w:ascii="Calibri" w:hAnsi="Calibri"/>
              </w:rPr>
              <w:t xml:space="preserve">Seizure frequency returned to baseline </w:t>
            </w:r>
            <w:r>
              <w:rPr>
                <w:rFonts w:ascii="Calibri" w:hAnsi="Calibri"/>
              </w:rPr>
              <w:t xml:space="preserve">after switching back to </w:t>
            </w:r>
            <w:r w:rsidR="000D50AB">
              <w:rPr>
                <w:rFonts w:ascii="Calibri" w:hAnsi="Calibri"/>
              </w:rPr>
              <w:t>Mysoline</w:t>
            </w:r>
            <w:r w:rsidRPr="00DB16E9">
              <w:rPr>
                <w:rFonts w:ascii="Calibri" w:hAnsi="Calibri"/>
              </w:rPr>
              <w:t xml:space="preserve">.  Serum drug concentrations were not measured.  3 months later she was admitted to hospital (for feeding) and given generic primidone again. </w:t>
            </w:r>
            <w:r>
              <w:rPr>
                <w:rFonts w:ascii="Calibri" w:hAnsi="Calibri"/>
              </w:rPr>
              <w:t>Despite a dose increase primidone serum levels dropped and seizure frequency increased</w:t>
            </w:r>
            <w:r w:rsidRPr="00AE3C0F">
              <w:rPr>
                <w:rFonts w:ascii="Calibri" w:hAnsi="Calibri"/>
              </w:rPr>
              <w:t xml:space="preserve">.  </w:t>
            </w:r>
            <w:r w:rsidR="0077054F" w:rsidRPr="00AE3C0F">
              <w:rPr>
                <w:rFonts w:ascii="Calibri" w:hAnsi="Calibri"/>
              </w:rPr>
              <w:t>(</w:t>
            </w:r>
            <w:r w:rsidRPr="00AE3C0F">
              <w:rPr>
                <w:rFonts w:ascii="Calibri" w:hAnsi="Calibri"/>
              </w:rPr>
              <w:t xml:space="preserve">Wyllie </w:t>
            </w:r>
            <w:r w:rsidR="0077054F" w:rsidRPr="00AE3C0F">
              <w:rPr>
                <w:rFonts w:ascii="Calibri" w:hAnsi="Calibri"/>
              </w:rPr>
              <w:t>1987)</w:t>
            </w:r>
          </w:p>
          <w:p w14:paraId="7E7F7E8A" w14:textId="77777777" w:rsidR="00F948E0" w:rsidRPr="00DB16E9" w:rsidRDefault="00F948E0" w:rsidP="00236351">
            <w:pPr>
              <w:jc w:val="both"/>
              <w:rPr>
                <w:rFonts w:ascii="Calibri" w:hAnsi="Calibri"/>
                <w:b/>
              </w:rPr>
            </w:pPr>
          </w:p>
          <w:p w14:paraId="7C267AA0" w14:textId="77777777" w:rsidR="00F948E0" w:rsidRPr="00DB16E9" w:rsidRDefault="00F948E0" w:rsidP="00B265FF">
            <w:pPr>
              <w:jc w:val="both"/>
              <w:rPr>
                <w:rFonts w:ascii="Calibri" w:hAnsi="Calibri"/>
              </w:rPr>
            </w:pPr>
            <w:r w:rsidRPr="00DB16E9">
              <w:rPr>
                <w:rFonts w:ascii="Calibri" w:hAnsi="Calibri"/>
              </w:rPr>
              <w:t xml:space="preserve">Other cases of primidone inequivalence </w:t>
            </w:r>
            <w:r>
              <w:rPr>
                <w:rFonts w:ascii="Calibri" w:hAnsi="Calibri"/>
              </w:rPr>
              <w:t xml:space="preserve">are </w:t>
            </w:r>
            <w:r w:rsidRPr="00DB16E9">
              <w:rPr>
                <w:rFonts w:ascii="Calibri" w:hAnsi="Calibri"/>
              </w:rPr>
              <w:t xml:space="preserve">mentioned in the article by </w:t>
            </w:r>
            <w:r w:rsidRPr="000D50AB">
              <w:rPr>
                <w:rFonts w:ascii="Calibri" w:hAnsi="Calibri"/>
              </w:rPr>
              <w:t>Wyllie</w:t>
            </w:r>
            <w:r w:rsidR="0077054F" w:rsidRPr="000D50AB">
              <w:rPr>
                <w:rFonts w:ascii="Calibri" w:hAnsi="Calibri"/>
              </w:rPr>
              <w:t xml:space="preserve"> </w:t>
            </w:r>
            <w:r w:rsidR="000D50AB" w:rsidRPr="000D50AB">
              <w:rPr>
                <w:rFonts w:ascii="Calibri" w:hAnsi="Calibri"/>
              </w:rPr>
              <w:t>et al</w:t>
            </w:r>
            <w:r w:rsidR="00D637EA" w:rsidRPr="000D50AB">
              <w:rPr>
                <w:rFonts w:ascii="Calibri" w:hAnsi="Calibri"/>
              </w:rPr>
              <w:t>.</w:t>
            </w:r>
            <w:r w:rsidR="00D637EA">
              <w:rPr>
                <w:rFonts w:ascii="Calibri" w:hAnsi="Calibri"/>
                <w:b/>
              </w:rPr>
              <w:t xml:space="preserve">  </w:t>
            </w:r>
            <w:r w:rsidR="00D637EA" w:rsidRPr="000D50AB">
              <w:rPr>
                <w:rFonts w:ascii="Calibri" w:hAnsi="Calibri"/>
              </w:rPr>
              <w:t xml:space="preserve">Full text </w:t>
            </w:r>
            <w:r w:rsidR="000D50AB">
              <w:rPr>
                <w:rFonts w:ascii="Calibri" w:hAnsi="Calibri"/>
              </w:rPr>
              <w:t xml:space="preserve">of these reports </w:t>
            </w:r>
            <w:r w:rsidR="00D637EA" w:rsidRPr="000D50AB">
              <w:rPr>
                <w:rFonts w:ascii="Calibri" w:hAnsi="Calibri"/>
              </w:rPr>
              <w:t>has</w:t>
            </w:r>
            <w:r w:rsidRPr="000D50AB">
              <w:rPr>
                <w:rFonts w:ascii="Calibri" w:hAnsi="Calibri"/>
              </w:rPr>
              <w:t xml:space="preserve"> not been retrieved</w:t>
            </w:r>
            <w:r w:rsidR="000D50AB">
              <w:rPr>
                <w:rFonts w:ascii="Calibri" w:hAnsi="Calibri"/>
              </w:rPr>
              <w:t xml:space="preserve"> so they are described as they appear in the article by Wyllie et al</w:t>
            </w:r>
            <w:r w:rsidRPr="000D50AB">
              <w:rPr>
                <w:rFonts w:ascii="Calibri" w:hAnsi="Calibri"/>
              </w:rPr>
              <w:t xml:space="preserve">.  </w:t>
            </w:r>
            <w:r w:rsidR="00B265FF">
              <w:rPr>
                <w:rFonts w:ascii="Calibri" w:hAnsi="Calibri"/>
              </w:rPr>
              <w:t xml:space="preserve"> </w:t>
            </w:r>
            <w:r w:rsidRPr="00DB16E9">
              <w:rPr>
                <w:rFonts w:ascii="Calibri" w:hAnsi="Calibri"/>
              </w:rPr>
              <w:t>There have been two reported studies that compared primidone preparations</w:t>
            </w:r>
            <w:r w:rsidR="0077054F">
              <w:rPr>
                <w:rFonts w:ascii="Calibri" w:hAnsi="Calibri"/>
              </w:rPr>
              <w:t xml:space="preserve"> </w:t>
            </w:r>
            <w:r w:rsidRPr="00DB16E9">
              <w:rPr>
                <w:rFonts w:ascii="Calibri" w:hAnsi="Calibri"/>
              </w:rPr>
              <w:t>in vivo. Borst and Lockwood studied nine epileptic patients who each took</w:t>
            </w:r>
            <w:r w:rsidR="0077054F">
              <w:rPr>
                <w:rFonts w:ascii="Calibri" w:hAnsi="Calibri"/>
              </w:rPr>
              <w:t xml:space="preserve"> </w:t>
            </w:r>
            <w:r w:rsidRPr="00DB16E9">
              <w:rPr>
                <w:rFonts w:ascii="Calibri" w:hAnsi="Calibri"/>
              </w:rPr>
              <w:t>two preparations from different Canadian drug manufacturers, and Bielmann</w:t>
            </w:r>
            <w:r w:rsidR="0077054F">
              <w:rPr>
                <w:rFonts w:ascii="Calibri" w:hAnsi="Calibri"/>
              </w:rPr>
              <w:t xml:space="preserve"> </w:t>
            </w:r>
            <w:r w:rsidRPr="00DB16E9">
              <w:rPr>
                <w:rFonts w:ascii="Calibri" w:hAnsi="Calibri"/>
              </w:rPr>
              <w:t>et al studied 12 epileptic patients who each took two lots of Mysoline from</w:t>
            </w:r>
            <w:r w:rsidR="0077054F">
              <w:rPr>
                <w:rFonts w:ascii="Calibri" w:hAnsi="Calibri"/>
              </w:rPr>
              <w:t xml:space="preserve"> </w:t>
            </w:r>
            <w:r w:rsidRPr="00DB16E9">
              <w:rPr>
                <w:rFonts w:ascii="Calibri" w:hAnsi="Calibri"/>
              </w:rPr>
              <w:t>Ayerst Laboratories. In both studies, patients took each preparation for two</w:t>
            </w:r>
            <w:r w:rsidR="0077054F">
              <w:rPr>
                <w:rFonts w:ascii="Calibri" w:hAnsi="Calibri"/>
              </w:rPr>
              <w:t xml:space="preserve"> </w:t>
            </w:r>
            <w:r w:rsidRPr="00DB16E9">
              <w:rPr>
                <w:rFonts w:ascii="Calibri" w:hAnsi="Calibri"/>
              </w:rPr>
              <w:t xml:space="preserve">weeks. </w:t>
            </w:r>
          </w:p>
          <w:p w14:paraId="6B3B4E20" w14:textId="77777777" w:rsidR="00F948E0" w:rsidRPr="009B0B2A" w:rsidRDefault="00F948E0" w:rsidP="00236351">
            <w:pPr>
              <w:jc w:val="both"/>
              <w:rPr>
                <w:rFonts w:ascii="Calibri" w:hAnsi="Calibri"/>
                <w:color w:val="808080"/>
              </w:rPr>
            </w:pPr>
            <w:r w:rsidRPr="00DB16E9">
              <w:rPr>
                <w:rFonts w:ascii="Calibri" w:hAnsi="Calibri"/>
              </w:rPr>
              <w:t>Borst and Lockwood found no significant differences in the mean serum prim</w:t>
            </w:r>
            <w:r w:rsidR="000D50AB">
              <w:rPr>
                <w:rFonts w:ascii="Calibri" w:hAnsi="Calibri"/>
              </w:rPr>
              <w:t>idone or phe</w:t>
            </w:r>
            <w:r w:rsidRPr="00DB16E9">
              <w:rPr>
                <w:rFonts w:ascii="Calibri" w:hAnsi="Calibri"/>
              </w:rPr>
              <w:t>nobarbital concentrations with either preparation.  Bielmann et al found that one of the lots of Mysoline gave si</w:t>
            </w:r>
            <w:r w:rsidR="000D50AB">
              <w:rPr>
                <w:rFonts w:ascii="Calibri" w:hAnsi="Calibri"/>
              </w:rPr>
              <w:t>gnificantly lower mean serum phe</w:t>
            </w:r>
            <w:r w:rsidRPr="00DB16E9">
              <w:rPr>
                <w:rFonts w:ascii="Calibri" w:hAnsi="Calibri"/>
              </w:rPr>
              <w:t>nobarbital concentrations and also had a significantly slower in vitro dissolution time. The group data from Bielmann et al gave evidence that primidone bioavailability might vary from lot to lot, but they did not permit comparison of the two lots in specific individuals.</w:t>
            </w:r>
            <w:r w:rsidRPr="00AE3C0F">
              <w:rPr>
                <w:rFonts w:ascii="Calibri" w:hAnsi="Calibri"/>
                <w:b/>
                <w:color w:val="808080"/>
              </w:rPr>
              <w:t xml:space="preserve"> </w:t>
            </w:r>
            <w:r w:rsidR="00266353" w:rsidRPr="00AE3C0F">
              <w:rPr>
                <w:rFonts w:ascii="Calibri" w:hAnsi="Calibri"/>
              </w:rPr>
              <w:t>(Wyllie 1987)</w:t>
            </w:r>
          </w:p>
          <w:p w14:paraId="5D310128" w14:textId="77777777" w:rsidR="00D9226A" w:rsidRPr="00457256" w:rsidRDefault="00D9226A" w:rsidP="006E675F">
            <w:pPr>
              <w:rPr>
                <w:rFonts w:ascii="Calibri" w:hAnsi="Calibri"/>
              </w:rPr>
            </w:pPr>
          </w:p>
        </w:tc>
      </w:tr>
    </w:tbl>
    <w:p w14:paraId="58A427DE" w14:textId="66BE2BA4" w:rsidR="006E675F" w:rsidRDefault="006E675F" w:rsidP="006E675F">
      <w:pPr>
        <w:rPr>
          <w:rFonts w:ascii="Calibri" w:hAnsi="Calibri"/>
        </w:rPr>
      </w:pPr>
    </w:p>
    <w:p w14:paraId="289D225F" w14:textId="2F3C70A7" w:rsidR="005772A8" w:rsidRDefault="005772A8" w:rsidP="006E675F">
      <w:pPr>
        <w:rPr>
          <w:rFonts w:ascii="Calibri" w:hAnsi="Calibri"/>
        </w:rPr>
      </w:pPr>
    </w:p>
    <w:p w14:paraId="3CBA7DDA" w14:textId="597ADD19" w:rsidR="005772A8" w:rsidRDefault="005772A8" w:rsidP="006E675F">
      <w:pPr>
        <w:rPr>
          <w:rFonts w:ascii="Calibri" w:hAnsi="Calibri"/>
        </w:rPr>
      </w:pPr>
    </w:p>
    <w:p w14:paraId="5980FE2B" w14:textId="44A39BA7" w:rsidR="005772A8" w:rsidRDefault="005772A8" w:rsidP="006E675F">
      <w:pPr>
        <w:rPr>
          <w:rFonts w:ascii="Calibri" w:hAnsi="Calibri"/>
        </w:rPr>
      </w:pPr>
    </w:p>
    <w:p w14:paraId="53971BF3" w14:textId="671821A7" w:rsidR="005772A8" w:rsidRDefault="005772A8" w:rsidP="006E675F">
      <w:pPr>
        <w:rPr>
          <w:rFonts w:ascii="Calibri" w:hAnsi="Calibri"/>
        </w:rPr>
      </w:pPr>
    </w:p>
    <w:p w14:paraId="23CFDE7C" w14:textId="7896F437" w:rsidR="005772A8" w:rsidRDefault="005772A8" w:rsidP="006E675F">
      <w:pPr>
        <w:rPr>
          <w:rFonts w:ascii="Calibri" w:hAnsi="Calibri"/>
        </w:rPr>
      </w:pPr>
    </w:p>
    <w:p w14:paraId="5223D286" w14:textId="435031ED" w:rsidR="005772A8" w:rsidRDefault="005772A8" w:rsidP="006E675F">
      <w:pPr>
        <w:rPr>
          <w:rFonts w:ascii="Calibri" w:hAnsi="Calibri"/>
        </w:rPr>
      </w:pPr>
    </w:p>
    <w:p w14:paraId="7698235E" w14:textId="4591B7EC" w:rsidR="005772A8" w:rsidRDefault="005772A8" w:rsidP="006E675F">
      <w:pPr>
        <w:rPr>
          <w:rFonts w:ascii="Calibri" w:hAnsi="Calibri"/>
        </w:rPr>
      </w:pPr>
    </w:p>
    <w:p w14:paraId="0249AC6F" w14:textId="5F68CDAD" w:rsidR="005772A8" w:rsidRDefault="005772A8" w:rsidP="006E675F">
      <w:pPr>
        <w:rPr>
          <w:rFonts w:ascii="Calibri" w:hAnsi="Calibri"/>
        </w:rPr>
      </w:pPr>
    </w:p>
    <w:p w14:paraId="52A75E42" w14:textId="79D7F6D8" w:rsidR="005772A8" w:rsidRDefault="005772A8" w:rsidP="006E675F">
      <w:pPr>
        <w:rPr>
          <w:rFonts w:ascii="Calibri" w:hAnsi="Calibri"/>
        </w:rPr>
      </w:pPr>
    </w:p>
    <w:p w14:paraId="6D25B9BF" w14:textId="5B53C933" w:rsidR="005772A8" w:rsidRDefault="005772A8" w:rsidP="006E675F">
      <w:pPr>
        <w:rPr>
          <w:rFonts w:ascii="Calibri" w:hAnsi="Calibri"/>
        </w:rPr>
      </w:pPr>
    </w:p>
    <w:p w14:paraId="385A8A43" w14:textId="0476F2ED" w:rsidR="005772A8" w:rsidRDefault="005772A8" w:rsidP="006E675F">
      <w:pPr>
        <w:rPr>
          <w:rFonts w:ascii="Calibri" w:hAnsi="Calibri"/>
        </w:rPr>
      </w:pPr>
    </w:p>
    <w:p w14:paraId="6252259E" w14:textId="047A0F18" w:rsidR="005772A8" w:rsidRDefault="005772A8" w:rsidP="006E675F">
      <w:pPr>
        <w:rPr>
          <w:rFonts w:ascii="Calibri" w:hAnsi="Calibri"/>
        </w:rPr>
      </w:pPr>
    </w:p>
    <w:p w14:paraId="59A1C663" w14:textId="2E44A66C" w:rsidR="005772A8" w:rsidRDefault="005772A8" w:rsidP="006E675F">
      <w:pPr>
        <w:rPr>
          <w:rFonts w:ascii="Calibri" w:hAnsi="Calibri"/>
        </w:rPr>
      </w:pPr>
    </w:p>
    <w:p w14:paraId="1AB14AA3" w14:textId="1E891B0B" w:rsidR="005772A8" w:rsidRDefault="005772A8" w:rsidP="006E675F">
      <w:pPr>
        <w:rPr>
          <w:rFonts w:ascii="Calibri" w:hAnsi="Calibri"/>
        </w:rPr>
      </w:pPr>
    </w:p>
    <w:p w14:paraId="0CDF47F2" w14:textId="6CD7C54F" w:rsidR="005772A8" w:rsidRDefault="005772A8" w:rsidP="006E675F">
      <w:pPr>
        <w:rPr>
          <w:rFonts w:ascii="Calibri" w:hAnsi="Calibri"/>
        </w:rPr>
      </w:pPr>
    </w:p>
    <w:p w14:paraId="2CB962F5" w14:textId="5F162333" w:rsidR="005772A8" w:rsidRDefault="005772A8" w:rsidP="006E675F">
      <w:pPr>
        <w:rPr>
          <w:rFonts w:ascii="Calibri" w:hAnsi="Calibri"/>
        </w:rPr>
      </w:pPr>
    </w:p>
    <w:p w14:paraId="6F513F54" w14:textId="1AF7779F" w:rsidR="005772A8" w:rsidRDefault="005772A8" w:rsidP="006E675F">
      <w:pPr>
        <w:rPr>
          <w:rFonts w:ascii="Calibri" w:hAnsi="Calibri"/>
        </w:rPr>
      </w:pPr>
    </w:p>
    <w:p w14:paraId="22B4DD37" w14:textId="0F974147" w:rsidR="005772A8" w:rsidRDefault="005772A8" w:rsidP="006E675F">
      <w:pPr>
        <w:rPr>
          <w:rFonts w:ascii="Calibri" w:hAnsi="Calibri"/>
        </w:rPr>
      </w:pPr>
    </w:p>
    <w:p w14:paraId="38B00068" w14:textId="530C77C9" w:rsidR="005772A8" w:rsidRDefault="005772A8" w:rsidP="006E675F">
      <w:pPr>
        <w:rPr>
          <w:rFonts w:ascii="Calibri" w:hAnsi="Calibri"/>
        </w:rPr>
      </w:pPr>
    </w:p>
    <w:p w14:paraId="205C4A57" w14:textId="0F9CA9CD" w:rsidR="005772A8" w:rsidRDefault="005772A8" w:rsidP="006E675F">
      <w:pPr>
        <w:rPr>
          <w:rFonts w:ascii="Calibri" w:hAnsi="Calibri"/>
        </w:rPr>
      </w:pPr>
    </w:p>
    <w:p w14:paraId="082AC7D0" w14:textId="6C401BB9" w:rsidR="005772A8" w:rsidRDefault="005772A8" w:rsidP="006E675F">
      <w:pPr>
        <w:rPr>
          <w:rFonts w:ascii="Calibri" w:hAnsi="Calibri"/>
        </w:rPr>
      </w:pPr>
    </w:p>
    <w:p w14:paraId="72748C01" w14:textId="7C2BEFAE" w:rsidR="005772A8" w:rsidRDefault="005772A8" w:rsidP="006E675F">
      <w:pPr>
        <w:rPr>
          <w:rFonts w:ascii="Calibri" w:hAnsi="Calibri"/>
        </w:rPr>
      </w:pPr>
    </w:p>
    <w:p w14:paraId="3C96E703" w14:textId="04294139" w:rsidR="005772A8" w:rsidRDefault="005772A8" w:rsidP="006E675F">
      <w:pPr>
        <w:rPr>
          <w:rFonts w:ascii="Calibri" w:hAnsi="Calibri"/>
        </w:rPr>
      </w:pPr>
    </w:p>
    <w:p w14:paraId="3DB7E719" w14:textId="5329772F" w:rsidR="005772A8" w:rsidRDefault="005772A8" w:rsidP="006E675F">
      <w:pPr>
        <w:rPr>
          <w:rFonts w:ascii="Calibri" w:hAnsi="Calibri"/>
        </w:rPr>
      </w:pPr>
    </w:p>
    <w:p w14:paraId="78CE1C63" w14:textId="77777777" w:rsidR="005772A8" w:rsidRDefault="005772A8" w:rsidP="006E675F">
      <w:pPr>
        <w:rPr>
          <w:rFonts w:ascii="Calibri" w:hAnsi="Calibri"/>
        </w:rPr>
      </w:pPr>
    </w:p>
    <w:p w14:paraId="2C9A563A" w14:textId="77777777" w:rsidR="00B85949" w:rsidRDefault="00B85949" w:rsidP="006E675F">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B85949" w:rsidRPr="00457256" w14:paraId="433EDA6E" w14:textId="77777777">
        <w:tc>
          <w:tcPr>
            <w:tcW w:w="8522" w:type="dxa"/>
            <w:gridSpan w:val="2"/>
            <w:tcBorders>
              <w:top w:val="nil"/>
              <w:left w:val="nil"/>
              <w:bottom w:val="nil"/>
              <w:right w:val="nil"/>
            </w:tcBorders>
            <w:shd w:val="clear" w:color="auto" w:fill="FF6600"/>
          </w:tcPr>
          <w:p w14:paraId="37EABC19" w14:textId="77777777" w:rsidR="00B85949" w:rsidRPr="00457256" w:rsidRDefault="00B85949" w:rsidP="00D90495">
            <w:pPr>
              <w:pStyle w:val="Heading3"/>
              <w:rPr>
                <w:rFonts w:ascii="Calibri" w:hAnsi="Calibri"/>
              </w:rPr>
            </w:pPr>
            <w:bookmarkStart w:id="17" w:name="_Retigabine"/>
            <w:bookmarkStart w:id="18" w:name="_Hlk50984223"/>
            <w:bookmarkEnd w:id="17"/>
            <w:r>
              <w:rPr>
                <w:rFonts w:ascii="Calibri" w:hAnsi="Calibri"/>
              </w:rPr>
              <w:t>Retigabine</w:t>
            </w:r>
          </w:p>
        </w:tc>
      </w:tr>
      <w:tr w:rsidR="00B85949" w:rsidRPr="00457256" w14:paraId="2ACA9D7B" w14:textId="77777777">
        <w:tc>
          <w:tcPr>
            <w:tcW w:w="8522" w:type="dxa"/>
            <w:gridSpan w:val="2"/>
            <w:tcBorders>
              <w:top w:val="nil"/>
            </w:tcBorders>
            <w:shd w:val="clear" w:color="auto" w:fill="000000"/>
          </w:tcPr>
          <w:p w14:paraId="5D4E9583" w14:textId="77777777" w:rsidR="00B85949" w:rsidRPr="00457256" w:rsidRDefault="00B85949" w:rsidP="00D90495">
            <w:pPr>
              <w:rPr>
                <w:rFonts w:ascii="Calibri" w:hAnsi="Calibri"/>
              </w:rPr>
            </w:pPr>
          </w:p>
        </w:tc>
      </w:tr>
      <w:tr w:rsidR="00B85949" w:rsidRPr="00457256" w14:paraId="3B2E9C97" w14:textId="77777777">
        <w:trPr>
          <w:trHeight w:val="430"/>
        </w:trPr>
        <w:tc>
          <w:tcPr>
            <w:tcW w:w="1908" w:type="dxa"/>
            <w:shd w:val="clear" w:color="auto" w:fill="auto"/>
            <w:vAlign w:val="center"/>
          </w:tcPr>
          <w:p w14:paraId="3A0837D3" w14:textId="77777777" w:rsidR="00B85949" w:rsidRPr="00457256" w:rsidRDefault="00B85949" w:rsidP="00D90495">
            <w:pPr>
              <w:rPr>
                <w:rFonts w:ascii="Calibri" w:hAnsi="Calibri"/>
              </w:rPr>
            </w:pPr>
            <w:r w:rsidRPr="00457256">
              <w:rPr>
                <w:rFonts w:ascii="Calibri" w:hAnsi="Calibri"/>
              </w:rPr>
              <w:t>Forms available</w:t>
            </w:r>
          </w:p>
        </w:tc>
        <w:tc>
          <w:tcPr>
            <w:tcW w:w="6614" w:type="dxa"/>
            <w:shd w:val="clear" w:color="auto" w:fill="auto"/>
          </w:tcPr>
          <w:p w14:paraId="68525FB5" w14:textId="77777777" w:rsidR="00B85949" w:rsidRPr="00457256" w:rsidRDefault="00B85949" w:rsidP="00D90495">
            <w:pPr>
              <w:rPr>
                <w:rFonts w:ascii="Calibri" w:hAnsi="Calibri"/>
              </w:rPr>
            </w:pPr>
            <w:r w:rsidRPr="00457256">
              <w:rPr>
                <w:rFonts w:ascii="Calibri" w:hAnsi="Calibri"/>
              </w:rPr>
              <w:t>Tablets</w:t>
            </w:r>
            <w:r>
              <w:rPr>
                <w:rFonts w:ascii="Calibri" w:hAnsi="Calibri"/>
              </w:rPr>
              <w:t xml:space="preserve">  50mg, 100mg, 200mg, 300mg, 400mg</w:t>
            </w:r>
          </w:p>
        </w:tc>
      </w:tr>
      <w:tr w:rsidR="00B85949" w:rsidRPr="00457256" w14:paraId="20FE3127" w14:textId="77777777">
        <w:tc>
          <w:tcPr>
            <w:tcW w:w="1908" w:type="dxa"/>
            <w:shd w:val="clear" w:color="auto" w:fill="auto"/>
          </w:tcPr>
          <w:p w14:paraId="063A0DAC" w14:textId="77777777" w:rsidR="00B85949" w:rsidRPr="00457256" w:rsidRDefault="00B85949" w:rsidP="00D90495">
            <w:pPr>
              <w:rPr>
                <w:rFonts w:ascii="Calibri" w:hAnsi="Calibri"/>
              </w:rPr>
            </w:pPr>
            <w:r w:rsidRPr="00457256">
              <w:rPr>
                <w:rFonts w:ascii="Calibri" w:hAnsi="Calibri"/>
              </w:rPr>
              <w:t>Brands available</w:t>
            </w:r>
          </w:p>
        </w:tc>
        <w:tc>
          <w:tcPr>
            <w:tcW w:w="6614" w:type="dxa"/>
            <w:shd w:val="clear" w:color="auto" w:fill="auto"/>
          </w:tcPr>
          <w:p w14:paraId="7C2B3787" w14:textId="77777777" w:rsidR="00B85949" w:rsidRPr="00457256" w:rsidRDefault="00B85949" w:rsidP="00D90495">
            <w:pPr>
              <w:rPr>
                <w:rFonts w:ascii="Calibri" w:hAnsi="Calibri"/>
              </w:rPr>
            </w:pPr>
            <w:r>
              <w:rPr>
                <w:rFonts w:ascii="Calibri" w:hAnsi="Calibri"/>
              </w:rPr>
              <w:t>Trobalt</w:t>
            </w:r>
          </w:p>
        </w:tc>
      </w:tr>
      <w:tr w:rsidR="00B85949" w:rsidRPr="00457256" w14:paraId="54C966A5" w14:textId="77777777">
        <w:tc>
          <w:tcPr>
            <w:tcW w:w="8522" w:type="dxa"/>
            <w:gridSpan w:val="2"/>
            <w:shd w:val="clear" w:color="auto" w:fill="FF6600"/>
          </w:tcPr>
          <w:p w14:paraId="52B0696D" w14:textId="77777777" w:rsidR="00B85949" w:rsidRPr="00B85949" w:rsidRDefault="00B85949" w:rsidP="00D90495">
            <w:pPr>
              <w:rPr>
                <w:rFonts w:ascii="Calibri" w:hAnsi="Calibri"/>
                <w:b/>
              </w:rPr>
            </w:pPr>
            <w:r w:rsidRPr="00B85949">
              <w:rPr>
                <w:rFonts w:ascii="Calibri" w:hAnsi="Calibri"/>
                <w:b/>
              </w:rPr>
              <w:t>Recommendation</w:t>
            </w:r>
          </w:p>
        </w:tc>
      </w:tr>
      <w:tr w:rsidR="00B85949" w:rsidRPr="00457256" w14:paraId="6A57BCCD" w14:textId="77777777">
        <w:tc>
          <w:tcPr>
            <w:tcW w:w="8522" w:type="dxa"/>
            <w:gridSpan w:val="2"/>
            <w:shd w:val="clear" w:color="auto" w:fill="auto"/>
          </w:tcPr>
          <w:p w14:paraId="4D739EEF" w14:textId="6D805639" w:rsidR="00E3066E" w:rsidRPr="0076504A" w:rsidRDefault="00E3066E" w:rsidP="00236351">
            <w:pPr>
              <w:ind w:left="360"/>
              <w:jc w:val="both"/>
              <w:rPr>
                <w:rFonts w:ascii="Calibri" w:hAnsi="Calibri"/>
              </w:rPr>
            </w:pPr>
            <w:r w:rsidRPr="0076504A">
              <w:rPr>
                <w:rFonts w:ascii="Calibri" w:hAnsi="Calibri"/>
              </w:rPr>
              <w:t>These recommendations should not be used without consulting the ‘principles f</w:t>
            </w:r>
            <w:r w:rsidR="00AE3C0F">
              <w:rPr>
                <w:rFonts w:ascii="Calibri" w:hAnsi="Calibri"/>
              </w:rPr>
              <w:t xml:space="preserve">or switching’ section on page </w:t>
            </w:r>
            <w:r w:rsidR="00DC0F39">
              <w:rPr>
                <w:rFonts w:ascii="Calibri" w:hAnsi="Calibri"/>
              </w:rPr>
              <w:t>10</w:t>
            </w:r>
            <w:r w:rsidR="0076504A" w:rsidRPr="0076504A">
              <w:rPr>
                <w:rFonts w:ascii="Calibri" w:hAnsi="Calibri"/>
              </w:rPr>
              <w:t xml:space="preserve">. </w:t>
            </w:r>
          </w:p>
          <w:p w14:paraId="67A50C3E" w14:textId="77777777" w:rsidR="000D50AB" w:rsidRDefault="00824220" w:rsidP="00B768EF">
            <w:pPr>
              <w:numPr>
                <w:ilvl w:val="0"/>
                <w:numId w:val="8"/>
              </w:numPr>
              <w:rPr>
                <w:rFonts w:ascii="Calibri" w:hAnsi="Calibri" w:cs="Courier New"/>
              </w:rPr>
            </w:pPr>
            <w:r w:rsidRPr="00B768EF">
              <w:rPr>
                <w:rFonts w:ascii="Calibri" w:hAnsi="Calibri" w:cs="Courier New"/>
              </w:rPr>
              <w:t xml:space="preserve">There are no </w:t>
            </w:r>
            <w:r w:rsidR="00B768EF" w:rsidRPr="00B768EF">
              <w:rPr>
                <w:rFonts w:ascii="Calibri" w:hAnsi="Calibri" w:cs="Courier New"/>
              </w:rPr>
              <w:t xml:space="preserve">generics available for </w:t>
            </w:r>
            <w:r w:rsidR="00E033D1">
              <w:rPr>
                <w:rFonts w:ascii="Calibri" w:hAnsi="Calibri" w:cs="Courier New"/>
              </w:rPr>
              <w:t>retigabine.  Patent expiry: unknown</w:t>
            </w:r>
            <w:r w:rsidR="00B768EF" w:rsidRPr="00B768EF">
              <w:rPr>
                <w:rFonts w:ascii="Calibri" w:hAnsi="Calibri" w:cs="Courier New"/>
              </w:rPr>
              <w:t xml:space="preserve">.  </w:t>
            </w:r>
          </w:p>
          <w:p w14:paraId="41D3830F" w14:textId="77777777" w:rsidR="00B768EF" w:rsidRPr="00457256" w:rsidRDefault="00B768EF" w:rsidP="000D50AB">
            <w:pPr>
              <w:ind w:left="360"/>
              <w:rPr>
                <w:rFonts w:ascii="Calibri" w:hAnsi="Calibri"/>
              </w:rPr>
            </w:pPr>
          </w:p>
        </w:tc>
      </w:tr>
      <w:tr w:rsidR="00B85949" w:rsidRPr="00457256" w14:paraId="7AF9ACB6" w14:textId="77777777">
        <w:tc>
          <w:tcPr>
            <w:tcW w:w="8522" w:type="dxa"/>
            <w:gridSpan w:val="2"/>
            <w:shd w:val="clear" w:color="auto" w:fill="FF6600"/>
          </w:tcPr>
          <w:p w14:paraId="42F2E2F5" w14:textId="77777777" w:rsidR="00B85949" w:rsidRPr="00457256" w:rsidRDefault="00B85949" w:rsidP="00D90495">
            <w:pPr>
              <w:rPr>
                <w:rFonts w:ascii="Calibri" w:hAnsi="Calibri"/>
              </w:rPr>
            </w:pPr>
            <w:r w:rsidRPr="00457256">
              <w:rPr>
                <w:rFonts w:ascii="Calibri" w:hAnsi="Calibri"/>
              </w:rPr>
              <w:t>Rationale</w:t>
            </w:r>
          </w:p>
        </w:tc>
      </w:tr>
      <w:tr w:rsidR="00B85949" w:rsidRPr="00457256" w14:paraId="1D11FF1C" w14:textId="77777777">
        <w:tc>
          <w:tcPr>
            <w:tcW w:w="8522" w:type="dxa"/>
            <w:gridSpan w:val="2"/>
            <w:shd w:val="clear" w:color="auto" w:fill="auto"/>
          </w:tcPr>
          <w:p w14:paraId="5763CEE8" w14:textId="70C88CF6" w:rsidR="007141D8" w:rsidRDefault="007141D8" w:rsidP="00D90495">
            <w:pPr>
              <w:rPr>
                <w:rFonts w:ascii="Calibri" w:hAnsi="Calibri"/>
              </w:rPr>
            </w:pPr>
          </w:p>
          <w:p w14:paraId="2C8360A9" w14:textId="35A1CAC8" w:rsidR="005B5B89" w:rsidRDefault="005B5B89" w:rsidP="009933CE">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w:t>
            </w:r>
            <w:r w:rsidR="00337835">
              <w:rPr>
                <w:rFonts w:ascii="Calibri" w:hAnsi="Calibri"/>
              </w:rPr>
              <w:t>patient</w:t>
            </w:r>
            <w:r>
              <w:rPr>
                <w:rFonts w:ascii="Calibri" w:hAnsi="Calibri"/>
              </w:rPr>
              <w:t xml:space="preserve"> and/or carer, taking into account factors such as seizure frequency and treatment history.  Take into account patient/carer-related factors such as their negative perceptions about alternative products and/or other issues related to the patient. </w:t>
            </w:r>
          </w:p>
          <w:p w14:paraId="7FBDB987" w14:textId="77777777" w:rsidR="005B5B89" w:rsidRPr="00714596" w:rsidRDefault="005B5B89" w:rsidP="009933CE">
            <w:pPr>
              <w:jc w:val="both"/>
              <w:rPr>
                <w:rFonts w:ascii="Calibri" w:hAnsi="Calibri"/>
              </w:rPr>
            </w:pPr>
          </w:p>
          <w:p w14:paraId="2B057FD0" w14:textId="77777777" w:rsidR="00714596" w:rsidRPr="00714596" w:rsidRDefault="007141D8" w:rsidP="00236351">
            <w:pPr>
              <w:spacing w:before="45" w:after="45"/>
              <w:jc w:val="both"/>
              <w:rPr>
                <w:rFonts w:ascii="Calibri" w:hAnsi="Calibri" w:cs="Arial"/>
                <w:color w:val="000000"/>
              </w:rPr>
            </w:pPr>
            <w:r w:rsidRPr="00714596">
              <w:rPr>
                <w:rFonts w:ascii="Calibri" w:hAnsi="Calibri"/>
                <w:b/>
              </w:rPr>
              <w:t>Half life</w:t>
            </w:r>
            <w:r w:rsidR="008A0EB8" w:rsidRPr="00714596">
              <w:rPr>
                <w:rFonts w:ascii="Calibri" w:hAnsi="Calibri"/>
              </w:rPr>
              <w:t>:</w:t>
            </w:r>
            <w:r w:rsidRPr="00714596">
              <w:rPr>
                <w:rFonts w:ascii="Calibri" w:hAnsi="Calibri"/>
              </w:rPr>
              <w:t xml:space="preserve"> </w:t>
            </w:r>
            <w:r w:rsidR="00714596" w:rsidRPr="00714596">
              <w:rPr>
                <w:rFonts w:ascii="Calibri" w:hAnsi="Calibri"/>
              </w:rPr>
              <w:t>Retigabine</w:t>
            </w:r>
            <w:r w:rsidR="00714596" w:rsidRPr="00714596">
              <w:rPr>
                <w:rFonts w:ascii="Calibri" w:hAnsi="Calibri" w:cs="Arial"/>
                <w:color w:val="000000"/>
              </w:rPr>
              <w:t xml:space="preserve">: 7 to 11 hours. Elderly, prolonged by 30%. </w:t>
            </w:r>
            <w:r w:rsidR="00E46AC6">
              <w:rPr>
                <w:rFonts w:ascii="Calibri" w:hAnsi="Calibri" w:cs="Arial"/>
                <w:color w:val="000000"/>
              </w:rPr>
              <w:t xml:space="preserve"> N-Acetyl Metabolite of Retigabine (NAMR)</w:t>
            </w:r>
            <w:r w:rsidR="00714596" w:rsidRPr="00714596">
              <w:rPr>
                <w:rFonts w:ascii="Calibri" w:hAnsi="Calibri" w:cs="Arial"/>
                <w:color w:val="000000"/>
              </w:rPr>
              <w:t xml:space="preserve">: 7 to 11 hours.  </w:t>
            </w:r>
            <w:r w:rsidR="00714596" w:rsidRPr="00AE3C0F">
              <w:rPr>
                <w:rFonts w:ascii="Calibri" w:hAnsi="Calibri" w:cs="Arial"/>
                <w:color w:val="000000"/>
              </w:rPr>
              <w:t>(Micromedex 2012).</w:t>
            </w:r>
          </w:p>
          <w:p w14:paraId="0D0506C3" w14:textId="77777777" w:rsidR="00013A6F" w:rsidRPr="006D2965" w:rsidRDefault="00013A6F" w:rsidP="00236351">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w:t>
            </w:r>
            <w:r>
              <w:rPr>
                <w:rFonts w:ascii="Calibri" w:hAnsi="Calibri" w:cs="Arial"/>
              </w:rPr>
              <w:t>No data</w:t>
            </w:r>
          </w:p>
          <w:p w14:paraId="14E12329" w14:textId="77777777" w:rsidR="007141D8" w:rsidRPr="00714596" w:rsidRDefault="007141D8" w:rsidP="00236351">
            <w:pPr>
              <w:jc w:val="both"/>
              <w:rPr>
                <w:rFonts w:ascii="Calibri" w:hAnsi="Calibri"/>
              </w:rPr>
            </w:pPr>
          </w:p>
          <w:p w14:paraId="1C0E97D7" w14:textId="77777777" w:rsidR="00B85949" w:rsidRPr="00714596" w:rsidRDefault="00B85949" w:rsidP="00236351">
            <w:pPr>
              <w:jc w:val="both"/>
              <w:rPr>
                <w:rFonts w:ascii="Calibri" w:hAnsi="Calibri"/>
              </w:rPr>
            </w:pPr>
            <w:r w:rsidRPr="00714596">
              <w:rPr>
                <w:rFonts w:ascii="Calibri" w:hAnsi="Calibri"/>
              </w:rPr>
              <w:t>A literature search retrieved no relevant studies.</w:t>
            </w:r>
          </w:p>
          <w:p w14:paraId="76E3D291" w14:textId="77777777" w:rsidR="008A0EB8" w:rsidRPr="00714596" w:rsidRDefault="008A0EB8" w:rsidP="00D90495">
            <w:pPr>
              <w:rPr>
                <w:rFonts w:ascii="Calibri" w:hAnsi="Calibri"/>
              </w:rPr>
            </w:pPr>
          </w:p>
        </w:tc>
      </w:tr>
      <w:bookmarkEnd w:id="18"/>
    </w:tbl>
    <w:p w14:paraId="5674A784" w14:textId="77777777" w:rsidR="00B85949" w:rsidRPr="0018137D" w:rsidRDefault="00B85949" w:rsidP="006E675F">
      <w:pPr>
        <w:rPr>
          <w:rFonts w:ascii="Calibri" w:hAnsi="Calibri"/>
        </w:rPr>
      </w:pPr>
    </w:p>
    <w:p w14:paraId="544B64B1" w14:textId="77777777" w:rsidR="006E675F" w:rsidRDefault="006E675F" w:rsidP="006E675F">
      <w:pPr>
        <w:rPr>
          <w:rFonts w:ascii="Calibri" w:hAnsi="Calibri"/>
        </w:rPr>
      </w:pPr>
    </w:p>
    <w:p w14:paraId="6B62D029" w14:textId="77777777" w:rsidR="001F1019" w:rsidRPr="0018137D" w:rsidRDefault="0076504A" w:rsidP="006E675F">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6E675F" w:rsidRPr="00457256" w14:paraId="3B0D4440" w14:textId="77777777">
        <w:tc>
          <w:tcPr>
            <w:tcW w:w="8522" w:type="dxa"/>
            <w:gridSpan w:val="3"/>
            <w:tcBorders>
              <w:top w:val="nil"/>
              <w:left w:val="nil"/>
              <w:bottom w:val="nil"/>
              <w:right w:val="nil"/>
            </w:tcBorders>
            <w:shd w:val="clear" w:color="auto" w:fill="FF6600"/>
          </w:tcPr>
          <w:p w14:paraId="48D8AA62" w14:textId="77777777" w:rsidR="006E675F" w:rsidRPr="00457256" w:rsidRDefault="006E675F" w:rsidP="006E675F">
            <w:pPr>
              <w:pStyle w:val="Heading3"/>
              <w:rPr>
                <w:rFonts w:ascii="Calibri" w:hAnsi="Calibri"/>
              </w:rPr>
            </w:pPr>
            <w:bookmarkStart w:id="19" w:name="_Rufinamide"/>
            <w:bookmarkEnd w:id="19"/>
            <w:r w:rsidRPr="00457256">
              <w:rPr>
                <w:rFonts w:ascii="Calibri" w:hAnsi="Calibri"/>
              </w:rPr>
              <w:t>Rufinamide</w:t>
            </w:r>
          </w:p>
        </w:tc>
      </w:tr>
      <w:tr w:rsidR="006E675F" w:rsidRPr="00457256" w14:paraId="27DE8018" w14:textId="77777777">
        <w:tc>
          <w:tcPr>
            <w:tcW w:w="8522" w:type="dxa"/>
            <w:gridSpan w:val="3"/>
            <w:tcBorders>
              <w:top w:val="nil"/>
            </w:tcBorders>
            <w:shd w:val="clear" w:color="auto" w:fill="000000"/>
          </w:tcPr>
          <w:p w14:paraId="07000C24" w14:textId="77777777" w:rsidR="006E675F" w:rsidRPr="00457256" w:rsidRDefault="006E675F" w:rsidP="006E675F">
            <w:pPr>
              <w:rPr>
                <w:rFonts w:ascii="Calibri" w:hAnsi="Calibri"/>
              </w:rPr>
            </w:pPr>
          </w:p>
        </w:tc>
      </w:tr>
      <w:tr w:rsidR="006E675F" w:rsidRPr="00457256" w14:paraId="5358279A" w14:textId="77777777">
        <w:tc>
          <w:tcPr>
            <w:tcW w:w="1908" w:type="dxa"/>
            <w:shd w:val="clear" w:color="auto" w:fill="auto"/>
          </w:tcPr>
          <w:p w14:paraId="1DE4E958" w14:textId="77777777" w:rsidR="006E675F" w:rsidRPr="00457256" w:rsidRDefault="006E675F" w:rsidP="006E675F">
            <w:pPr>
              <w:rPr>
                <w:rFonts w:ascii="Calibri" w:hAnsi="Calibri"/>
              </w:rPr>
            </w:pPr>
            <w:r w:rsidRPr="00457256">
              <w:rPr>
                <w:rFonts w:ascii="Calibri" w:hAnsi="Calibri"/>
              </w:rPr>
              <w:t>Forms available</w:t>
            </w:r>
          </w:p>
        </w:tc>
        <w:tc>
          <w:tcPr>
            <w:tcW w:w="2700" w:type="dxa"/>
            <w:shd w:val="clear" w:color="auto" w:fill="auto"/>
          </w:tcPr>
          <w:p w14:paraId="71D89987" w14:textId="77777777" w:rsidR="006E675F" w:rsidRPr="00457256" w:rsidRDefault="006E675F" w:rsidP="006E675F">
            <w:pPr>
              <w:rPr>
                <w:rFonts w:ascii="Calibri" w:hAnsi="Calibri"/>
              </w:rPr>
            </w:pPr>
            <w:r w:rsidRPr="00457256">
              <w:rPr>
                <w:rFonts w:ascii="Calibri" w:hAnsi="Calibri"/>
              </w:rPr>
              <w:t>Tablets</w:t>
            </w:r>
          </w:p>
        </w:tc>
        <w:tc>
          <w:tcPr>
            <w:tcW w:w="3914" w:type="dxa"/>
            <w:shd w:val="clear" w:color="auto" w:fill="auto"/>
          </w:tcPr>
          <w:p w14:paraId="1D86B19A" w14:textId="77777777" w:rsidR="006E675F" w:rsidRPr="00457256" w:rsidRDefault="006E675F" w:rsidP="006E675F">
            <w:pPr>
              <w:rPr>
                <w:rFonts w:ascii="Calibri" w:hAnsi="Calibri"/>
              </w:rPr>
            </w:pPr>
            <w:r w:rsidRPr="00457256">
              <w:rPr>
                <w:rFonts w:ascii="Calibri" w:hAnsi="Calibri"/>
              </w:rPr>
              <w:t>100mg, 200mg, 400mg</w:t>
            </w:r>
          </w:p>
        </w:tc>
      </w:tr>
      <w:tr w:rsidR="006E675F" w:rsidRPr="00457256" w14:paraId="782E35B1" w14:textId="77777777">
        <w:tc>
          <w:tcPr>
            <w:tcW w:w="1908" w:type="dxa"/>
            <w:shd w:val="clear" w:color="auto" w:fill="auto"/>
          </w:tcPr>
          <w:p w14:paraId="77F423CC" w14:textId="77777777" w:rsidR="006E675F" w:rsidRPr="00457256" w:rsidRDefault="006E675F" w:rsidP="006E675F">
            <w:pPr>
              <w:rPr>
                <w:rFonts w:ascii="Calibri" w:hAnsi="Calibri"/>
              </w:rPr>
            </w:pPr>
            <w:r w:rsidRPr="00457256">
              <w:rPr>
                <w:rFonts w:ascii="Calibri" w:hAnsi="Calibri"/>
              </w:rPr>
              <w:t>Brands available</w:t>
            </w:r>
          </w:p>
        </w:tc>
        <w:tc>
          <w:tcPr>
            <w:tcW w:w="6614" w:type="dxa"/>
            <w:gridSpan w:val="2"/>
            <w:shd w:val="clear" w:color="auto" w:fill="auto"/>
          </w:tcPr>
          <w:p w14:paraId="6C0E35AE" w14:textId="77777777" w:rsidR="006E675F" w:rsidRPr="00457256" w:rsidRDefault="006E675F" w:rsidP="006E675F">
            <w:pPr>
              <w:rPr>
                <w:rFonts w:ascii="Calibri" w:hAnsi="Calibri"/>
              </w:rPr>
            </w:pPr>
            <w:r w:rsidRPr="00457256">
              <w:rPr>
                <w:rFonts w:ascii="Calibri" w:hAnsi="Calibri"/>
              </w:rPr>
              <w:t>Inovelon</w:t>
            </w:r>
          </w:p>
        </w:tc>
      </w:tr>
      <w:tr w:rsidR="006E675F" w:rsidRPr="00457256" w14:paraId="56DA5EDF" w14:textId="77777777">
        <w:tc>
          <w:tcPr>
            <w:tcW w:w="8522" w:type="dxa"/>
            <w:gridSpan w:val="3"/>
            <w:shd w:val="clear" w:color="auto" w:fill="FF6600"/>
          </w:tcPr>
          <w:p w14:paraId="1FCEAD48" w14:textId="77777777" w:rsidR="006E675F" w:rsidRPr="00457256" w:rsidRDefault="006E675F" w:rsidP="006E675F">
            <w:pPr>
              <w:rPr>
                <w:rFonts w:ascii="Calibri" w:hAnsi="Calibri"/>
              </w:rPr>
            </w:pPr>
            <w:r w:rsidRPr="00457256">
              <w:rPr>
                <w:rFonts w:ascii="Calibri" w:hAnsi="Calibri"/>
              </w:rPr>
              <w:t>Recommendation</w:t>
            </w:r>
          </w:p>
        </w:tc>
      </w:tr>
      <w:tr w:rsidR="006E675F" w:rsidRPr="00457256" w14:paraId="0FCCC18C" w14:textId="77777777">
        <w:tc>
          <w:tcPr>
            <w:tcW w:w="8522" w:type="dxa"/>
            <w:gridSpan w:val="3"/>
            <w:shd w:val="clear" w:color="auto" w:fill="auto"/>
          </w:tcPr>
          <w:p w14:paraId="1276884D" w14:textId="5FF97DA7" w:rsidR="00E3066E" w:rsidRDefault="00E3066E" w:rsidP="00236351">
            <w:pPr>
              <w:ind w:left="360"/>
              <w:jc w:val="both"/>
              <w:rPr>
                <w:rFonts w:ascii="Calibri" w:hAnsi="Calibri"/>
              </w:rPr>
            </w:pPr>
            <w:r w:rsidRPr="0076504A">
              <w:rPr>
                <w:rFonts w:ascii="Calibri" w:hAnsi="Calibri"/>
              </w:rPr>
              <w:t>These recommendations should not be used without consulting the ‘principles f</w:t>
            </w:r>
            <w:r w:rsidR="00AE3C0F">
              <w:rPr>
                <w:rFonts w:ascii="Calibri" w:hAnsi="Calibri"/>
              </w:rPr>
              <w:t xml:space="preserve">or switching’ section on page </w:t>
            </w:r>
            <w:r w:rsidR="00DC0F39">
              <w:rPr>
                <w:rFonts w:ascii="Calibri" w:hAnsi="Calibri"/>
              </w:rPr>
              <w:t>10</w:t>
            </w:r>
            <w:r w:rsidR="0076504A" w:rsidRPr="0076504A">
              <w:rPr>
                <w:rFonts w:ascii="Calibri" w:hAnsi="Calibri"/>
              </w:rPr>
              <w:t>.</w:t>
            </w:r>
          </w:p>
          <w:p w14:paraId="6857AC0A" w14:textId="77777777" w:rsidR="00B768EF" w:rsidRPr="00B768EF" w:rsidRDefault="00824220" w:rsidP="00236351">
            <w:pPr>
              <w:numPr>
                <w:ilvl w:val="0"/>
                <w:numId w:val="8"/>
              </w:numPr>
              <w:jc w:val="both"/>
              <w:rPr>
                <w:rFonts w:ascii="Calibri" w:hAnsi="Calibri"/>
              </w:rPr>
            </w:pPr>
            <w:r w:rsidRPr="00B768EF">
              <w:rPr>
                <w:rFonts w:ascii="Calibri" w:hAnsi="Calibri" w:cs="Courier New"/>
              </w:rPr>
              <w:t xml:space="preserve">There are no </w:t>
            </w:r>
            <w:r w:rsidR="00B768EF" w:rsidRPr="00B768EF">
              <w:rPr>
                <w:rFonts w:ascii="Calibri" w:hAnsi="Calibri" w:cs="Courier New"/>
              </w:rPr>
              <w:t>generics available for ru</w:t>
            </w:r>
            <w:r w:rsidR="00E033D1">
              <w:rPr>
                <w:rFonts w:ascii="Calibri" w:hAnsi="Calibri" w:cs="Courier New"/>
              </w:rPr>
              <w:t>finamide.  Patent expiry 2022</w:t>
            </w:r>
            <w:r w:rsidR="00B768EF" w:rsidRPr="00B768EF">
              <w:rPr>
                <w:rFonts w:ascii="Calibri" w:hAnsi="Calibri" w:cs="Courier New"/>
              </w:rPr>
              <w:t xml:space="preserve">. </w:t>
            </w:r>
          </w:p>
          <w:p w14:paraId="066FF313" w14:textId="77777777" w:rsidR="008A0EB8" w:rsidRPr="00457256" w:rsidRDefault="008A0EB8" w:rsidP="00B768EF">
            <w:pPr>
              <w:ind w:left="360"/>
              <w:jc w:val="both"/>
              <w:rPr>
                <w:rFonts w:ascii="Calibri" w:hAnsi="Calibri"/>
              </w:rPr>
            </w:pPr>
          </w:p>
        </w:tc>
      </w:tr>
      <w:tr w:rsidR="006E675F" w:rsidRPr="00457256" w14:paraId="0A9DAF0F" w14:textId="77777777">
        <w:tc>
          <w:tcPr>
            <w:tcW w:w="8522" w:type="dxa"/>
            <w:gridSpan w:val="3"/>
            <w:shd w:val="clear" w:color="auto" w:fill="FF6600"/>
          </w:tcPr>
          <w:p w14:paraId="3D29E0B1" w14:textId="77777777" w:rsidR="006E675F" w:rsidRPr="00457256" w:rsidRDefault="006E675F" w:rsidP="006E675F">
            <w:pPr>
              <w:rPr>
                <w:rFonts w:ascii="Calibri" w:hAnsi="Calibri"/>
              </w:rPr>
            </w:pPr>
            <w:r w:rsidRPr="00457256">
              <w:rPr>
                <w:rFonts w:ascii="Calibri" w:hAnsi="Calibri"/>
              </w:rPr>
              <w:t>Rationale</w:t>
            </w:r>
          </w:p>
        </w:tc>
      </w:tr>
      <w:tr w:rsidR="006E675F" w:rsidRPr="00457256" w14:paraId="2B265129" w14:textId="77777777">
        <w:tc>
          <w:tcPr>
            <w:tcW w:w="8522" w:type="dxa"/>
            <w:gridSpan w:val="3"/>
            <w:shd w:val="clear" w:color="auto" w:fill="auto"/>
          </w:tcPr>
          <w:p w14:paraId="5E51943C" w14:textId="79E57B04" w:rsidR="00A32814" w:rsidRDefault="00A32814" w:rsidP="006E675F">
            <w:pPr>
              <w:rPr>
                <w:rFonts w:ascii="Calibri" w:hAnsi="Calibri"/>
              </w:rPr>
            </w:pPr>
          </w:p>
          <w:p w14:paraId="5AA39CF3" w14:textId="2D3F7F3D" w:rsidR="00214533" w:rsidRDefault="00214533" w:rsidP="000745D8">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w:t>
            </w:r>
            <w:r w:rsidR="004F7DCF">
              <w:rPr>
                <w:rFonts w:ascii="Calibri" w:hAnsi="Calibri"/>
              </w:rPr>
              <w:t>patient</w:t>
            </w:r>
            <w:r>
              <w:rPr>
                <w:rFonts w:ascii="Calibri" w:hAnsi="Calibri"/>
              </w:rPr>
              <w:t xml:space="preserve"> and/or carer, taking into account factors such as seizure frequency and treatment history.  Take into account patient/carer-related factors such as their negative perceptions about alternative products and/or other issues related to the patient. </w:t>
            </w:r>
          </w:p>
          <w:p w14:paraId="73AD4E59" w14:textId="77777777" w:rsidR="00214533" w:rsidRDefault="00214533" w:rsidP="006E675F">
            <w:pPr>
              <w:rPr>
                <w:rFonts w:ascii="Calibri" w:hAnsi="Calibri"/>
              </w:rPr>
            </w:pPr>
          </w:p>
          <w:p w14:paraId="7AB0AE11" w14:textId="77777777" w:rsidR="00A32814" w:rsidRDefault="00A32814" w:rsidP="00236351">
            <w:pPr>
              <w:jc w:val="both"/>
              <w:rPr>
                <w:rFonts w:ascii="Calibri" w:hAnsi="Calibri"/>
              </w:rPr>
            </w:pPr>
            <w:r w:rsidRPr="00714596">
              <w:rPr>
                <w:rFonts w:ascii="Calibri" w:hAnsi="Calibri"/>
                <w:b/>
              </w:rPr>
              <w:t>Half life</w:t>
            </w:r>
            <w:r w:rsidR="008A0EB8">
              <w:rPr>
                <w:rFonts w:ascii="Calibri" w:hAnsi="Calibri"/>
              </w:rPr>
              <w:t>:</w:t>
            </w:r>
            <w:r w:rsidR="00714596">
              <w:rPr>
                <w:rFonts w:ascii="Calibri" w:hAnsi="Calibri"/>
              </w:rPr>
              <w:t xml:space="preserve"> Rufinamide</w:t>
            </w:r>
            <w:r w:rsidR="00B14945">
              <w:rPr>
                <w:rFonts w:ascii="Calibri" w:hAnsi="Calibri"/>
              </w:rPr>
              <w:t>:</w:t>
            </w:r>
            <w:r w:rsidR="00714596">
              <w:rPr>
                <w:rFonts w:ascii="Calibri" w:hAnsi="Calibri"/>
              </w:rPr>
              <w:t xml:space="preserve"> 6 to 10 hours </w:t>
            </w:r>
            <w:r w:rsidR="00714596" w:rsidRPr="00AE3C0F">
              <w:rPr>
                <w:rFonts w:ascii="Calibri" w:hAnsi="Calibri"/>
              </w:rPr>
              <w:t>(Micromedex 2012)</w:t>
            </w:r>
          </w:p>
          <w:p w14:paraId="6712AE12" w14:textId="77777777" w:rsidR="00013A6F" w:rsidRPr="006D2965" w:rsidRDefault="00013A6F" w:rsidP="00236351">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w:t>
            </w:r>
            <w:r>
              <w:rPr>
                <w:rFonts w:ascii="Calibri" w:hAnsi="Calibri" w:cs="Arial"/>
              </w:rPr>
              <w:t>No data</w:t>
            </w:r>
          </w:p>
          <w:p w14:paraId="52ACD7F5" w14:textId="77777777" w:rsidR="00013A6F" w:rsidRPr="00AE3C0F" w:rsidRDefault="00013A6F" w:rsidP="00236351">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 </w:t>
            </w:r>
          </w:p>
          <w:p w14:paraId="4BE5AFAA" w14:textId="77777777" w:rsidR="00A32814" w:rsidRDefault="00A32814" w:rsidP="00236351">
            <w:pPr>
              <w:jc w:val="both"/>
              <w:rPr>
                <w:rFonts w:ascii="Calibri" w:hAnsi="Calibri"/>
              </w:rPr>
            </w:pPr>
          </w:p>
          <w:p w14:paraId="4590E88C" w14:textId="77777777" w:rsidR="006E675F" w:rsidRDefault="001F1019" w:rsidP="00236351">
            <w:pPr>
              <w:jc w:val="both"/>
              <w:rPr>
                <w:rFonts w:ascii="Calibri" w:hAnsi="Calibri"/>
              </w:rPr>
            </w:pPr>
            <w:r w:rsidRPr="00457256">
              <w:rPr>
                <w:rFonts w:ascii="Calibri" w:hAnsi="Calibri"/>
              </w:rPr>
              <w:t>A literature search retrieved no relevant studies.</w:t>
            </w:r>
          </w:p>
          <w:p w14:paraId="633609E4" w14:textId="77777777" w:rsidR="00714596" w:rsidRPr="00457256" w:rsidRDefault="00714596" w:rsidP="006E675F">
            <w:pPr>
              <w:rPr>
                <w:rFonts w:ascii="Calibri" w:hAnsi="Calibri"/>
              </w:rPr>
            </w:pPr>
          </w:p>
        </w:tc>
      </w:tr>
    </w:tbl>
    <w:p w14:paraId="780469DB" w14:textId="77777777" w:rsidR="006E675F" w:rsidRPr="0018137D" w:rsidRDefault="006E675F" w:rsidP="006E675F">
      <w:pPr>
        <w:rPr>
          <w:rFonts w:ascii="Calibri" w:hAnsi="Calibri"/>
        </w:rPr>
      </w:pPr>
    </w:p>
    <w:p w14:paraId="5C5E0033" w14:textId="77777777" w:rsidR="006E675F" w:rsidRPr="0018137D" w:rsidRDefault="0076504A" w:rsidP="006E675F">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6E675F" w:rsidRPr="00457256" w14:paraId="6BF14112" w14:textId="77777777">
        <w:tc>
          <w:tcPr>
            <w:tcW w:w="8522" w:type="dxa"/>
            <w:gridSpan w:val="3"/>
            <w:tcBorders>
              <w:top w:val="nil"/>
              <w:left w:val="nil"/>
              <w:bottom w:val="nil"/>
              <w:right w:val="nil"/>
            </w:tcBorders>
            <w:shd w:val="clear" w:color="auto" w:fill="FF6600"/>
          </w:tcPr>
          <w:p w14:paraId="1D3A984B" w14:textId="77777777" w:rsidR="006E675F" w:rsidRPr="00457256" w:rsidRDefault="006E675F" w:rsidP="006E675F">
            <w:pPr>
              <w:pStyle w:val="Heading3"/>
              <w:rPr>
                <w:rFonts w:ascii="Calibri" w:hAnsi="Calibri"/>
              </w:rPr>
            </w:pPr>
            <w:bookmarkStart w:id="20" w:name="_Tiagabine"/>
            <w:bookmarkEnd w:id="20"/>
            <w:r w:rsidRPr="00457256">
              <w:rPr>
                <w:rFonts w:ascii="Calibri" w:hAnsi="Calibri"/>
              </w:rPr>
              <w:t>Tiagabine</w:t>
            </w:r>
          </w:p>
        </w:tc>
      </w:tr>
      <w:tr w:rsidR="006E675F" w:rsidRPr="00457256" w14:paraId="1FA989AC" w14:textId="77777777">
        <w:tc>
          <w:tcPr>
            <w:tcW w:w="8522" w:type="dxa"/>
            <w:gridSpan w:val="3"/>
            <w:tcBorders>
              <w:top w:val="nil"/>
            </w:tcBorders>
            <w:shd w:val="clear" w:color="auto" w:fill="000000"/>
          </w:tcPr>
          <w:p w14:paraId="215A48DA" w14:textId="77777777" w:rsidR="006E675F" w:rsidRPr="00457256" w:rsidRDefault="006E675F" w:rsidP="006E675F">
            <w:pPr>
              <w:rPr>
                <w:rFonts w:ascii="Calibri" w:hAnsi="Calibri"/>
              </w:rPr>
            </w:pPr>
          </w:p>
        </w:tc>
      </w:tr>
      <w:tr w:rsidR="006E675F" w:rsidRPr="00457256" w14:paraId="038C1BE2" w14:textId="77777777">
        <w:tc>
          <w:tcPr>
            <w:tcW w:w="1908" w:type="dxa"/>
            <w:shd w:val="clear" w:color="auto" w:fill="auto"/>
          </w:tcPr>
          <w:p w14:paraId="461340FC" w14:textId="77777777" w:rsidR="006E675F" w:rsidRPr="00457256" w:rsidRDefault="006E675F" w:rsidP="006E675F">
            <w:pPr>
              <w:rPr>
                <w:rFonts w:ascii="Calibri" w:hAnsi="Calibri"/>
              </w:rPr>
            </w:pPr>
            <w:r w:rsidRPr="00457256">
              <w:rPr>
                <w:rFonts w:ascii="Calibri" w:hAnsi="Calibri"/>
              </w:rPr>
              <w:t>Forms available</w:t>
            </w:r>
          </w:p>
        </w:tc>
        <w:tc>
          <w:tcPr>
            <w:tcW w:w="2700" w:type="dxa"/>
            <w:shd w:val="clear" w:color="auto" w:fill="auto"/>
          </w:tcPr>
          <w:p w14:paraId="6BB0D18B" w14:textId="77777777" w:rsidR="006E675F" w:rsidRPr="00457256" w:rsidRDefault="006E675F" w:rsidP="006E675F">
            <w:pPr>
              <w:rPr>
                <w:rFonts w:ascii="Calibri" w:hAnsi="Calibri"/>
              </w:rPr>
            </w:pPr>
            <w:r w:rsidRPr="00457256">
              <w:rPr>
                <w:rFonts w:ascii="Calibri" w:hAnsi="Calibri"/>
              </w:rPr>
              <w:t>Tablets</w:t>
            </w:r>
          </w:p>
        </w:tc>
        <w:tc>
          <w:tcPr>
            <w:tcW w:w="3914" w:type="dxa"/>
            <w:shd w:val="clear" w:color="auto" w:fill="auto"/>
          </w:tcPr>
          <w:p w14:paraId="7963C511" w14:textId="77777777" w:rsidR="006E675F" w:rsidRPr="00457256" w:rsidRDefault="006E675F" w:rsidP="006E675F">
            <w:pPr>
              <w:rPr>
                <w:rFonts w:ascii="Calibri" w:hAnsi="Calibri"/>
              </w:rPr>
            </w:pPr>
            <w:r w:rsidRPr="00457256">
              <w:rPr>
                <w:rFonts w:ascii="Calibri" w:hAnsi="Calibri"/>
              </w:rPr>
              <w:t>5mg, 10mg, 15mg</w:t>
            </w:r>
          </w:p>
        </w:tc>
      </w:tr>
      <w:tr w:rsidR="006E675F" w:rsidRPr="00457256" w14:paraId="4E20BC54" w14:textId="77777777">
        <w:tc>
          <w:tcPr>
            <w:tcW w:w="1908" w:type="dxa"/>
            <w:shd w:val="clear" w:color="auto" w:fill="auto"/>
          </w:tcPr>
          <w:p w14:paraId="31166693" w14:textId="77777777" w:rsidR="006E675F" w:rsidRPr="00457256" w:rsidRDefault="006E675F" w:rsidP="006E675F">
            <w:pPr>
              <w:rPr>
                <w:rFonts w:ascii="Calibri" w:hAnsi="Calibri"/>
              </w:rPr>
            </w:pPr>
            <w:r w:rsidRPr="00457256">
              <w:rPr>
                <w:rFonts w:ascii="Calibri" w:hAnsi="Calibri"/>
              </w:rPr>
              <w:t>Brands available</w:t>
            </w:r>
          </w:p>
        </w:tc>
        <w:tc>
          <w:tcPr>
            <w:tcW w:w="6614" w:type="dxa"/>
            <w:gridSpan w:val="2"/>
            <w:shd w:val="clear" w:color="auto" w:fill="auto"/>
          </w:tcPr>
          <w:p w14:paraId="4369D517" w14:textId="77777777" w:rsidR="006E675F" w:rsidRPr="00457256" w:rsidRDefault="006E675F" w:rsidP="006E675F">
            <w:pPr>
              <w:rPr>
                <w:rFonts w:ascii="Calibri" w:hAnsi="Calibri"/>
              </w:rPr>
            </w:pPr>
            <w:r w:rsidRPr="00457256">
              <w:rPr>
                <w:rFonts w:ascii="Calibri" w:hAnsi="Calibri"/>
              </w:rPr>
              <w:t>Gabitril</w:t>
            </w:r>
          </w:p>
        </w:tc>
      </w:tr>
      <w:tr w:rsidR="006E675F" w:rsidRPr="00457256" w14:paraId="0338010D" w14:textId="77777777">
        <w:tc>
          <w:tcPr>
            <w:tcW w:w="8522" w:type="dxa"/>
            <w:gridSpan w:val="3"/>
            <w:shd w:val="clear" w:color="auto" w:fill="FF6600"/>
          </w:tcPr>
          <w:p w14:paraId="58E5CEB6" w14:textId="77777777" w:rsidR="006E675F" w:rsidRPr="00457256" w:rsidRDefault="006E675F" w:rsidP="006E675F">
            <w:pPr>
              <w:rPr>
                <w:rFonts w:ascii="Calibri" w:hAnsi="Calibri"/>
              </w:rPr>
            </w:pPr>
            <w:r w:rsidRPr="00457256">
              <w:rPr>
                <w:rFonts w:ascii="Calibri" w:hAnsi="Calibri"/>
              </w:rPr>
              <w:t>Recommendation</w:t>
            </w:r>
          </w:p>
        </w:tc>
      </w:tr>
      <w:tr w:rsidR="006E675F" w:rsidRPr="00457256" w14:paraId="4E88A9A0" w14:textId="77777777">
        <w:tc>
          <w:tcPr>
            <w:tcW w:w="8522" w:type="dxa"/>
            <w:gridSpan w:val="3"/>
            <w:shd w:val="clear" w:color="auto" w:fill="auto"/>
          </w:tcPr>
          <w:p w14:paraId="168CF68A" w14:textId="3F9E7947" w:rsidR="00E3066E" w:rsidRPr="0076504A" w:rsidRDefault="00E3066E" w:rsidP="00236351">
            <w:pPr>
              <w:ind w:left="360"/>
              <w:jc w:val="both"/>
              <w:rPr>
                <w:rFonts w:ascii="Calibri" w:hAnsi="Calibri"/>
              </w:rPr>
            </w:pPr>
            <w:r w:rsidRPr="0076504A">
              <w:rPr>
                <w:rFonts w:ascii="Calibri" w:hAnsi="Calibri"/>
              </w:rPr>
              <w:t>These recommendations should not be used without consulting the ‘principles f</w:t>
            </w:r>
            <w:r w:rsidR="00AE3C0F">
              <w:rPr>
                <w:rFonts w:ascii="Calibri" w:hAnsi="Calibri"/>
              </w:rPr>
              <w:t xml:space="preserve">or switching’ section on page </w:t>
            </w:r>
            <w:r w:rsidR="00DC0F39">
              <w:rPr>
                <w:rFonts w:ascii="Calibri" w:hAnsi="Calibri"/>
              </w:rPr>
              <w:t>10</w:t>
            </w:r>
            <w:r w:rsidR="0076504A" w:rsidRPr="0076504A">
              <w:rPr>
                <w:rFonts w:ascii="Calibri" w:hAnsi="Calibri"/>
              </w:rPr>
              <w:t xml:space="preserve">. </w:t>
            </w:r>
          </w:p>
          <w:p w14:paraId="38DAC30F" w14:textId="77777777" w:rsidR="006E675F" w:rsidRPr="004E5002" w:rsidRDefault="00824220" w:rsidP="00236351">
            <w:pPr>
              <w:numPr>
                <w:ilvl w:val="0"/>
                <w:numId w:val="8"/>
              </w:numPr>
              <w:jc w:val="both"/>
              <w:rPr>
                <w:rFonts w:ascii="Calibri" w:hAnsi="Calibri"/>
              </w:rPr>
            </w:pPr>
            <w:r w:rsidRPr="004E5002">
              <w:rPr>
                <w:rFonts w:ascii="Calibri" w:hAnsi="Calibri" w:cs="Courier New"/>
              </w:rPr>
              <w:t xml:space="preserve">There are no </w:t>
            </w:r>
            <w:r w:rsidR="004E5002" w:rsidRPr="004E5002">
              <w:rPr>
                <w:rFonts w:ascii="Calibri" w:hAnsi="Calibri" w:cs="Courier New"/>
              </w:rPr>
              <w:t xml:space="preserve">generics available for tiagabine although the first patents have expired.  Therefore there is no </w:t>
            </w:r>
            <w:r w:rsidRPr="004E5002">
              <w:rPr>
                <w:rFonts w:ascii="Calibri" w:hAnsi="Calibri" w:cs="Courier New"/>
              </w:rPr>
              <w:t xml:space="preserve">specific data </w:t>
            </w:r>
            <w:r w:rsidR="004E5002" w:rsidRPr="004E5002">
              <w:rPr>
                <w:rFonts w:ascii="Calibri" w:hAnsi="Calibri" w:cs="Courier New"/>
              </w:rPr>
              <w:t xml:space="preserve">on switching brand tiagabine </w:t>
            </w:r>
            <w:r w:rsidRPr="004E5002">
              <w:rPr>
                <w:rFonts w:ascii="Calibri" w:hAnsi="Calibri" w:cs="Courier New"/>
              </w:rPr>
              <w:t xml:space="preserve">to </w:t>
            </w:r>
            <w:r w:rsidR="004E5002" w:rsidRPr="004E5002">
              <w:rPr>
                <w:rFonts w:ascii="Calibri" w:hAnsi="Calibri" w:cs="Courier New"/>
              </w:rPr>
              <w:t xml:space="preserve">generic.  </w:t>
            </w:r>
          </w:p>
          <w:p w14:paraId="3B79E666" w14:textId="77777777" w:rsidR="008A0EB8" w:rsidRPr="00457256" w:rsidRDefault="008A0EB8" w:rsidP="008A0EB8">
            <w:pPr>
              <w:ind w:left="360"/>
              <w:rPr>
                <w:rFonts w:ascii="Calibri" w:hAnsi="Calibri"/>
              </w:rPr>
            </w:pPr>
          </w:p>
        </w:tc>
      </w:tr>
      <w:tr w:rsidR="006E675F" w:rsidRPr="00457256" w14:paraId="14ED6249" w14:textId="77777777">
        <w:tc>
          <w:tcPr>
            <w:tcW w:w="8522" w:type="dxa"/>
            <w:gridSpan w:val="3"/>
            <w:shd w:val="clear" w:color="auto" w:fill="FF6600"/>
          </w:tcPr>
          <w:p w14:paraId="6BE03F68" w14:textId="77777777" w:rsidR="006E675F" w:rsidRPr="00457256" w:rsidRDefault="006E675F" w:rsidP="006E675F">
            <w:pPr>
              <w:rPr>
                <w:rFonts w:ascii="Calibri" w:hAnsi="Calibri"/>
              </w:rPr>
            </w:pPr>
            <w:r w:rsidRPr="00457256">
              <w:rPr>
                <w:rFonts w:ascii="Calibri" w:hAnsi="Calibri"/>
              </w:rPr>
              <w:t>Rationale</w:t>
            </w:r>
          </w:p>
        </w:tc>
      </w:tr>
      <w:tr w:rsidR="006E675F" w:rsidRPr="00457256" w14:paraId="76BE83FB" w14:textId="77777777">
        <w:tc>
          <w:tcPr>
            <w:tcW w:w="8522" w:type="dxa"/>
            <w:gridSpan w:val="3"/>
            <w:shd w:val="clear" w:color="auto" w:fill="auto"/>
          </w:tcPr>
          <w:p w14:paraId="2FEF1DE9" w14:textId="77777777" w:rsidR="002725ED" w:rsidRDefault="002725ED" w:rsidP="00852634">
            <w:pPr>
              <w:rPr>
                <w:rFonts w:ascii="Calibri" w:hAnsi="Calibri"/>
              </w:rPr>
            </w:pPr>
          </w:p>
          <w:p w14:paraId="51A7EBC6" w14:textId="77777777" w:rsidR="002725ED" w:rsidRDefault="002725ED" w:rsidP="000745D8">
            <w:pPr>
              <w:jc w:val="both"/>
              <w:rPr>
                <w:rFonts w:ascii="Calibri" w:hAnsi="Calibri"/>
              </w:rPr>
            </w:pPr>
            <w:r w:rsidRPr="00265D6C">
              <w:rPr>
                <w:rFonts w:ascii="Calibri" w:hAnsi="Calibri"/>
                <w:b/>
                <w:bCs/>
              </w:rPr>
              <w:t>MHRA-Category 3</w:t>
            </w:r>
            <w:r>
              <w:rPr>
                <w:rFonts w:ascii="Calibri" w:hAnsi="Calibri"/>
              </w:rPr>
              <w:t xml:space="preserve">: The potential for clinically relevant differences to exist between different manufacturers’ products is considered to be extremely low.  However, consider other patient/carer-related factors, such as negative perceptions about alternative products and/or issues related to the patient. </w:t>
            </w:r>
          </w:p>
          <w:p w14:paraId="66BB0169" w14:textId="77777777" w:rsidR="002725ED" w:rsidRDefault="002725ED" w:rsidP="00852634">
            <w:pPr>
              <w:rPr>
                <w:rFonts w:ascii="Calibri" w:hAnsi="Calibri"/>
              </w:rPr>
            </w:pPr>
          </w:p>
          <w:p w14:paraId="414741DD" w14:textId="77777777" w:rsidR="00360C20" w:rsidRPr="00360C20" w:rsidRDefault="00852634" w:rsidP="00236351">
            <w:pPr>
              <w:jc w:val="both"/>
              <w:rPr>
                <w:rFonts w:ascii="Calibri" w:hAnsi="Calibri" w:cs="Arial"/>
                <w:color w:val="000000"/>
              </w:rPr>
            </w:pPr>
            <w:r w:rsidRPr="00360C20">
              <w:rPr>
                <w:rFonts w:ascii="Calibri" w:hAnsi="Calibri"/>
                <w:b/>
              </w:rPr>
              <w:t>Half life</w:t>
            </w:r>
            <w:r w:rsidR="008A0EB8" w:rsidRPr="00360C20">
              <w:rPr>
                <w:rFonts w:ascii="Calibri" w:hAnsi="Calibri"/>
                <w:b/>
              </w:rPr>
              <w:t>:</w:t>
            </w:r>
            <w:r w:rsidR="00360C20">
              <w:rPr>
                <w:rFonts w:ascii="Arial" w:hAnsi="Arial" w:cs="Arial"/>
                <w:color w:val="000000"/>
              </w:rPr>
              <w:t xml:space="preserve"> </w:t>
            </w:r>
            <w:r w:rsidR="00360C20" w:rsidRPr="00360C20">
              <w:rPr>
                <w:rFonts w:ascii="Calibri" w:hAnsi="Calibri" w:cs="Arial"/>
                <w:color w:val="000000"/>
              </w:rPr>
              <w:t xml:space="preserve">Tiagabine: 7 to 9 hours.  </w:t>
            </w:r>
            <w:r w:rsidR="00360C20" w:rsidRPr="00AE3C0F">
              <w:rPr>
                <w:rFonts w:ascii="Calibri" w:hAnsi="Calibri" w:cs="Arial"/>
                <w:color w:val="000000"/>
              </w:rPr>
              <w:t>(Micromedex 2011)</w:t>
            </w:r>
            <w:r w:rsidR="00360C20" w:rsidRPr="00360C20">
              <w:rPr>
                <w:rFonts w:ascii="Calibri" w:hAnsi="Calibri" w:cs="Arial"/>
                <w:color w:val="000000"/>
              </w:rPr>
              <w:t xml:space="preserve"> </w:t>
            </w:r>
          </w:p>
          <w:p w14:paraId="65B68B3B" w14:textId="77777777" w:rsidR="00013A6F" w:rsidRPr="006D2965" w:rsidRDefault="00013A6F" w:rsidP="00236351">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sidRPr="008034D0">
              <w:rPr>
                <w:rFonts w:ascii="Calibri" w:hAnsi="Calibri" w:cs="AdvP7B6C"/>
                <w:color w:val="000000"/>
              </w:rPr>
              <w:t xml:space="preserve">  </w:t>
            </w:r>
            <w:r>
              <w:rPr>
                <w:rFonts w:ascii="Calibri" w:hAnsi="Calibri" w:cs="AdvP7B6C"/>
                <w:color w:val="000000"/>
              </w:rPr>
              <w:t>(high</w:t>
            </w:r>
            <w:r w:rsidRPr="008034D0">
              <w:rPr>
                <w:rFonts w:ascii="Calibri" w:hAnsi="Calibri" w:cs="AdvP7B6C"/>
                <w:color w:val="000000"/>
              </w:rPr>
              <w:t xml:space="preserve"> solubility/high permeability</w:t>
            </w:r>
            <w:r>
              <w:rPr>
                <w:rFonts w:ascii="Calibri" w:hAnsi="Calibri" w:cs="AdvP7B6C"/>
                <w:color w:val="000000"/>
              </w:rPr>
              <w:t>)</w:t>
            </w:r>
          </w:p>
          <w:p w14:paraId="27084F5F" w14:textId="77777777" w:rsidR="00013A6F" w:rsidRPr="00AE3C0F" w:rsidRDefault="00013A6F" w:rsidP="00236351">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 </w:t>
            </w:r>
          </w:p>
          <w:p w14:paraId="04D9A96F" w14:textId="77777777" w:rsidR="00852634" w:rsidRDefault="00852634" w:rsidP="00236351">
            <w:pPr>
              <w:jc w:val="both"/>
              <w:rPr>
                <w:rFonts w:ascii="Calibri" w:hAnsi="Calibri"/>
              </w:rPr>
            </w:pPr>
          </w:p>
          <w:p w14:paraId="2D45CA76" w14:textId="77777777" w:rsidR="006E675F" w:rsidRDefault="00452E9B" w:rsidP="00236351">
            <w:pPr>
              <w:jc w:val="both"/>
              <w:rPr>
                <w:rFonts w:ascii="Calibri" w:hAnsi="Calibri"/>
              </w:rPr>
            </w:pPr>
            <w:r w:rsidRPr="00457256">
              <w:rPr>
                <w:rFonts w:ascii="Calibri" w:hAnsi="Calibri"/>
              </w:rPr>
              <w:t>A literature search retrieved no relevant studies.</w:t>
            </w:r>
          </w:p>
          <w:p w14:paraId="6974E11D" w14:textId="77777777" w:rsidR="00852634" w:rsidRDefault="00852634" w:rsidP="006E675F">
            <w:pPr>
              <w:rPr>
                <w:rFonts w:ascii="Calibri" w:hAnsi="Calibri"/>
              </w:rPr>
            </w:pPr>
          </w:p>
          <w:p w14:paraId="43ED03FB" w14:textId="77777777" w:rsidR="00852634" w:rsidRPr="00457256" w:rsidRDefault="00852634" w:rsidP="006E675F">
            <w:pPr>
              <w:rPr>
                <w:rFonts w:ascii="Calibri" w:hAnsi="Calibri"/>
              </w:rPr>
            </w:pPr>
          </w:p>
        </w:tc>
      </w:tr>
    </w:tbl>
    <w:p w14:paraId="05DA1F2F" w14:textId="77777777" w:rsidR="006E675F" w:rsidRPr="0018137D" w:rsidRDefault="006E675F" w:rsidP="006E675F">
      <w:pPr>
        <w:rPr>
          <w:rFonts w:ascii="Calibri" w:hAnsi="Calibri"/>
        </w:rPr>
      </w:pPr>
    </w:p>
    <w:p w14:paraId="1BEB103D" w14:textId="77777777" w:rsidR="00A51839" w:rsidRPr="0018137D" w:rsidRDefault="00A51839">
      <w:pPr>
        <w:rPr>
          <w:rFonts w:ascii="Calibri" w:hAnsi="Calibri"/>
        </w:rPr>
      </w:pPr>
    </w:p>
    <w:p w14:paraId="23DAB68C" w14:textId="77777777" w:rsidR="00D9226A" w:rsidRPr="0018137D" w:rsidRDefault="0076504A">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D9226A" w:rsidRPr="00457256" w14:paraId="649ED318" w14:textId="77777777">
        <w:tc>
          <w:tcPr>
            <w:tcW w:w="8522" w:type="dxa"/>
            <w:gridSpan w:val="3"/>
            <w:tcBorders>
              <w:top w:val="nil"/>
              <w:left w:val="nil"/>
              <w:bottom w:val="nil"/>
              <w:right w:val="nil"/>
            </w:tcBorders>
            <w:shd w:val="clear" w:color="auto" w:fill="FF6600"/>
          </w:tcPr>
          <w:p w14:paraId="1899F027" w14:textId="77777777" w:rsidR="00D9226A" w:rsidRPr="00457256" w:rsidRDefault="00D9226A" w:rsidP="001D423C">
            <w:pPr>
              <w:pStyle w:val="Heading3"/>
              <w:rPr>
                <w:rFonts w:ascii="Calibri" w:hAnsi="Calibri"/>
              </w:rPr>
            </w:pPr>
            <w:bookmarkStart w:id="21" w:name="_Topiramate"/>
            <w:bookmarkEnd w:id="21"/>
            <w:r w:rsidRPr="00457256">
              <w:rPr>
                <w:rFonts w:ascii="Calibri" w:hAnsi="Calibri"/>
              </w:rPr>
              <w:t>Topiramate</w:t>
            </w:r>
          </w:p>
        </w:tc>
      </w:tr>
      <w:tr w:rsidR="00D9226A" w:rsidRPr="00457256" w14:paraId="14312A35" w14:textId="77777777">
        <w:tc>
          <w:tcPr>
            <w:tcW w:w="8522" w:type="dxa"/>
            <w:gridSpan w:val="3"/>
            <w:tcBorders>
              <w:top w:val="nil"/>
            </w:tcBorders>
            <w:shd w:val="clear" w:color="auto" w:fill="000000"/>
          </w:tcPr>
          <w:p w14:paraId="3C153223" w14:textId="77777777" w:rsidR="00D9226A" w:rsidRPr="00457256" w:rsidRDefault="00D9226A" w:rsidP="006E675F">
            <w:pPr>
              <w:rPr>
                <w:rFonts w:ascii="Calibri" w:hAnsi="Calibri"/>
              </w:rPr>
            </w:pPr>
          </w:p>
        </w:tc>
      </w:tr>
      <w:tr w:rsidR="006E675F" w:rsidRPr="00457256" w14:paraId="6CE15BC7" w14:textId="77777777">
        <w:tc>
          <w:tcPr>
            <w:tcW w:w="1908" w:type="dxa"/>
            <w:vMerge w:val="restart"/>
            <w:shd w:val="clear" w:color="auto" w:fill="auto"/>
            <w:vAlign w:val="center"/>
          </w:tcPr>
          <w:p w14:paraId="3D2CDD4A" w14:textId="77777777" w:rsidR="006E675F" w:rsidRPr="00457256" w:rsidRDefault="006E675F" w:rsidP="006E675F">
            <w:pPr>
              <w:rPr>
                <w:rFonts w:ascii="Calibri" w:hAnsi="Calibri"/>
              </w:rPr>
            </w:pPr>
            <w:r w:rsidRPr="00457256">
              <w:rPr>
                <w:rFonts w:ascii="Calibri" w:hAnsi="Calibri"/>
              </w:rPr>
              <w:t>Forms available</w:t>
            </w:r>
          </w:p>
        </w:tc>
        <w:tc>
          <w:tcPr>
            <w:tcW w:w="2700" w:type="dxa"/>
            <w:shd w:val="clear" w:color="auto" w:fill="auto"/>
          </w:tcPr>
          <w:p w14:paraId="7D3235E6" w14:textId="77777777" w:rsidR="006E675F" w:rsidRPr="00457256" w:rsidRDefault="006E675F" w:rsidP="006E675F">
            <w:pPr>
              <w:rPr>
                <w:rFonts w:ascii="Calibri" w:hAnsi="Calibri"/>
              </w:rPr>
            </w:pPr>
            <w:r w:rsidRPr="00457256">
              <w:rPr>
                <w:rFonts w:ascii="Calibri" w:hAnsi="Calibri"/>
              </w:rPr>
              <w:t>Capsules (sprinkle)</w:t>
            </w:r>
          </w:p>
        </w:tc>
        <w:tc>
          <w:tcPr>
            <w:tcW w:w="3914" w:type="dxa"/>
            <w:shd w:val="clear" w:color="auto" w:fill="auto"/>
          </w:tcPr>
          <w:p w14:paraId="0A4AA67A" w14:textId="77777777" w:rsidR="006E675F" w:rsidRPr="00457256" w:rsidRDefault="006E675F" w:rsidP="006E675F">
            <w:pPr>
              <w:rPr>
                <w:rFonts w:ascii="Calibri" w:hAnsi="Calibri"/>
              </w:rPr>
            </w:pPr>
            <w:r w:rsidRPr="00457256">
              <w:rPr>
                <w:rFonts w:ascii="Calibri" w:hAnsi="Calibri"/>
              </w:rPr>
              <w:t>15mg, 25mg, 50mg</w:t>
            </w:r>
          </w:p>
        </w:tc>
      </w:tr>
      <w:tr w:rsidR="006E675F" w:rsidRPr="00457256" w14:paraId="7BC95E95" w14:textId="77777777">
        <w:tc>
          <w:tcPr>
            <w:tcW w:w="1908" w:type="dxa"/>
            <w:vMerge/>
            <w:shd w:val="clear" w:color="auto" w:fill="auto"/>
          </w:tcPr>
          <w:p w14:paraId="1C8AC9BF" w14:textId="77777777" w:rsidR="006E675F" w:rsidRPr="00457256" w:rsidRDefault="006E675F" w:rsidP="006E675F">
            <w:pPr>
              <w:rPr>
                <w:rFonts w:ascii="Calibri" w:hAnsi="Calibri"/>
              </w:rPr>
            </w:pPr>
          </w:p>
        </w:tc>
        <w:tc>
          <w:tcPr>
            <w:tcW w:w="2700" w:type="dxa"/>
            <w:shd w:val="clear" w:color="auto" w:fill="auto"/>
          </w:tcPr>
          <w:p w14:paraId="136A5FF5" w14:textId="77777777" w:rsidR="006E675F" w:rsidRPr="00457256" w:rsidRDefault="006E675F" w:rsidP="006E675F">
            <w:pPr>
              <w:rPr>
                <w:rFonts w:ascii="Calibri" w:hAnsi="Calibri"/>
              </w:rPr>
            </w:pPr>
            <w:r w:rsidRPr="00457256">
              <w:rPr>
                <w:rFonts w:ascii="Calibri" w:hAnsi="Calibri"/>
              </w:rPr>
              <w:t>Tablets</w:t>
            </w:r>
          </w:p>
        </w:tc>
        <w:tc>
          <w:tcPr>
            <w:tcW w:w="3914" w:type="dxa"/>
            <w:shd w:val="clear" w:color="auto" w:fill="auto"/>
          </w:tcPr>
          <w:p w14:paraId="72EFFCFD" w14:textId="77777777" w:rsidR="006E675F" w:rsidRPr="00457256" w:rsidRDefault="006E675F" w:rsidP="006E675F">
            <w:pPr>
              <w:rPr>
                <w:rFonts w:ascii="Calibri" w:hAnsi="Calibri"/>
              </w:rPr>
            </w:pPr>
            <w:r w:rsidRPr="00457256">
              <w:rPr>
                <w:rFonts w:ascii="Calibri" w:hAnsi="Calibri"/>
              </w:rPr>
              <w:t>25mg, 50mg, 100mg, 200mg</w:t>
            </w:r>
          </w:p>
        </w:tc>
      </w:tr>
      <w:tr w:rsidR="00D9226A" w:rsidRPr="00457256" w14:paraId="3DF91C56" w14:textId="77777777">
        <w:tc>
          <w:tcPr>
            <w:tcW w:w="1908" w:type="dxa"/>
            <w:shd w:val="clear" w:color="auto" w:fill="auto"/>
          </w:tcPr>
          <w:p w14:paraId="773E70E3" w14:textId="77777777" w:rsidR="00D9226A" w:rsidRPr="00457256" w:rsidRDefault="00D9226A" w:rsidP="006E675F">
            <w:pPr>
              <w:rPr>
                <w:rFonts w:ascii="Calibri" w:hAnsi="Calibri"/>
              </w:rPr>
            </w:pPr>
            <w:r w:rsidRPr="00457256">
              <w:rPr>
                <w:rFonts w:ascii="Calibri" w:hAnsi="Calibri"/>
              </w:rPr>
              <w:t>Brands available</w:t>
            </w:r>
          </w:p>
        </w:tc>
        <w:tc>
          <w:tcPr>
            <w:tcW w:w="6614" w:type="dxa"/>
            <w:gridSpan w:val="2"/>
            <w:shd w:val="clear" w:color="auto" w:fill="auto"/>
          </w:tcPr>
          <w:p w14:paraId="317DB0EC" w14:textId="77777777" w:rsidR="00D9226A" w:rsidRPr="00457256" w:rsidRDefault="006E675F" w:rsidP="006E675F">
            <w:pPr>
              <w:rPr>
                <w:rFonts w:ascii="Calibri" w:hAnsi="Calibri"/>
              </w:rPr>
            </w:pPr>
            <w:r w:rsidRPr="00457256">
              <w:rPr>
                <w:rFonts w:ascii="Calibri" w:hAnsi="Calibri"/>
              </w:rPr>
              <w:t>Non-proprietary, Topamax</w:t>
            </w:r>
          </w:p>
        </w:tc>
      </w:tr>
      <w:tr w:rsidR="00D9226A" w:rsidRPr="00457256" w14:paraId="39171AB1" w14:textId="77777777">
        <w:tc>
          <w:tcPr>
            <w:tcW w:w="8522" w:type="dxa"/>
            <w:gridSpan w:val="3"/>
            <w:shd w:val="clear" w:color="auto" w:fill="FF6600"/>
          </w:tcPr>
          <w:p w14:paraId="18C0D77A"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3E85BE6F" w14:textId="77777777">
        <w:tc>
          <w:tcPr>
            <w:tcW w:w="8522" w:type="dxa"/>
            <w:gridSpan w:val="3"/>
            <w:shd w:val="clear" w:color="auto" w:fill="auto"/>
          </w:tcPr>
          <w:p w14:paraId="4667DB0E" w14:textId="1908B4EC" w:rsidR="00E3066E" w:rsidRDefault="00E3066E" w:rsidP="00236351">
            <w:pPr>
              <w:ind w:left="360"/>
              <w:jc w:val="both"/>
              <w:rPr>
                <w:rFonts w:ascii="Calibri" w:hAnsi="Calibri"/>
              </w:rPr>
            </w:pPr>
            <w:r w:rsidRPr="0076504A">
              <w:rPr>
                <w:rFonts w:ascii="Calibri" w:hAnsi="Calibri"/>
              </w:rPr>
              <w:t>These recommendations should not be used without consulting the ‘principles for s</w:t>
            </w:r>
            <w:r w:rsidR="00AE3C0F">
              <w:rPr>
                <w:rFonts w:ascii="Calibri" w:hAnsi="Calibri"/>
              </w:rPr>
              <w:t xml:space="preserve">witching’ section on page </w:t>
            </w:r>
            <w:r w:rsidR="00DC0F39">
              <w:rPr>
                <w:rFonts w:ascii="Calibri" w:hAnsi="Calibri"/>
              </w:rPr>
              <w:t>10</w:t>
            </w:r>
            <w:r w:rsidR="0076504A" w:rsidRPr="0076504A">
              <w:rPr>
                <w:rFonts w:ascii="Calibri" w:hAnsi="Calibri"/>
              </w:rPr>
              <w:t>.</w:t>
            </w:r>
          </w:p>
          <w:p w14:paraId="194B915D" w14:textId="77777777" w:rsidR="00D9226A" w:rsidRDefault="00EB7A32" w:rsidP="00236351">
            <w:pPr>
              <w:numPr>
                <w:ilvl w:val="0"/>
                <w:numId w:val="8"/>
              </w:numPr>
              <w:jc w:val="both"/>
              <w:rPr>
                <w:rFonts w:ascii="Calibri" w:hAnsi="Calibri"/>
              </w:rPr>
            </w:pPr>
            <w:r>
              <w:rPr>
                <w:rFonts w:ascii="Calibri" w:hAnsi="Calibri"/>
              </w:rPr>
              <w:t>The limited evidence would support cautious switching in most patients.</w:t>
            </w:r>
          </w:p>
          <w:p w14:paraId="03145822" w14:textId="77777777" w:rsidR="007051EA" w:rsidRPr="00457256" w:rsidRDefault="007051EA" w:rsidP="007051EA">
            <w:pPr>
              <w:ind w:left="360"/>
              <w:rPr>
                <w:rFonts w:ascii="Calibri" w:hAnsi="Calibri"/>
              </w:rPr>
            </w:pPr>
          </w:p>
        </w:tc>
      </w:tr>
      <w:tr w:rsidR="00D9226A" w:rsidRPr="00457256" w14:paraId="69CD2133" w14:textId="77777777">
        <w:tc>
          <w:tcPr>
            <w:tcW w:w="8522" w:type="dxa"/>
            <w:gridSpan w:val="3"/>
            <w:shd w:val="clear" w:color="auto" w:fill="FF6600"/>
          </w:tcPr>
          <w:p w14:paraId="2BE77701" w14:textId="77777777" w:rsidR="00D9226A" w:rsidRPr="00457256" w:rsidRDefault="00D9226A" w:rsidP="006E675F">
            <w:pPr>
              <w:rPr>
                <w:rFonts w:ascii="Calibri" w:hAnsi="Calibri"/>
              </w:rPr>
            </w:pPr>
            <w:r w:rsidRPr="00457256">
              <w:rPr>
                <w:rFonts w:ascii="Calibri" w:hAnsi="Calibri"/>
              </w:rPr>
              <w:t>Rationale</w:t>
            </w:r>
          </w:p>
        </w:tc>
      </w:tr>
      <w:tr w:rsidR="00D9226A" w:rsidRPr="00457256" w14:paraId="69906C15" w14:textId="77777777">
        <w:tc>
          <w:tcPr>
            <w:tcW w:w="8522" w:type="dxa"/>
            <w:gridSpan w:val="3"/>
            <w:shd w:val="clear" w:color="auto" w:fill="auto"/>
          </w:tcPr>
          <w:p w14:paraId="24BC000E" w14:textId="5B5AE1FD" w:rsidR="00214533" w:rsidRDefault="00214533" w:rsidP="006E675F">
            <w:pPr>
              <w:rPr>
                <w:rFonts w:ascii="Calibri" w:hAnsi="Calibri"/>
                <w:color w:val="000000"/>
              </w:rPr>
            </w:pPr>
          </w:p>
          <w:p w14:paraId="3B3FC6AB" w14:textId="47B5B927" w:rsidR="00214533" w:rsidRDefault="00214533" w:rsidP="000745D8">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pa</w:t>
            </w:r>
            <w:r w:rsidR="004F7DCF">
              <w:rPr>
                <w:rFonts w:ascii="Calibri" w:hAnsi="Calibri"/>
              </w:rPr>
              <w:t>ti</w:t>
            </w:r>
            <w:r>
              <w:rPr>
                <w:rFonts w:ascii="Calibri" w:hAnsi="Calibri"/>
              </w:rPr>
              <w:t xml:space="preserve">ent and/or carer, taking into account factors such as seizure frequency and treatment history.  Take into account patient/carer-related factors such as their negative perceptions about alternative products and/or other issues related to the patient. </w:t>
            </w:r>
          </w:p>
          <w:p w14:paraId="489C9CFF" w14:textId="77777777" w:rsidR="00214533" w:rsidRPr="0072213D" w:rsidRDefault="00214533" w:rsidP="000745D8">
            <w:pPr>
              <w:jc w:val="both"/>
              <w:rPr>
                <w:rFonts w:ascii="Calibri" w:hAnsi="Calibri"/>
                <w:color w:val="000000"/>
              </w:rPr>
            </w:pPr>
          </w:p>
          <w:p w14:paraId="2307E4A5" w14:textId="77777777" w:rsidR="00160125" w:rsidRDefault="00160125" w:rsidP="00236351">
            <w:pPr>
              <w:jc w:val="both"/>
              <w:rPr>
                <w:rFonts w:ascii="Calibri" w:hAnsi="Calibri"/>
              </w:rPr>
            </w:pPr>
            <w:r w:rsidRPr="0071019F">
              <w:rPr>
                <w:rFonts w:ascii="Calibri" w:hAnsi="Calibri"/>
                <w:b/>
              </w:rPr>
              <w:t>Half life</w:t>
            </w:r>
            <w:r w:rsidR="007051EA" w:rsidRPr="0071019F">
              <w:rPr>
                <w:rFonts w:ascii="Calibri" w:hAnsi="Calibri"/>
                <w:b/>
              </w:rPr>
              <w:t>:</w:t>
            </w:r>
            <w:r w:rsidR="0071019F">
              <w:rPr>
                <w:rFonts w:ascii="Calibri" w:hAnsi="Calibri"/>
              </w:rPr>
              <w:t xml:space="preserve">  Topiramate: 21 hours </w:t>
            </w:r>
            <w:r w:rsidR="0071019F" w:rsidRPr="00AE3C0F">
              <w:rPr>
                <w:rFonts w:ascii="Calibri" w:hAnsi="Calibri"/>
              </w:rPr>
              <w:t>(Micromedex 2012)</w:t>
            </w:r>
          </w:p>
          <w:p w14:paraId="00DB4D69" w14:textId="77777777" w:rsidR="00013A6F" w:rsidRPr="006D2965" w:rsidRDefault="00013A6F" w:rsidP="00236351">
            <w:pPr>
              <w:jc w:val="both"/>
              <w:rPr>
                <w:rFonts w:ascii="Calibri" w:hAnsi="Calibri" w:cs="Arial"/>
              </w:rPr>
            </w:pPr>
            <w:r w:rsidRPr="00AE3C0F">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sidRPr="008034D0">
              <w:rPr>
                <w:rFonts w:ascii="Calibri" w:hAnsi="Calibri" w:cs="AdvP7B6C"/>
                <w:color w:val="000000"/>
              </w:rPr>
              <w:t xml:space="preserve">  </w:t>
            </w:r>
            <w:r>
              <w:rPr>
                <w:rFonts w:ascii="Calibri" w:hAnsi="Calibri" w:cs="AdvP7B6C"/>
                <w:color w:val="000000"/>
              </w:rPr>
              <w:t>(high</w:t>
            </w:r>
            <w:r w:rsidRPr="008034D0">
              <w:rPr>
                <w:rFonts w:ascii="Calibri" w:hAnsi="Calibri" w:cs="AdvP7B6C"/>
                <w:color w:val="000000"/>
              </w:rPr>
              <w:t xml:space="preserve"> solubility/high permeability</w:t>
            </w:r>
            <w:r>
              <w:rPr>
                <w:rFonts w:ascii="Calibri" w:hAnsi="Calibri" w:cs="AdvP7B6C"/>
                <w:color w:val="000000"/>
              </w:rPr>
              <w:t>)</w:t>
            </w:r>
          </w:p>
          <w:p w14:paraId="783562D9" w14:textId="77777777" w:rsidR="00013A6F" w:rsidRPr="00AE3C0F" w:rsidRDefault="00013A6F" w:rsidP="00236351">
            <w:pPr>
              <w:autoSpaceDE w:val="0"/>
              <w:autoSpaceDN w:val="0"/>
              <w:adjustRightInd w:val="0"/>
              <w:jc w:val="both"/>
              <w:rPr>
                <w:rFonts w:ascii="Calibri" w:hAnsi="Calibri" w:cs="AdvPS9779"/>
              </w:rPr>
            </w:pPr>
            <w:r w:rsidRPr="00AE3C0F">
              <w:rPr>
                <w:rFonts w:ascii="Calibri" w:hAnsi="Calibri" w:cs="AdvP7B72"/>
              </w:rPr>
              <w:t>(Anderson</w:t>
            </w:r>
            <w:r w:rsidRPr="00AE3C0F">
              <w:rPr>
                <w:rFonts w:ascii="Calibri" w:hAnsi="Calibri"/>
              </w:rPr>
              <w:t xml:space="preserve"> 2008) </w:t>
            </w:r>
          </w:p>
          <w:p w14:paraId="331E1765" w14:textId="77777777" w:rsidR="00160125" w:rsidRDefault="00160125" w:rsidP="00236351">
            <w:pPr>
              <w:jc w:val="both"/>
              <w:rPr>
                <w:rFonts w:ascii="Calibri" w:hAnsi="Calibri"/>
              </w:rPr>
            </w:pPr>
          </w:p>
          <w:p w14:paraId="247446C0" w14:textId="77777777" w:rsidR="00160125" w:rsidRPr="003558F4" w:rsidRDefault="00160125" w:rsidP="00236351">
            <w:pPr>
              <w:jc w:val="both"/>
              <w:rPr>
                <w:rFonts w:ascii="Calibri" w:hAnsi="Calibri"/>
              </w:rPr>
            </w:pPr>
            <w:r w:rsidRPr="003558F4">
              <w:rPr>
                <w:rFonts w:ascii="Calibri" w:hAnsi="Calibri"/>
              </w:rPr>
              <w:t xml:space="preserve">A literature search retrieved </w:t>
            </w:r>
            <w:r>
              <w:rPr>
                <w:rFonts w:ascii="Calibri" w:hAnsi="Calibri"/>
              </w:rPr>
              <w:t>8</w:t>
            </w:r>
            <w:r w:rsidRPr="003558F4">
              <w:rPr>
                <w:rFonts w:ascii="Calibri" w:hAnsi="Calibri"/>
              </w:rPr>
              <w:t xml:space="preserve"> relevant studies.  There were various different types of data found including 3 bioequivalence studies, (one Mexican, one Dutch and one of unknown origin)</w:t>
            </w:r>
            <w:r>
              <w:rPr>
                <w:rFonts w:ascii="Calibri" w:hAnsi="Calibri"/>
              </w:rPr>
              <w:t xml:space="preserve">, </w:t>
            </w:r>
            <w:r w:rsidRPr="003558F4">
              <w:rPr>
                <w:rFonts w:ascii="Calibri" w:hAnsi="Calibri"/>
              </w:rPr>
              <w:t xml:space="preserve">2 </w:t>
            </w:r>
            <w:r>
              <w:rPr>
                <w:rFonts w:ascii="Calibri" w:hAnsi="Calibri"/>
              </w:rPr>
              <w:t xml:space="preserve">Canadian </w:t>
            </w:r>
            <w:r w:rsidRPr="003558F4">
              <w:rPr>
                <w:rFonts w:ascii="Calibri" w:hAnsi="Calibri"/>
              </w:rPr>
              <w:t xml:space="preserve">data analysis studies </w:t>
            </w:r>
            <w:r>
              <w:rPr>
                <w:rFonts w:ascii="Calibri" w:hAnsi="Calibri"/>
              </w:rPr>
              <w:t>using</w:t>
            </w:r>
            <w:r w:rsidRPr="003558F4">
              <w:rPr>
                <w:rFonts w:ascii="Calibri" w:hAnsi="Calibri"/>
              </w:rPr>
              <w:t xml:space="preserve"> healthcare claims databases, and a Canadian economic analysis</w:t>
            </w:r>
            <w:r>
              <w:rPr>
                <w:rFonts w:ascii="Calibri" w:hAnsi="Calibri"/>
              </w:rPr>
              <w:t xml:space="preserve"> and </w:t>
            </w:r>
            <w:r w:rsidRPr="003558F4">
              <w:rPr>
                <w:rFonts w:ascii="Calibri" w:hAnsi="Calibri"/>
              </w:rPr>
              <w:t>2 observational studies (one Russian and one Polish) which investigated seizure frequency after switching from brand to generic.</w:t>
            </w:r>
          </w:p>
          <w:p w14:paraId="1BCAEB0D" w14:textId="77777777" w:rsidR="00160125" w:rsidRDefault="00160125" w:rsidP="00236351">
            <w:pPr>
              <w:jc w:val="both"/>
              <w:rPr>
                <w:rFonts w:ascii="Calibri" w:hAnsi="Calibri" w:cs="Arial"/>
                <w:b/>
                <w:u w:val="single"/>
              </w:rPr>
            </w:pPr>
          </w:p>
          <w:p w14:paraId="52A80725" w14:textId="77777777" w:rsidR="00564B08" w:rsidRDefault="00564B08" w:rsidP="00236351">
            <w:pPr>
              <w:jc w:val="both"/>
              <w:rPr>
                <w:rFonts w:ascii="Calibri" w:hAnsi="Calibri"/>
              </w:rPr>
            </w:pPr>
            <w:r>
              <w:rPr>
                <w:rFonts w:ascii="Calibri" w:hAnsi="Calibri"/>
              </w:rPr>
              <w:t xml:space="preserve">Due to the volume of information on gabapentin the evidence reported below is a brief summary and more information can be found in appendix </w:t>
            </w:r>
            <w:r w:rsidR="00AE3C0F">
              <w:rPr>
                <w:rFonts w:ascii="Calibri" w:hAnsi="Calibri"/>
              </w:rPr>
              <w:t>7</w:t>
            </w:r>
            <w:r>
              <w:rPr>
                <w:rFonts w:ascii="Calibri" w:hAnsi="Calibri"/>
              </w:rPr>
              <w:t>.</w:t>
            </w:r>
          </w:p>
          <w:p w14:paraId="132703D7" w14:textId="77777777" w:rsidR="00564B08" w:rsidRDefault="00564B08" w:rsidP="00236351">
            <w:pPr>
              <w:jc w:val="both"/>
              <w:rPr>
                <w:rFonts w:ascii="Calibri" w:hAnsi="Calibri" w:cs="Arial"/>
                <w:b/>
                <w:u w:val="single"/>
              </w:rPr>
            </w:pPr>
          </w:p>
          <w:p w14:paraId="5ACB0A13" w14:textId="218CEA4E" w:rsidR="00D15845" w:rsidRPr="00AE3C0F" w:rsidRDefault="00564B08" w:rsidP="00236351">
            <w:pPr>
              <w:autoSpaceDE w:val="0"/>
              <w:autoSpaceDN w:val="0"/>
              <w:adjustRightInd w:val="0"/>
              <w:jc w:val="both"/>
              <w:rPr>
                <w:rFonts w:ascii="Calibri" w:hAnsi="Calibri"/>
                <w:color w:val="000000"/>
              </w:rPr>
            </w:pPr>
            <w:r>
              <w:rPr>
                <w:rFonts w:ascii="Calibri" w:hAnsi="Calibri" w:cs="Arial"/>
              </w:rPr>
              <w:t>A Mexican study comparing single-dose brand and generic topiram</w:t>
            </w:r>
            <w:r w:rsidR="004F7DCF">
              <w:rPr>
                <w:rFonts w:ascii="Calibri" w:hAnsi="Calibri" w:cs="Arial"/>
              </w:rPr>
              <w:t>a</w:t>
            </w:r>
            <w:r>
              <w:rPr>
                <w:rFonts w:ascii="Calibri" w:hAnsi="Calibri" w:cs="Arial"/>
              </w:rPr>
              <w:t xml:space="preserve">te in </w:t>
            </w:r>
            <w:r w:rsidRPr="003558F4">
              <w:rPr>
                <w:rFonts w:ascii="Calibri" w:hAnsi="Calibri" w:cs="Arial"/>
              </w:rPr>
              <w:t xml:space="preserve">28 healthy male volunteers </w:t>
            </w:r>
            <w:r>
              <w:rPr>
                <w:rFonts w:ascii="Calibri" w:hAnsi="Calibri" w:cs="Arial"/>
              </w:rPr>
              <w:t xml:space="preserve">did not report any </w:t>
            </w:r>
            <w:r w:rsidRPr="003558F4">
              <w:rPr>
                <w:rFonts w:ascii="Calibri" w:hAnsi="Calibri" w:cs="Times Roman"/>
              </w:rPr>
              <w:t xml:space="preserve">adverse events by the participants.  </w:t>
            </w:r>
            <w:r w:rsidRPr="003558F4">
              <w:rPr>
                <w:rFonts w:ascii="Calibri" w:hAnsi="Calibri" w:cs="Arial"/>
              </w:rPr>
              <w:t xml:space="preserve">This study did not find any </w:t>
            </w:r>
            <w:r w:rsidRPr="00AE3C0F">
              <w:rPr>
                <w:rFonts w:ascii="Calibri" w:hAnsi="Calibri" w:cs="Arial"/>
              </w:rPr>
              <w:t>statistically significant differences in AUC or Cmax concentrations between generic and brand topiramate, and were within the bioequivalence limits of 0.80 – 1.25 (90% CI).  (</w:t>
            </w:r>
            <w:r w:rsidRPr="00AE3C0F">
              <w:rPr>
                <w:rFonts w:ascii="Calibri" w:hAnsi="Calibri" w:cs="Times Roman"/>
              </w:rPr>
              <w:t>Pineyro-Lopez 2009)</w:t>
            </w:r>
            <w:r w:rsidR="00D15845" w:rsidRPr="00AE3C0F">
              <w:rPr>
                <w:rFonts w:ascii="Calibri" w:hAnsi="Calibri" w:cs="Arial"/>
              </w:rPr>
              <w:t xml:space="preserve"> Another study bioequivalence study also found no significant differences in AUC or Cmax according to the recommended limits 0.80 – 1.25 (90% CI).</w:t>
            </w:r>
            <w:r w:rsidR="00D15845" w:rsidRPr="00AE3C0F">
              <w:rPr>
                <w:rFonts w:ascii="Calibri" w:hAnsi="Calibri"/>
              </w:rPr>
              <w:t xml:space="preserve"> (Saavedra</w:t>
            </w:r>
            <w:r w:rsidR="00D15845" w:rsidRPr="00AE3C0F">
              <w:rPr>
                <w:rFonts w:ascii="Calibri" w:hAnsi="Calibri"/>
                <w:color w:val="000000"/>
              </w:rPr>
              <w:t xml:space="preserve"> 2010</w:t>
            </w:r>
            <w:r w:rsidR="00266353">
              <w:rPr>
                <w:rFonts w:ascii="Calibri" w:hAnsi="Calibri"/>
                <w:color w:val="000000"/>
              </w:rPr>
              <w:t xml:space="preserve"> - </w:t>
            </w:r>
            <w:r w:rsidR="00D15845" w:rsidRPr="00266353">
              <w:rPr>
                <w:rStyle w:val="Strong"/>
                <w:rFonts w:ascii="Calibri" w:hAnsi="Calibri"/>
                <w:b w:val="0"/>
                <w:color w:val="000000"/>
              </w:rPr>
              <w:t>Abstract only)</w:t>
            </w:r>
          </w:p>
          <w:p w14:paraId="3A4E52DE" w14:textId="77777777" w:rsidR="00A22E22" w:rsidRPr="00AE3C0F" w:rsidRDefault="00A22E22" w:rsidP="00236351">
            <w:pPr>
              <w:jc w:val="both"/>
              <w:rPr>
                <w:rFonts w:ascii="Calibri" w:hAnsi="Calibri" w:cs="Arial"/>
                <w:u w:val="single"/>
              </w:rPr>
            </w:pPr>
          </w:p>
          <w:p w14:paraId="69CDF1ED" w14:textId="77777777" w:rsidR="00564B08" w:rsidRDefault="00564B08" w:rsidP="00236351">
            <w:pPr>
              <w:autoSpaceDE w:val="0"/>
              <w:autoSpaceDN w:val="0"/>
              <w:adjustRightInd w:val="0"/>
              <w:jc w:val="both"/>
              <w:rPr>
                <w:rFonts w:ascii="Calibri" w:hAnsi="Calibri" w:cs="HelveticaNeue-Light"/>
              </w:rPr>
            </w:pPr>
            <w:r w:rsidRPr="00AE3C0F">
              <w:rPr>
                <w:rFonts w:ascii="Calibri" w:hAnsi="Calibri"/>
                <w:color w:val="000000"/>
              </w:rPr>
              <w:t xml:space="preserve">A Dutch study looked at looked at bioequivalence data </w:t>
            </w:r>
            <w:r w:rsidR="00A22E22" w:rsidRPr="00AE3C0F">
              <w:rPr>
                <w:rFonts w:ascii="Calibri" w:hAnsi="Calibri"/>
                <w:color w:val="000000"/>
              </w:rPr>
              <w:t xml:space="preserve">for </w:t>
            </w:r>
            <w:r w:rsidRPr="00AE3C0F">
              <w:rPr>
                <w:rFonts w:ascii="Calibri" w:hAnsi="Calibri"/>
                <w:color w:val="000000"/>
              </w:rPr>
              <w:t xml:space="preserve">13 different 200mg generic topiramate products with approval based on 7 different bioequivalence studies each using the same brand, Topamax (Janssen-Cilag).  </w:t>
            </w:r>
            <w:r w:rsidRPr="00AE3C0F">
              <w:rPr>
                <w:rFonts w:ascii="Calibri" w:hAnsi="Calibri"/>
                <w:color w:val="131413"/>
              </w:rPr>
              <w:t>For all topiramate generic-generic comparisons, 90% confidence intervals obtained using exposure-normalised AUC and Cmax values were within the 80–125% range. Comparison of the absolute, not-normalised AUC and Cmax, both for the generic and the brand Topamax, yielded a number of 90% confidence intervals outside the 80–125% range for bioequivalence. However, a very similar pattern of 90% confidence intervals was observed for the generic-generic and brand-brand exchange, despite the fact that the brand Topamax was identical in all studies</w:t>
            </w:r>
            <w:r w:rsidRPr="00AE3C0F">
              <w:rPr>
                <w:rFonts w:ascii="Calibri" w:hAnsi="Calibri"/>
                <w:color w:val="000000"/>
              </w:rPr>
              <w:t xml:space="preserve">.  </w:t>
            </w:r>
            <w:r w:rsidRPr="00DF3C84">
              <w:rPr>
                <w:rFonts w:ascii="Calibri" w:hAnsi="Calibri"/>
                <w:color w:val="000000"/>
                <w:lang w:val="en-US"/>
              </w:rPr>
              <w:t xml:space="preserve">(Maliepaard 2011, </w:t>
            </w:r>
            <w:r w:rsidRPr="00AE3C0F">
              <w:rPr>
                <w:rFonts w:ascii="Calibri" w:hAnsi="Calibri" w:cs="TimesNewRomanTur"/>
              </w:rPr>
              <w:t>Banishki</w:t>
            </w:r>
            <w:r w:rsidRPr="00AE3C0F">
              <w:rPr>
                <w:rFonts w:ascii="Calibri" w:hAnsi="Calibri" w:cs="TimesNewRomanCE"/>
              </w:rPr>
              <w:t xml:space="preserve"> </w:t>
            </w:r>
            <w:r w:rsidRPr="00AE3C0F">
              <w:rPr>
                <w:rFonts w:ascii="Calibri" w:hAnsi="Calibri" w:cs="HelveticaNeue-Light"/>
              </w:rPr>
              <w:t>2009)</w:t>
            </w:r>
          </w:p>
          <w:p w14:paraId="1CC704CA" w14:textId="77777777" w:rsidR="00266353" w:rsidRPr="00AE3C0F" w:rsidRDefault="00266353" w:rsidP="00236351">
            <w:pPr>
              <w:autoSpaceDE w:val="0"/>
              <w:autoSpaceDN w:val="0"/>
              <w:adjustRightInd w:val="0"/>
              <w:jc w:val="both"/>
              <w:rPr>
                <w:rFonts w:ascii="Calibri" w:hAnsi="Calibri" w:cs="HelveticaNeue-Light"/>
              </w:rPr>
            </w:pPr>
          </w:p>
          <w:p w14:paraId="1A0F7E3F" w14:textId="77777777" w:rsidR="00D15845" w:rsidRPr="00AE3C0F" w:rsidRDefault="00D15845" w:rsidP="00236351">
            <w:pPr>
              <w:jc w:val="both"/>
              <w:rPr>
                <w:rFonts w:ascii="Calibri" w:hAnsi="Calibri" w:cs="Arial"/>
                <w:color w:val="000000"/>
              </w:rPr>
            </w:pPr>
            <w:r w:rsidRPr="00AE3C0F">
              <w:rPr>
                <w:rFonts w:ascii="Calibri" w:hAnsi="Calibri" w:cs="Arial"/>
                <w:color w:val="000000"/>
              </w:rPr>
              <w:t>Two Canadian studies analysed healthcare claims from epilepsy patients treated with topiramate.</w:t>
            </w:r>
            <w:r w:rsidRPr="00AE3C0F">
              <w:rPr>
                <w:rFonts w:ascii="Calibri" w:hAnsi="Calibri" w:cs="TimesNewRomanPS"/>
                <w:color w:val="000000"/>
              </w:rPr>
              <w:t xml:space="preserve">  The data collected in these studies appears to have some overlap because they both used data from the same database</w:t>
            </w:r>
            <w:r w:rsidRPr="00AE3C0F">
              <w:rPr>
                <w:rFonts w:ascii="Calibri" w:hAnsi="Calibri" w:cs="Arial"/>
                <w:color w:val="000000"/>
              </w:rPr>
              <w:t>; one from January 2006 to October 2007 and the other between January 2006 and September 2008.</w:t>
            </w:r>
            <w:r w:rsidR="00541A08" w:rsidRPr="00AE3C0F">
              <w:rPr>
                <w:rFonts w:ascii="Calibri" w:hAnsi="Calibri" w:cs="TimesNewRomanPS"/>
                <w:color w:val="000000"/>
              </w:rPr>
              <w:t xml:space="preserve"> (</w:t>
            </w:r>
            <w:r w:rsidR="00541A08" w:rsidRPr="00AE3C0F">
              <w:rPr>
                <w:rFonts w:ascii="Calibri" w:hAnsi="Calibri" w:cs="TimesNewRomanTur"/>
                <w:color w:val="000000"/>
              </w:rPr>
              <w:t xml:space="preserve">Paradis Neurology </w:t>
            </w:r>
            <w:r w:rsidR="00541A08" w:rsidRPr="00AE3C0F">
              <w:rPr>
                <w:rFonts w:ascii="Calibri" w:hAnsi="Calibri" w:cs="HelveticaNeue-Light"/>
                <w:color w:val="000000"/>
              </w:rPr>
              <w:t xml:space="preserve">2009, </w:t>
            </w:r>
            <w:r w:rsidR="00541A08" w:rsidRPr="00AE3C0F">
              <w:rPr>
                <w:rFonts w:ascii="Calibri" w:hAnsi="Calibri" w:cs="Arial"/>
                <w:color w:val="000000"/>
              </w:rPr>
              <w:t xml:space="preserve">Duh </w:t>
            </w:r>
            <w:r w:rsidR="00541A08" w:rsidRPr="00AE3C0F">
              <w:rPr>
                <w:rFonts w:ascii="Calibri" w:hAnsi="Calibri" w:cs="Arial"/>
                <w:bCs/>
                <w:color w:val="000000"/>
              </w:rPr>
              <w:t xml:space="preserve">2009) </w:t>
            </w:r>
            <w:r w:rsidRPr="00AE3C0F">
              <w:rPr>
                <w:rFonts w:ascii="Calibri" w:hAnsi="Calibri" w:cs="TimesNewRomanPS"/>
                <w:color w:val="000000"/>
              </w:rPr>
              <w:t xml:space="preserve">The first study found that 15.7% of patients switched back to brand.  </w:t>
            </w:r>
            <w:r w:rsidRPr="00AE3C0F">
              <w:rPr>
                <w:rFonts w:ascii="Calibri" w:hAnsi="Calibri" w:cs="TimesNewRomanPS-Bold"/>
                <w:bCs/>
                <w:color w:val="000000"/>
              </w:rPr>
              <w:t>The authors suggest</w:t>
            </w:r>
            <w:r w:rsidR="00541A08" w:rsidRPr="00AE3C0F">
              <w:rPr>
                <w:rFonts w:ascii="Calibri" w:hAnsi="Calibri" w:cs="TimesNewRomanPS-Bold"/>
                <w:bCs/>
                <w:color w:val="000000"/>
              </w:rPr>
              <w:t>ed</w:t>
            </w:r>
            <w:r w:rsidRPr="00AE3C0F">
              <w:rPr>
                <w:rFonts w:ascii="Calibri" w:hAnsi="Calibri" w:cs="TimesNewRomanPS-Bold"/>
                <w:bCs/>
                <w:color w:val="000000"/>
              </w:rPr>
              <w:t xml:space="preserve"> that</w:t>
            </w:r>
            <w:r w:rsidRPr="00AE3C0F">
              <w:rPr>
                <w:rFonts w:ascii="Calibri" w:hAnsi="Calibri" w:cs="TimesNewRomanPS"/>
                <w:color w:val="000000"/>
              </w:rPr>
              <w:t xml:space="preserve"> multiple-generic substitution of topiramate was associated with significantly higher rates of hospitalisation and pharmacy dispensings and increased direct medical costs. (</w:t>
            </w:r>
            <w:r w:rsidRPr="00AE3C0F">
              <w:rPr>
                <w:rFonts w:ascii="Calibri" w:hAnsi="Calibri" w:cs="TimesNewRomanTur"/>
                <w:color w:val="000000"/>
              </w:rPr>
              <w:t xml:space="preserve">Paradis Neurology </w:t>
            </w:r>
            <w:r w:rsidRPr="00AE3C0F">
              <w:rPr>
                <w:rFonts w:ascii="Calibri" w:hAnsi="Calibri" w:cs="HelveticaNeue-Light"/>
                <w:color w:val="000000"/>
              </w:rPr>
              <w:t>2009)</w:t>
            </w:r>
            <w:r w:rsidR="00541A08" w:rsidRPr="00AE3C0F">
              <w:rPr>
                <w:rFonts w:ascii="Calibri" w:hAnsi="Calibri" w:cs="HelveticaNeue-Light"/>
                <w:color w:val="000000"/>
              </w:rPr>
              <w:t xml:space="preserve">  </w:t>
            </w:r>
            <w:r w:rsidRPr="00AE3C0F">
              <w:rPr>
                <w:rFonts w:ascii="Calibri" w:hAnsi="Calibri" w:cs="Arial"/>
                <w:color w:val="000000"/>
              </w:rPr>
              <w:t>The second study investigated the clinical and economic consequences following generic substitution of one</w:t>
            </w:r>
            <w:r w:rsidR="00266353">
              <w:rPr>
                <w:rFonts w:ascii="Calibri" w:hAnsi="Calibri" w:cs="Arial"/>
                <w:color w:val="000000"/>
              </w:rPr>
              <w:t xml:space="preserve"> </w:t>
            </w:r>
            <w:r w:rsidRPr="00AE3C0F">
              <w:rPr>
                <w:rFonts w:ascii="Calibri" w:hAnsi="Calibri" w:cs="Arial"/>
                <w:color w:val="000000"/>
              </w:rPr>
              <w:t xml:space="preserve">vs multiple generics of topiramate. </w:t>
            </w:r>
            <w:r w:rsidRPr="00AE3C0F">
              <w:rPr>
                <w:rFonts w:ascii="Calibri" w:hAnsi="Calibri" w:cs="Arial"/>
                <w:bCs/>
                <w:color w:val="000000"/>
              </w:rPr>
              <w:t>The authors concluded that m</w:t>
            </w:r>
            <w:r w:rsidRPr="00AE3C0F">
              <w:rPr>
                <w:rFonts w:ascii="Calibri" w:hAnsi="Calibri" w:cs="Arial"/>
                <w:color w:val="000000"/>
              </w:rPr>
              <w:t xml:space="preserve">ultiple-generic substitution of topiramate was significantly associated with negative outcomes, such as hospitalisations and injuries, and increased health care costs. (Duh </w:t>
            </w:r>
            <w:r w:rsidRPr="00AE3C0F">
              <w:rPr>
                <w:rFonts w:ascii="Calibri" w:hAnsi="Calibri" w:cs="Arial"/>
                <w:bCs/>
                <w:color w:val="000000"/>
              </w:rPr>
              <w:t>2009)</w:t>
            </w:r>
          </w:p>
          <w:p w14:paraId="5F6AE797" w14:textId="77777777" w:rsidR="00D15845" w:rsidRPr="00AE3C0F" w:rsidRDefault="00D15845" w:rsidP="00236351">
            <w:pPr>
              <w:jc w:val="both"/>
              <w:rPr>
                <w:rFonts w:ascii="Calibri" w:hAnsi="Calibri" w:cs="Arial"/>
                <w:u w:val="single"/>
              </w:rPr>
            </w:pPr>
          </w:p>
          <w:p w14:paraId="2343683E" w14:textId="77777777" w:rsidR="00160A0A" w:rsidRPr="00AE3C0F" w:rsidRDefault="00160A0A" w:rsidP="00236351">
            <w:pPr>
              <w:jc w:val="both"/>
              <w:rPr>
                <w:rFonts w:ascii="Calibri" w:hAnsi="Calibri" w:cs="Arial"/>
              </w:rPr>
            </w:pPr>
            <w:r w:rsidRPr="00AE3C0F">
              <w:rPr>
                <w:rFonts w:ascii="Calibri" w:hAnsi="Calibri" w:cs="Arial"/>
              </w:rPr>
              <w:t xml:space="preserve">A Russian study reviewed 220 epilepsy patients who lost seizure control of 1 year or more duration.  Loss of seizure control in 60.4% cases was caused by a switch from brand to generic AED with 28.2% patients being switched to topiramate generics.  The investigators also compared patients who switched from brand topiramate to generic with a control group who continued to receive the brand.  Following a switch, remission was lost in 75.6% of patients and 51.9% needed emergency care and hospitalisation.  </w:t>
            </w:r>
            <w:r w:rsidRPr="00AE3C0F">
              <w:rPr>
                <w:rFonts w:ascii="Calibri" w:hAnsi="Calibri"/>
              </w:rPr>
              <w:t>(Rudakova 2011</w:t>
            </w:r>
            <w:r w:rsidR="00266353">
              <w:rPr>
                <w:rFonts w:ascii="Calibri" w:hAnsi="Calibri"/>
              </w:rPr>
              <w:t xml:space="preserve"> - </w:t>
            </w:r>
            <w:r w:rsidRPr="00266353">
              <w:rPr>
                <w:rFonts w:ascii="Calibri" w:hAnsi="Calibri"/>
                <w:color w:val="000000"/>
              </w:rPr>
              <w:t>Abstract only)</w:t>
            </w:r>
          </w:p>
          <w:p w14:paraId="6C02EAF0" w14:textId="77777777" w:rsidR="00160A0A" w:rsidRPr="00AE3C0F" w:rsidRDefault="00160A0A" w:rsidP="00236351">
            <w:pPr>
              <w:jc w:val="both"/>
              <w:rPr>
                <w:rFonts w:ascii="Calibri" w:hAnsi="Calibri" w:cs="Arial"/>
              </w:rPr>
            </w:pPr>
          </w:p>
          <w:p w14:paraId="46FBDFEA" w14:textId="77777777" w:rsidR="00160A0A" w:rsidRPr="00AE3C0F" w:rsidRDefault="00160A0A" w:rsidP="00236351">
            <w:pPr>
              <w:jc w:val="both"/>
              <w:rPr>
                <w:rFonts w:ascii="Calibri" w:hAnsi="Calibri"/>
              </w:rPr>
            </w:pPr>
            <w:r w:rsidRPr="00AE3C0F">
              <w:rPr>
                <w:rFonts w:ascii="Calibri" w:eastAsia="AdvPS_TIR" w:hAnsi="Calibri"/>
              </w:rPr>
              <w:t xml:space="preserve">A Polish study reviewed epilepsy patients who switched from a brand to generic topiramate and concluded that switching to generic did not increase seizure frequency. </w:t>
            </w:r>
            <w:r w:rsidRPr="00AE3C0F">
              <w:rPr>
                <w:rFonts w:ascii="Calibri" w:eastAsia="AdvPS_TII" w:hAnsi="Calibri"/>
              </w:rPr>
              <w:t>(Czapinski</w:t>
            </w:r>
            <w:r w:rsidRPr="00AE3C0F">
              <w:rPr>
                <w:rFonts w:ascii="Calibri" w:hAnsi="Calibri"/>
              </w:rPr>
              <w:t xml:space="preserve"> 2009)</w:t>
            </w:r>
          </w:p>
          <w:p w14:paraId="47C9EF0C" w14:textId="77777777" w:rsidR="00D15845" w:rsidRPr="009345C6" w:rsidRDefault="00D15845" w:rsidP="000745D8">
            <w:pPr>
              <w:jc w:val="both"/>
              <w:rPr>
                <w:rFonts w:ascii="Calibri" w:hAnsi="Calibri" w:cs="Calibri"/>
                <w:u w:val="single"/>
              </w:rPr>
            </w:pPr>
          </w:p>
          <w:p w14:paraId="28E46D70" w14:textId="38DE9462" w:rsidR="008E48BB" w:rsidRPr="009345C6" w:rsidRDefault="008E48BB" w:rsidP="000745D8">
            <w:pPr>
              <w:autoSpaceDE w:val="0"/>
              <w:autoSpaceDN w:val="0"/>
              <w:adjustRightInd w:val="0"/>
              <w:jc w:val="both"/>
              <w:rPr>
                <w:rFonts w:ascii="Calibri" w:hAnsi="Calibri" w:cs="Calibri"/>
                <w:b/>
                <w:bCs/>
              </w:rPr>
            </w:pPr>
            <w:r w:rsidRPr="009345C6">
              <w:rPr>
                <w:rFonts w:ascii="Calibri" w:hAnsi="Calibri" w:cs="Calibri"/>
              </w:rPr>
              <w:t xml:space="preserve">A retrospective analysis on prospectively collected data from a therapeutic drug monitoring (TDM) database. 16 on topiramate with at least one TDM test while receiving generic products were compared with </w:t>
            </w:r>
            <w:r w:rsidR="009961A0" w:rsidRPr="009345C6">
              <w:rPr>
                <w:rFonts w:ascii="Calibri" w:hAnsi="Calibri" w:cs="Calibri"/>
              </w:rPr>
              <w:t xml:space="preserve"> 80</w:t>
            </w:r>
            <w:r w:rsidRPr="009345C6">
              <w:rPr>
                <w:rFonts w:ascii="Calibri" w:hAnsi="Calibri" w:cs="Calibri"/>
              </w:rPr>
              <w:t xml:space="preserve"> control patients for topiramate. The proportion of patients showing an intrasubject change greater than +/-20% in AED plasma concentrations was </w:t>
            </w:r>
            <w:r w:rsidR="001925C6" w:rsidRPr="009345C6">
              <w:rPr>
                <w:rFonts w:ascii="Calibri" w:hAnsi="Calibri" w:cs="Calibri"/>
              </w:rPr>
              <w:t xml:space="preserve">higher in the control group for topiramate compared with the </w:t>
            </w:r>
            <w:r w:rsidRPr="009345C6">
              <w:rPr>
                <w:rFonts w:ascii="Calibri" w:hAnsi="Calibri" w:cs="Calibri"/>
              </w:rPr>
              <w:t xml:space="preserve">brand name vs generic group (41% vs 6%, p &lt; 0.01). These are the first data in the literature about the within-patient variation in steady-state plasma concentrations of a series of stable treatments with brand-name AEDs in a real clinical setting. </w:t>
            </w:r>
            <w:r w:rsidRPr="009345C6">
              <w:rPr>
                <w:rFonts w:ascii="Calibri" w:hAnsi="Calibri" w:cs="Calibri"/>
                <w:bCs/>
              </w:rPr>
              <w:t>The authors concluded that</w:t>
            </w:r>
            <w:r w:rsidRPr="009345C6">
              <w:rPr>
                <w:rFonts w:ascii="Calibri" w:hAnsi="Calibri" w:cs="Calibri"/>
                <w:b/>
                <w:bCs/>
              </w:rPr>
              <w:t xml:space="preserve"> </w:t>
            </w:r>
            <w:r w:rsidRPr="009345C6">
              <w:rPr>
                <w:rFonts w:ascii="Calibri" w:hAnsi="Calibri" w:cs="Calibri"/>
              </w:rPr>
              <w:t xml:space="preserve">a significant interday variability in intrapatient </w:t>
            </w:r>
            <w:r w:rsidR="0062124F" w:rsidRPr="009345C6">
              <w:rPr>
                <w:rFonts w:ascii="Calibri" w:hAnsi="Calibri" w:cs="Calibri"/>
              </w:rPr>
              <w:t>topiramate</w:t>
            </w:r>
            <w:r w:rsidRPr="009345C6">
              <w:rPr>
                <w:rFonts w:ascii="Calibri" w:hAnsi="Calibri" w:cs="Calibri"/>
              </w:rPr>
              <w:t xml:space="preserve"> plasma concentrations can be observed even in patients stabilized with the same brand name product over time. This suggests that any change in plasma AED concentration and possible related clinical effects after generic substitution may be not necessarily related to the switch. (Contin 2016)</w:t>
            </w:r>
          </w:p>
          <w:p w14:paraId="5E471F80" w14:textId="77777777" w:rsidR="007A1051" w:rsidRPr="00457256" w:rsidRDefault="007A1051" w:rsidP="00160A0A">
            <w:pPr>
              <w:rPr>
                <w:rFonts w:ascii="Calibri" w:hAnsi="Calibri"/>
                <w:color w:val="FF0000"/>
              </w:rPr>
            </w:pPr>
          </w:p>
        </w:tc>
      </w:tr>
    </w:tbl>
    <w:p w14:paraId="648F41C3" w14:textId="69044274" w:rsidR="00D9226A" w:rsidRDefault="00D9226A">
      <w:pPr>
        <w:rPr>
          <w:rFonts w:ascii="Calibri" w:hAnsi="Calibri"/>
        </w:rPr>
      </w:pPr>
    </w:p>
    <w:p w14:paraId="63764018" w14:textId="77777777" w:rsidR="0057213E" w:rsidRDefault="0057213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2811"/>
        <w:gridCol w:w="3625"/>
      </w:tblGrid>
      <w:tr w:rsidR="00D9226A" w:rsidRPr="00457256" w14:paraId="71F7CEA9" w14:textId="77777777" w:rsidTr="005772A8">
        <w:tc>
          <w:tcPr>
            <w:tcW w:w="8306" w:type="dxa"/>
            <w:gridSpan w:val="3"/>
            <w:tcBorders>
              <w:top w:val="nil"/>
              <w:left w:val="nil"/>
              <w:bottom w:val="nil"/>
              <w:right w:val="nil"/>
            </w:tcBorders>
            <w:shd w:val="clear" w:color="auto" w:fill="FF6600"/>
          </w:tcPr>
          <w:p w14:paraId="6C6175F9" w14:textId="77777777" w:rsidR="00D9226A" w:rsidRPr="00457256" w:rsidRDefault="00D9226A" w:rsidP="001D423C">
            <w:pPr>
              <w:pStyle w:val="Heading3"/>
              <w:rPr>
                <w:rFonts w:ascii="Calibri" w:hAnsi="Calibri"/>
              </w:rPr>
            </w:pPr>
            <w:bookmarkStart w:id="22" w:name="_Sodium_Valproate"/>
            <w:bookmarkEnd w:id="22"/>
            <w:r w:rsidRPr="00457256">
              <w:rPr>
                <w:rFonts w:ascii="Calibri" w:hAnsi="Calibri"/>
              </w:rPr>
              <w:t>Sodium Valproate</w:t>
            </w:r>
            <w:r w:rsidR="00236351">
              <w:rPr>
                <w:rFonts w:ascii="Calibri" w:hAnsi="Calibri"/>
              </w:rPr>
              <w:t xml:space="preserve"> (and salts)</w:t>
            </w:r>
          </w:p>
        </w:tc>
      </w:tr>
      <w:tr w:rsidR="00D9226A" w:rsidRPr="00457256" w14:paraId="464B43E2" w14:textId="77777777" w:rsidTr="005772A8">
        <w:tc>
          <w:tcPr>
            <w:tcW w:w="8306" w:type="dxa"/>
            <w:gridSpan w:val="3"/>
            <w:tcBorders>
              <w:top w:val="nil"/>
            </w:tcBorders>
            <w:shd w:val="clear" w:color="auto" w:fill="000000"/>
          </w:tcPr>
          <w:p w14:paraId="4AC01750" w14:textId="77777777" w:rsidR="00D9226A" w:rsidRPr="00457256" w:rsidRDefault="00D9226A" w:rsidP="006E675F">
            <w:pPr>
              <w:rPr>
                <w:rFonts w:ascii="Calibri" w:hAnsi="Calibri"/>
              </w:rPr>
            </w:pPr>
          </w:p>
        </w:tc>
      </w:tr>
      <w:tr w:rsidR="006E675F" w:rsidRPr="00457256" w14:paraId="53F5E5D9" w14:textId="77777777" w:rsidTr="005772A8">
        <w:tc>
          <w:tcPr>
            <w:tcW w:w="1870" w:type="dxa"/>
            <w:vMerge w:val="restart"/>
            <w:shd w:val="clear" w:color="auto" w:fill="auto"/>
            <w:vAlign w:val="center"/>
          </w:tcPr>
          <w:p w14:paraId="50781D8D" w14:textId="77777777" w:rsidR="006E675F" w:rsidRPr="00457256" w:rsidRDefault="006E675F" w:rsidP="006E675F">
            <w:pPr>
              <w:rPr>
                <w:rFonts w:ascii="Calibri" w:hAnsi="Calibri"/>
              </w:rPr>
            </w:pPr>
            <w:r w:rsidRPr="00457256">
              <w:rPr>
                <w:rFonts w:ascii="Calibri" w:hAnsi="Calibri"/>
              </w:rPr>
              <w:t>Forms available</w:t>
            </w:r>
          </w:p>
        </w:tc>
        <w:tc>
          <w:tcPr>
            <w:tcW w:w="2811" w:type="dxa"/>
            <w:shd w:val="clear" w:color="auto" w:fill="auto"/>
          </w:tcPr>
          <w:p w14:paraId="2B128C01" w14:textId="77777777" w:rsidR="006E675F" w:rsidRPr="00457256" w:rsidRDefault="006E675F" w:rsidP="006E675F">
            <w:pPr>
              <w:rPr>
                <w:rFonts w:ascii="Calibri" w:hAnsi="Calibri"/>
              </w:rPr>
            </w:pPr>
            <w:r w:rsidRPr="00457256">
              <w:rPr>
                <w:rFonts w:ascii="Calibri" w:hAnsi="Calibri"/>
              </w:rPr>
              <w:t>Capsules</w:t>
            </w:r>
          </w:p>
        </w:tc>
        <w:tc>
          <w:tcPr>
            <w:tcW w:w="3625" w:type="dxa"/>
            <w:shd w:val="clear" w:color="auto" w:fill="auto"/>
          </w:tcPr>
          <w:p w14:paraId="0191DDC8" w14:textId="77777777" w:rsidR="006E675F" w:rsidRPr="00457256" w:rsidRDefault="006E675F" w:rsidP="006E675F">
            <w:pPr>
              <w:rPr>
                <w:rFonts w:ascii="Calibri" w:hAnsi="Calibri"/>
              </w:rPr>
            </w:pPr>
            <w:r w:rsidRPr="00457256">
              <w:rPr>
                <w:rFonts w:ascii="Calibri" w:hAnsi="Calibri"/>
              </w:rPr>
              <w:t>150mg, 300mg</w:t>
            </w:r>
          </w:p>
        </w:tc>
      </w:tr>
      <w:tr w:rsidR="006E675F" w:rsidRPr="00457256" w14:paraId="26EBC774" w14:textId="77777777" w:rsidTr="005772A8">
        <w:tc>
          <w:tcPr>
            <w:tcW w:w="1870" w:type="dxa"/>
            <w:vMerge/>
            <w:shd w:val="clear" w:color="auto" w:fill="auto"/>
            <w:vAlign w:val="center"/>
          </w:tcPr>
          <w:p w14:paraId="1B7F8569" w14:textId="77777777" w:rsidR="006E675F" w:rsidRPr="00457256" w:rsidRDefault="006E675F" w:rsidP="006E675F">
            <w:pPr>
              <w:rPr>
                <w:rFonts w:ascii="Calibri" w:hAnsi="Calibri"/>
              </w:rPr>
            </w:pPr>
          </w:p>
        </w:tc>
        <w:tc>
          <w:tcPr>
            <w:tcW w:w="2811" w:type="dxa"/>
            <w:shd w:val="clear" w:color="auto" w:fill="auto"/>
          </w:tcPr>
          <w:p w14:paraId="062DC857" w14:textId="77777777" w:rsidR="006E675F" w:rsidRPr="00457256" w:rsidRDefault="006E675F" w:rsidP="006E675F">
            <w:pPr>
              <w:rPr>
                <w:rFonts w:ascii="Calibri" w:hAnsi="Calibri"/>
              </w:rPr>
            </w:pPr>
            <w:r w:rsidRPr="00457256">
              <w:rPr>
                <w:rFonts w:ascii="Calibri" w:hAnsi="Calibri"/>
              </w:rPr>
              <w:t>Granules (sachet)</w:t>
            </w:r>
          </w:p>
        </w:tc>
        <w:tc>
          <w:tcPr>
            <w:tcW w:w="3625" w:type="dxa"/>
            <w:shd w:val="clear" w:color="auto" w:fill="auto"/>
          </w:tcPr>
          <w:p w14:paraId="256B781D" w14:textId="77777777" w:rsidR="006E675F" w:rsidRPr="00457256" w:rsidRDefault="006E675F" w:rsidP="006E675F">
            <w:pPr>
              <w:rPr>
                <w:rFonts w:ascii="Calibri" w:hAnsi="Calibri"/>
              </w:rPr>
            </w:pPr>
            <w:r w:rsidRPr="00457256">
              <w:rPr>
                <w:rFonts w:ascii="Calibri" w:hAnsi="Calibri"/>
              </w:rPr>
              <w:t>50mg, 100mg, 250mg, 500mg, 1g</w:t>
            </w:r>
          </w:p>
        </w:tc>
      </w:tr>
      <w:tr w:rsidR="006E675F" w:rsidRPr="00457256" w14:paraId="3EC057AF" w14:textId="77777777" w:rsidTr="005772A8">
        <w:tc>
          <w:tcPr>
            <w:tcW w:w="1870" w:type="dxa"/>
            <w:vMerge/>
            <w:shd w:val="clear" w:color="auto" w:fill="auto"/>
            <w:vAlign w:val="center"/>
          </w:tcPr>
          <w:p w14:paraId="3E4F7B97" w14:textId="77777777" w:rsidR="006E675F" w:rsidRPr="00457256" w:rsidRDefault="006E675F" w:rsidP="006E675F">
            <w:pPr>
              <w:rPr>
                <w:rFonts w:ascii="Calibri" w:hAnsi="Calibri"/>
              </w:rPr>
            </w:pPr>
          </w:p>
        </w:tc>
        <w:tc>
          <w:tcPr>
            <w:tcW w:w="2811" w:type="dxa"/>
            <w:shd w:val="clear" w:color="auto" w:fill="auto"/>
          </w:tcPr>
          <w:p w14:paraId="0A453084" w14:textId="77777777" w:rsidR="006E675F" w:rsidRPr="00457256" w:rsidRDefault="006E675F" w:rsidP="006E675F">
            <w:pPr>
              <w:rPr>
                <w:rFonts w:ascii="Calibri" w:hAnsi="Calibri"/>
              </w:rPr>
            </w:pPr>
            <w:r w:rsidRPr="00457256">
              <w:rPr>
                <w:rFonts w:ascii="Calibri" w:hAnsi="Calibri"/>
              </w:rPr>
              <w:t>Intravenous infusion</w:t>
            </w:r>
          </w:p>
        </w:tc>
        <w:tc>
          <w:tcPr>
            <w:tcW w:w="3625" w:type="dxa"/>
            <w:shd w:val="clear" w:color="auto" w:fill="auto"/>
          </w:tcPr>
          <w:p w14:paraId="1B62F792" w14:textId="77777777" w:rsidR="006E675F" w:rsidRPr="00457256" w:rsidRDefault="006E675F" w:rsidP="006E675F">
            <w:pPr>
              <w:rPr>
                <w:rFonts w:ascii="Calibri" w:hAnsi="Calibri"/>
              </w:rPr>
            </w:pPr>
            <w:r w:rsidRPr="00457256">
              <w:rPr>
                <w:rFonts w:ascii="Calibri" w:hAnsi="Calibri"/>
              </w:rPr>
              <w:t>100mg/ml (5ml)</w:t>
            </w:r>
          </w:p>
        </w:tc>
      </w:tr>
      <w:tr w:rsidR="006E675F" w:rsidRPr="00457256" w14:paraId="2054C881" w14:textId="77777777" w:rsidTr="005772A8">
        <w:tc>
          <w:tcPr>
            <w:tcW w:w="1870" w:type="dxa"/>
            <w:vMerge/>
            <w:shd w:val="clear" w:color="auto" w:fill="auto"/>
            <w:vAlign w:val="center"/>
          </w:tcPr>
          <w:p w14:paraId="73F09E87" w14:textId="77777777" w:rsidR="006E675F" w:rsidRPr="00457256" w:rsidRDefault="006E675F" w:rsidP="006E675F">
            <w:pPr>
              <w:rPr>
                <w:rFonts w:ascii="Calibri" w:hAnsi="Calibri"/>
              </w:rPr>
            </w:pPr>
          </w:p>
        </w:tc>
        <w:tc>
          <w:tcPr>
            <w:tcW w:w="2811" w:type="dxa"/>
            <w:shd w:val="clear" w:color="auto" w:fill="auto"/>
          </w:tcPr>
          <w:p w14:paraId="70FE8598" w14:textId="77777777" w:rsidR="006E675F" w:rsidRPr="00457256" w:rsidRDefault="006E675F" w:rsidP="006E675F">
            <w:pPr>
              <w:rPr>
                <w:rFonts w:ascii="Calibri" w:hAnsi="Calibri"/>
              </w:rPr>
            </w:pPr>
            <w:r w:rsidRPr="00457256">
              <w:rPr>
                <w:rFonts w:ascii="Calibri" w:hAnsi="Calibri"/>
              </w:rPr>
              <w:t>Modified release tablets</w:t>
            </w:r>
          </w:p>
        </w:tc>
        <w:tc>
          <w:tcPr>
            <w:tcW w:w="3625" w:type="dxa"/>
            <w:shd w:val="clear" w:color="auto" w:fill="auto"/>
          </w:tcPr>
          <w:p w14:paraId="6F580F6D" w14:textId="77777777" w:rsidR="006E675F" w:rsidRPr="00457256" w:rsidRDefault="006E675F" w:rsidP="006E675F">
            <w:pPr>
              <w:rPr>
                <w:rFonts w:ascii="Calibri" w:hAnsi="Calibri"/>
              </w:rPr>
            </w:pPr>
            <w:r w:rsidRPr="00457256">
              <w:rPr>
                <w:rFonts w:ascii="Calibri" w:hAnsi="Calibri"/>
              </w:rPr>
              <w:t xml:space="preserve">200mg, 300mg, 500mg, </w:t>
            </w:r>
          </w:p>
        </w:tc>
      </w:tr>
      <w:tr w:rsidR="006E675F" w:rsidRPr="00457256" w14:paraId="43456B88" w14:textId="77777777" w:rsidTr="005772A8">
        <w:tc>
          <w:tcPr>
            <w:tcW w:w="1870" w:type="dxa"/>
            <w:vMerge/>
            <w:shd w:val="clear" w:color="auto" w:fill="auto"/>
            <w:vAlign w:val="center"/>
          </w:tcPr>
          <w:p w14:paraId="6F9CB2BC" w14:textId="77777777" w:rsidR="006E675F" w:rsidRPr="00457256" w:rsidRDefault="006E675F" w:rsidP="006E675F">
            <w:pPr>
              <w:rPr>
                <w:rFonts w:ascii="Calibri" w:hAnsi="Calibri"/>
              </w:rPr>
            </w:pPr>
          </w:p>
        </w:tc>
        <w:tc>
          <w:tcPr>
            <w:tcW w:w="2811" w:type="dxa"/>
            <w:shd w:val="clear" w:color="auto" w:fill="auto"/>
          </w:tcPr>
          <w:p w14:paraId="6981C723" w14:textId="77777777" w:rsidR="006E675F" w:rsidRPr="00457256" w:rsidRDefault="006E675F" w:rsidP="006E675F">
            <w:pPr>
              <w:rPr>
                <w:rFonts w:ascii="Calibri" w:hAnsi="Calibri"/>
              </w:rPr>
            </w:pPr>
            <w:r w:rsidRPr="00457256">
              <w:rPr>
                <w:rFonts w:ascii="Calibri" w:hAnsi="Calibri"/>
              </w:rPr>
              <w:t>Oral solution (liquid, syrup)</w:t>
            </w:r>
          </w:p>
        </w:tc>
        <w:tc>
          <w:tcPr>
            <w:tcW w:w="3625" w:type="dxa"/>
            <w:shd w:val="clear" w:color="auto" w:fill="auto"/>
          </w:tcPr>
          <w:p w14:paraId="32C178D6" w14:textId="77777777" w:rsidR="006E675F" w:rsidRPr="00457256" w:rsidRDefault="006E675F" w:rsidP="006E675F">
            <w:pPr>
              <w:rPr>
                <w:rFonts w:ascii="Calibri" w:hAnsi="Calibri"/>
              </w:rPr>
            </w:pPr>
            <w:r w:rsidRPr="00457256">
              <w:rPr>
                <w:rFonts w:ascii="Calibri" w:hAnsi="Calibri"/>
              </w:rPr>
              <w:t>200mg/5ml</w:t>
            </w:r>
          </w:p>
        </w:tc>
      </w:tr>
      <w:tr w:rsidR="006E675F" w:rsidRPr="00457256" w14:paraId="6977A0E4" w14:textId="77777777" w:rsidTr="005772A8">
        <w:tc>
          <w:tcPr>
            <w:tcW w:w="1870" w:type="dxa"/>
            <w:vMerge/>
            <w:shd w:val="clear" w:color="auto" w:fill="auto"/>
          </w:tcPr>
          <w:p w14:paraId="593B0650" w14:textId="77777777" w:rsidR="006E675F" w:rsidRPr="00457256" w:rsidRDefault="006E675F" w:rsidP="006E675F">
            <w:pPr>
              <w:rPr>
                <w:rFonts w:ascii="Calibri" w:hAnsi="Calibri"/>
              </w:rPr>
            </w:pPr>
          </w:p>
        </w:tc>
        <w:tc>
          <w:tcPr>
            <w:tcW w:w="2811" w:type="dxa"/>
            <w:shd w:val="clear" w:color="auto" w:fill="auto"/>
          </w:tcPr>
          <w:p w14:paraId="486E16F6" w14:textId="77777777" w:rsidR="006E675F" w:rsidRPr="00457256" w:rsidRDefault="006E675F" w:rsidP="006E675F">
            <w:pPr>
              <w:rPr>
                <w:rFonts w:ascii="Calibri" w:hAnsi="Calibri"/>
              </w:rPr>
            </w:pPr>
            <w:r w:rsidRPr="00457256">
              <w:rPr>
                <w:rFonts w:ascii="Calibri" w:hAnsi="Calibri"/>
              </w:rPr>
              <w:t>Tablets (crushable)</w:t>
            </w:r>
          </w:p>
        </w:tc>
        <w:tc>
          <w:tcPr>
            <w:tcW w:w="3625" w:type="dxa"/>
            <w:shd w:val="clear" w:color="auto" w:fill="auto"/>
          </w:tcPr>
          <w:p w14:paraId="4273A46C" w14:textId="77777777" w:rsidR="006E675F" w:rsidRPr="00457256" w:rsidRDefault="006E675F" w:rsidP="006E675F">
            <w:pPr>
              <w:rPr>
                <w:rFonts w:ascii="Calibri" w:hAnsi="Calibri"/>
              </w:rPr>
            </w:pPr>
            <w:r w:rsidRPr="00457256">
              <w:rPr>
                <w:rFonts w:ascii="Calibri" w:hAnsi="Calibri"/>
              </w:rPr>
              <w:t>100mg</w:t>
            </w:r>
          </w:p>
        </w:tc>
      </w:tr>
      <w:tr w:rsidR="006E675F" w:rsidRPr="00457256" w14:paraId="2119181B" w14:textId="77777777" w:rsidTr="005772A8">
        <w:tc>
          <w:tcPr>
            <w:tcW w:w="1870" w:type="dxa"/>
            <w:vMerge/>
            <w:shd w:val="clear" w:color="auto" w:fill="auto"/>
          </w:tcPr>
          <w:p w14:paraId="2D644CFB" w14:textId="77777777" w:rsidR="006E675F" w:rsidRPr="00457256" w:rsidRDefault="006E675F" w:rsidP="006E675F">
            <w:pPr>
              <w:rPr>
                <w:rFonts w:ascii="Calibri" w:hAnsi="Calibri"/>
              </w:rPr>
            </w:pPr>
          </w:p>
        </w:tc>
        <w:tc>
          <w:tcPr>
            <w:tcW w:w="2811" w:type="dxa"/>
            <w:shd w:val="clear" w:color="auto" w:fill="auto"/>
          </w:tcPr>
          <w:p w14:paraId="7BEA0036" w14:textId="77777777" w:rsidR="006E675F" w:rsidRPr="00457256" w:rsidRDefault="006E675F" w:rsidP="006E675F">
            <w:pPr>
              <w:rPr>
                <w:rFonts w:ascii="Calibri" w:hAnsi="Calibri"/>
              </w:rPr>
            </w:pPr>
            <w:r w:rsidRPr="00457256">
              <w:rPr>
                <w:rFonts w:ascii="Calibri" w:hAnsi="Calibri"/>
              </w:rPr>
              <w:t>Tablets (enteric coated)</w:t>
            </w:r>
          </w:p>
        </w:tc>
        <w:tc>
          <w:tcPr>
            <w:tcW w:w="3625" w:type="dxa"/>
            <w:shd w:val="clear" w:color="auto" w:fill="auto"/>
          </w:tcPr>
          <w:p w14:paraId="5B171F50" w14:textId="77777777" w:rsidR="006E675F" w:rsidRPr="00457256" w:rsidRDefault="006E675F" w:rsidP="006E675F">
            <w:pPr>
              <w:rPr>
                <w:rFonts w:ascii="Calibri" w:hAnsi="Calibri"/>
              </w:rPr>
            </w:pPr>
            <w:r w:rsidRPr="00457256">
              <w:rPr>
                <w:rFonts w:ascii="Calibri" w:hAnsi="Calibri"/>
              </w:rPr>
              <w:t>200mg, 500mg</w:t>
            </w:r>
          </w:p>
        </w:tc>
      </w:tr>
      <w:tr w:rsidR="00D9226A" w:rsidRPr="00457256" w14:paraId="788A346E" w14:textId="77777777" w:rsidTr="005772A8">
        <w:tc>
          <w:tcPr>
            <w:tcW w:w="1870" w:type="dxa"/>
            <w:shd w:val="clear" w:color="auto" w:fill="auto"/>
          </w:tcPr>
          <w:p w14:paraId="5ABE87B1" w14:textId="77777777" w:rsidR="00D9226A" w:rsidRPr="00457256" w:rsidRDefault="00D9226A" w:rsidP="006E675F">
            <w:pPr>
              <w:rPr>
                <w:rFonts w:ascii="Calibri" w:hAnsi="Calibri"/>
              </w:rPr>
            </w:pPr>
            <w:r w:rsidRPr="00457256">
              <w:rPr>
                <w:rFonts w:ascii="Calibri" w:hAnsi="Calibri"/>
              </w:rPr>
              <w:t>Brands available</w:t>
            </w:r>
          </w:p>
        </w:tc>
        <w:tc>
          <w:tcPr>
            <w:tcW w:w="6436" w:type="dxa"/>
            <w:gridSpan w:val="2"/>
            <w:shd w:val="clear" w:color="auto" w:fill="auto"/>
          </w:tcPr>
          <w:p w14:paraId="5A6880DE" w14:textId="77777777" w:rsidR="00D9226A" w:rsidRPr="00457256" w:rsidRDefault="0060219D" w:rsidP="006E675F">
            <w:pPr>
              <w:rPr>
                <w:rFonts w:ascii="Calibri" w:hAnsi="Calibri"/>
              </w:rPr>
            </w:pPr>
            <w:r w:rsidRPr="00457256">
              <w:rPr>
                <w:rFonts w:ascii="Calibri" w:hAnsi="Calibri"/>
              </w:rPr>
              <w:t>Non-proprietary, Epilim, Episenta</w:t>
            </w:r>
          </w:p>
          <w:p w14:paraId="7624B03E" w14:textId="77777777" w:rsidR="0060219D" w:rsidRPr="00457256" w:rsidRDefault="0060219D" w:rsidP="006E675F">
            <w:pPr>
              <w:rPr>
                <w:rFonts w:ascii="Calibri" w:hAnsi="Calibri"/>
              </w:rPr>
            </w:pPr>
            <w:r w:rsidRPr="00457256">
              <w:rPr>
                <w:rFonts w:ascii="Calibri" w:hAnsi="Calibri"/>
              </w:rPr>
              <w:t>(valproic acid; Convulex, Dekapote</w:t>
            </w:r>
            <w:r w:rsidR="006E675F" w:rsidRPr="00457256">
              <w:rPr>
                <w:rFonts w:ascii="Calibri" w:hAnsi="Calibri"/>
              </w:rPr>
              <w:t xml:space="preserve"> forms excluded</w:t>
            </w:r>
            <w:r w:rsidRPr="00457256">
              <w:rPr>
                <w:rFonts w:ascii="Calibri" w:hAnsi="Calibri"/>
              </w:rPr>
              <w:t>)</w:t>
            </w:r>
          </w:p>
        </w:tc>
      </w:tr>
      <w:tr w:rsidR="00D9226A" w:rsidRPr="00457256" w14:paraId="4B661C0B" w14:textId="77777777" w:rsidTr="005772A8">
        <w:tc>
          <w:tcPr>
            <w:tcW w:w="8306" w:type="dxa"/>
            <w:gridSpan w:val="3"/>
            <w:shd w:val="clear" w:color="auto" w:fill="FF6600"/>
          </w:tcPr>
          <w:p w14:paraId="690A4E2E" w14:textId="77777777" w:rsidR="00D9226A" w:rsidRPr="00457256" w:rsidRDefault="00D9226A" w:rsidP="006E675F">
            <w:pPr>
              <w:rPr>
                <w:rFonts w:ascii="Calibri" w:hAnsi="Calibri"/>
              </w:rPr>
            </w:pPr>
            <w:r w:rsidRPr="00457256">
              <w:rPr>
                <w:rFonts w:ascii="Calibri" w:hAnsi="Calibri"/>
              </w:rPr>
              <w:t>Recommendation</w:t>
            </w:r>
          </w:p>
        </w:tc>
      </w:tr>
      <w:tr w:rsidR="00D9226A" w:rsidRPr="00457256" w14:paraId="2EBCAA2F" w14:textId="77777777" w:rsidTr="005772A8">
        <w:tc>
          <w:tcPr>
            <w:tcW w:w="8306" w:type="dxa"/>
            <w:gridSpan w:val="3"/>
            <w:shd w:val="clear" w:color="auto" w:fill="auto"/>
          </w:tcPr>
          <w:p w14:paraId="274EA9F7" w14:textId="72C76DAF" w:rsidR="00E3066E" w:rsidRPr="0076504A" w:rsidRDefault="00E3066E" w:rsidP="00236351">
            <w:pPr>
              <w:ind w:left="360"/>
              <w:jc w:val="both"/>
              <w:rPr>
                <w:rFonts w:ascii="Calibri" w:hAnsi="Calibri"/>
              </w:rPr>
            </w:pPr>
            <w:r w:rsidRPr="0076504A">
              <w:rPr>
                <w:rFonts w:ascii="Calibri" w:hAnsi="Calibri"/>
              </w:rPr>
              <w:t>These recommendations should not be used without consulting the ‘principles f</w:t>
            </w:r>
            <w:r w:rsidR="00AE3C0F">
              <w:rPr>
                <w:rFonts w:ascii="Calibri" w:hAnsi="Calibri"/>
              </w:rPr>
              <w:t xml:space="preserve">or switching’ section on page </w:t>
            </w:r>
            <w:r w:rsidR="00DC0F39">
              <w:rPr>
                <w:rFonts w:ascii="Calibri" w:hAnsi="Calibri"/>
              </w:rPr>
              <w:t>10</w:t>
            </w:r>
            <w:r w:rsidR="0076504A" w:rsidRPr="0076504A">
              <w:rPr>
                <w:rFonts w:ascii="Calibri" w:hAnsi="Calibri"/>
              </w:rPr>
              <w:t>.</w:t>
            </w:r>
          </w:p>
          <w:p w14:paraId="0FDB25A7" w14:textId="77777777" w:rsidR="00A11D3E" w:rsidRDefault="00A11D3E" w:rsidP="00236351">
            <w:pPr>
              <w:numPr>
                <w:ilvl w:val="0"/>
                <w:numId w:val="8"/>
              </w:numPr>
              <w:jc w:val="both"/>
              <w:rPr>
                <w:rFonts w:ascii="Calibri" w:hAnsi="Calibri"/>
              </w:rPr>
            </w:pPr>
            <w:r w:rsidRPr="0076504A">
              <w:rPr>
                <w:rFonts w:ascii="Calibri" w:hAnsi="Calibri"/>
              </w:rPr>
              <w:t>There are a number of different salts (e.g. valproic acid and sodium valproate) which add</w:t>
            </w:r>
            <w:r w:rsidR="00013A6F">
              <w:rPr>
                <w:rFonts w:ascii="Calibri" w:hAnsi="Calibri"/>
              </w:rPr>
              <w:t>s</w:t>
            </w:r>
            <w:r w:rsidRPr="0076504A">
              <w:rPr>
                <w:rFonts w:ascii="Calibri" w:hAnsi="Calibri"/>
              </w:rPr>
              <w:t xml:space="preserve"> to confusion</w:t>
            </w:r>
            <w:r>
              <w:rPr>
                <w:rFonts w:ascii="Calibri" w:hAnsi="Calibri"/>
              </w:rPr>
              <w:t xml:space="preserve"> about </w:t>
            </w:r>
            <w:r w:rsidR="0072213D">
              <w:rPr>
                <w:rFonts w:ascii="Calibri" w:hAnsi="Calibri"/>
              </w:rPr>
              <w:t>switching.</w:t>
            </w:r>
          </w:p>
          <w:p w14:paraId="65401EA1" w14:textId="77777777" w:rsidR="00A11D3E" w:rsidRDefault="00A11D3E" w:rsidP="00236351">
            <w:pPr>
              <w:numPr>
                <w:ilvl w:val="0"/>
                <w:numId w:val="8"/>
              </w:numPr>
              <w:jc w:val="both"/>
              <w:rPr>
                <w:rFonts w:ascii="Calibri" w:hAnsi="Calibri"/>
              </w:rPr>
            </w:pPr>
            <w:r>
              <w:rPr>
                <w:rFonts w:ascii="Calibri" w:hAnsi="Calibri"/>
              </w:rPr>
              <w:t>A cautious switching policy within the salt is supported by scanty evidence</w:t>
            </w:r>
            <w:r w:rsidR="008F6CC0">
              <w:rPr>
                <w:rFonts w:ascii="Calibri" w:hAnsi="Calibri"/>
              </w:rPr>
              <w:t>.</w:t>
            </w:r>
          </w:p>
          <w:p w14:paraId="67E3F1B5" w14:textId="77777777" w:rsidR="008F6CC0" w:rsidRPr="00A11D3E" w:rsidRDefault="008F6CC0" w:rsidP="008F6CC0">
            <w:pPr>
              <w:ind w:left="360"/>
              <w:rPr>
                <w:rFonts w:ascii="Calibri" w:hAnsi="Calibri"/>
              </w:rPr>
            </w:pPr>
          </w:p>
        </w:tc>
      </w:tr>
      <w:tr w:rsidR="00D9226A" w:rsidRPr="00457256" w14:paraId="3746EC49" w14:textId="77777777" w:rsidTr="005772A8">
        <w:tc>
          <w:tcPr>
            <w:tcW w:w="8306" w:type="dxa"/>
            <w:gridSpan w:val="3"/>
            <w:shd w:val="clear" w:color="auto" w:fill="FF6600"/>
          </w:tcPr>
          <w:p w14:paraId="16D9A977" w14:textId="77777777" w:rsidR="00D9226A" w:rsidRPr="00457256" w:rsidRDefault="00D9226A" w:rsidP="006E675F">
            <w:pPr>
              <w:rPr>
                <w:rFonts w:ascii="Calibri" w:hAnsi="Calibri"/>
              </w:rPr>
            </w:pPr>
            <w:r w:rsidRPr="00457256">
              <w:rPr>
                <w:rFonts w:ascii="Calibri" w:hAnsi="Calibri"/>
              </w:rPr>
              <w:t>Rationale</w:t>
            </w:r>
          </w:p>
        </w:tc>
      </w:tr>
      <w:tr w:rsidR="00D9226A" w:rsidRPr="00457256" w14:paraId="484729CA" w14:textId="77777777" w:rsidTr="005772A8">
        <w:tc>
          <w:tcPr>
            <w:tcW w:w="8306" w:type="dxa"/>
            <w:gridSpan w:val="3"/>
            <w:shd w:val="clear" w:color="auto" w:fill="auto"/>
          </w:tcPr>
          <w:p w14:paraId="36E36CE2" w14:textId="35EB51A8" w:rsidR="00D9226A" w:rsidRDefault="00D9226A" w:rsidP="006E675F">
            <w:pPr>
              <w:rPr>
                <w:rFonts w:ascii="Calibri" w:hAnsi="Calibri"/>
              </w:rPr>
            </w:pPr>
          </w:p>
          <w:p w14:paraId="1B66AFB7" w14:textId="4F7A7730" w:rsidR="009708A8" w:rsidRDefault="009708A8" w:rsidP="000745D8">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w:t>
            </w:r>
            <w:r w:rsidR="00325D62">
              <w:rPr>
                <w:rFonts w:ascii="Calibri" w:hAnsi="Calibri"/>
              </w:rPr>
              <w:t>patient</w:t>
            </w:r>
            <w:r>
              <w:rPr>
                <w:rFonts w:ascii="Calibri" w:hAnsi="Calibri"/>
              </w:rPr>
              <w:t xml:space="preserve"> and/or carer, taking into account factors such as seizure frequency and treatment history.  Take into account patient/carer-related factors such as their negative perceptions about alternative products and/or other issues related to the patient. </w:t>
            </w:r>
          </w:p>
          <w:p w14:paraId="1FA86CE7" w14:textId="77777777" w:rsidR="009708A8" w:rsidRPr="00457256" w:rsidRDefault="009708A8" w:rsidP="006E675F">
            <w:pPr>
              <w:rPr>
                <w:rFonts w:ascii="Calibri" w:hAnsi="Calibri"/>
              </w:rPr>
            </w:pPr>
          </w:p>
          <w:p w14:paraId="4DD4F510" w14:textId="77777777" w:rsidR="000526BA" w:rsidRPr="00AE3C0F" w:rsidRDefault="00782EB4" w:rsidP="00236351">
            <w:pPr>
              <w:spacing w:before="45" w:after="45"/>
              <w:jc w:val="both"/>
              <w:rPr>
                <w:rFonts w:ascii="Calibri" w:hAnsi="Calibri" w:cs="Arial"/>
                <w:color w:val="000000"/>
              </w:rPr>
            </w:pPr>
            <w:r w:rsidRPr="000526BA">
              <w:rPr>
                <w:rFonts w:ascii="Calibri" w:hAnsi="Calibri"/>
                <w:b/>
              </w:rPr>
              <w:t>Half life</w:t>
            </w:r>
            <w:r w:rsidR="007A1051" w:rsidRPr="000526BA">
              <w:rPr>
                <w:rFonts w:ascii="Calibri" w:hAnsi="Calibri"/>
                <w:b/>
              </w:rPr>
              <w:t>:</w:t>
            </w:r>
            <w:r w:rsidR="000526BA" w:rsidRPr="000526BA">
              <w:rPr>
                <w:rFonts w:ascii="Calibri" w:hAnsi="Calibri"/>
                <w:b/>
              </w:rPr>
              <w:t xml:space="preserve"> </w:t>
            </w:r>
            <w:r w:rsidR="000526BA" w:rsidRPr="000526BA">
              <w:rPr>
                <w:rFonts w:ascii="Calibri" w:hAnsi="Calibri"/>
              </w:rPr>
              <w:t>Sodium valproate:</w:t>
            </w:r>
            <w:r w:rsidR="000526BA" w:rsidRPr="000526BA">
              <w:rPr>
                <w:rFonts w:ascii="Calibri" w:hAnsi="Calibri"/>
                <w:b/>
              </w:rPr>
              <w:t xml:space="preserve"> </w:t>
            </w:r>
            <w:r w:rsidR="000526BA" w:rsidRPr="000526BA">
              <w:rPr>
                <w:rFonts w:ascii="Calibri" w:hAnsi="Calibri" w:cs="Arial"/>
                <w:color w:val="000000"/>
              </w:rPr>
              <w:t xml:space="preserve">16 hours (13 to 29 hours).  Paediatrics (greater than 2 months): 7 to 13 hours. Neonates (less than 10 days): 10 to 67 hours. </w:t>
            </w:r>
            <w:r w:rsidR="000526BA" w:rsidRPr="00AE3C0F">
              <w:rPr>
                <w:rFonts w:ascii="Calibri" w:hAnsi="Calibri" w:cs="Arial"/>
                <w:color w:val="000000"/>
              </w:rPr>
              <w:t>(Micromedex 2012)</w:t>
            </w:r>
          </w:p>
          <w:p w14:paraId="7DCA5447" w14:textId="77777777" w:rsidR="00013A6F" w:rsidRPr="006D2965" w:rsidRDefault="00013A6F" w:rsidP="00236351">
            <w:pPr>
              <w:jc w:val="both"/>
              <w:rPr>
                <w:rFonts w:ascii="Calibri" w:hAnsi="Calibri" w:cs="Arial"/>
              </w:rPr>
            </w:pPr>
            <w:r w:rsidRPr="00D77FFD">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sidRPr="008034D0">
              <w:rPr>
                <w:rFonts w:ascii="Calibri" w:hAnsi="Calibri" w:cs="AdvP7B6C"/>
                <w:color w:val="000000"/>
              </w:rPr>
              <w:t xml:space="preserve">  </w:t>
            </w:r>
            <w:r>
              <w:rPr>
                <w:rFonts w:ascii="Calibri" w:hAnsi="Calibri" w:cs="AdvP7B6C"/>
                <w:color w:val="000000"/>
              </w:rPr>
              <w:t>(high</w:t>
            </w:r>
            <w:r w:rsidRPr="008034D0">
              <w:rPr>
                <w:rFonts w:ascii="Calibri" w:hAnsi="Calibri" w:cs="AdvP7B6C"/>
                <w:color w:val="000000"/>
              </w:rPr>
              <w:t xml:space="preserve"> solubility/high permeability</w:t>
            </w:r>
            <w:r>
              <w:rPr>
                <w:rFonts w:ascii="Calibri" w:hAnsi="Calibri" w:cs="AdvP7B6C"/>
                <w:color w:val="000000"/>
              </w:rPr>
              <w:t>)</w:t>
            </w:r>
          </w:p>
          <w:p w14:paraId="56103675" w14:textId="77777777" w:rsidR="00013A6F" w:rsidRPr="00D77FFD" w:rsidRDefault="00013A6F" w:rsidP="00236351">
            <w:pPr>
              <w:autoSpaceDE w:val="0"/>
              <w:autoSpaceDN w:val="0"/>
              <w:adjustRightInd w:val="0"/>
              <w:jc w:val="both"/>
              <w:rPr>
                <w:rFonts w:ascii="Calibri" w:hAnsi="Calibri" w:cs="AdvPS9779"/>
              </w:rPr>
            </w:pPr>
            <w:r w:rsidRPr="00D77FFD">
              <w:rPr>
                <w:rFonts w:ascii="Calibri" w:hAnsi="Calibri" w:cs="AdvP7B72"/>
              </w:rPr>
              <w:t>(Anderson</w:t>
            </w:r>
            <w:r w:rsidRPr="00D77FFD">
              <w:rPr>
                <w:rFonts w:ascii="Calibri" w:hAnsi="Calibri"/>
              </w:rPr>
              <w:t xml:space="preserve"> 2008) </w:t>
            </w:r>
          </w:p>
          <w:p w14:paraId="4705FA59" w14:textId="77777777" w:rsidR="00782EB4" w:rsidRDefault="00782EB4" w:rsidP="00236351">
            <w:pPr>
              <w:jc w:val="both"/>
              <w:rPr>
                <w:rFonts w:ascii="Calibri" w:hAnsi="Calibri"/>
              </w:rPr>
            </w:pPr>
          </w:p>
          <w:p w14:paraId="4B620BFC" w14:textId="77777777" w:rsidR="00782EB4" w:rsidRPr="00901A8D" w:rsidRDefault="00782EB4" w:rsidP="00236351">
            <w:pPr>
              <w:jc w:val="both"/>
              <w:rPr>
                <w:rFonts w:ascii="Calibri" w:hAnsi="Calibri"/>
                <w:color w:val="241F20"/>
              </w:rPr>
            </w:pPr>
            <w:r w:rsidRPr="00901A8D">
              <w:rPr>
                <w:rFonts w:ascii="Calibri" w:hAnsi="Calibri"/>
              </w:rPr>
              <w:t>A literature search retrieved 5 relevant studies.  There were various different types of data found including a US bioequivalence study, 2 data analysis studies using health care claims databases (one US and one Canadian), a</w:t>
            </w:r>
            <w:r w:rsidRPr="00901A8D">
              <w:rPr>
                <w:rFonts w:ascii="Calibri" w:hAnsi="Calibri"/>
                <w:color w:val="241F20"/>
              </w:rPr>
              <w:t xml:space="preserve"> survey of physicians’ experiences in the US and an article which describes 2 case reports in India.</w:t>
            </w:r>
          </w:p>
          <w:p w14:paraId="0B72B2B8" w14:textId="77777777" w:rsidR="00782EB4" w:rsidRDefault="00782EB4" w:rsidP="00236351">
            <w:pPr>
              <w:autoSpaceDE w:val="0"/>
              <w:autoSpaceDN w:val="0"/>
              <w:adjustRightInd w:val="0"/>
              <w:jc w:val="both"/>
              <w:rPr>
                <w:rFonts w:ascii="Calibri" w:hAnsi="Calibri"/>
                <w:color w:val="241F20"/>
              </w:rPr>
            </w:pPr>
          </w:p>
          <w:p w14:paraId="4A3EED19" w14:textId="77777777" w:rsidR="00144C98" w:rsidRDefault="00144C98" w:rsidP="00236351">
            <w:pPr>
              <w:jc w:val="both"/>
              <w:rPr>
                <w:rFonts w:ascii="Calibri" w:hAnsi="Calibri"/>
              </w:rPr>
            </w:pPr>
            <w:r>
              <w:rPr>
                <w:rFonts w:ascii="Calibri" w:hAnsi="Calibri"/>
              </w:rPr>
              <w:t>Due to the v</w:t>
            </w:r>
            <w:r w:rsidR="00266353">
              <w:rPr>
                <w:rFonts w:ascii="Calibri" w:hAnsi="Calibri"/>
              </w:rPr>
              <w:t>olume of information on sodium valproate</w:t>
            </w:r>
            <w:r>
              <w:rPr>
                <w:rFonts w:ascii="Calibri" w:hAnsi="Calibri"/>
              </w:rPr>
              <w:t xml:space="preserve"> the evidence reported below is a brief summary and more information can be found in appendix</w:t>
            </w:r>
            <w:r w:rsidR="00D77FFD">
              <w:rPr>
                <w:rFonts w:ascii="Calibri" w:hAnsi="Calibri"/>
              </w:rPr>
              <w:t xml:space="preserve"> 8</w:t>
            </w:r>
            <w:r>
              <w:rPr>
                <w:rFonts w:ascii="Calibri" w:hAnsi="Calibri"/>
              </w:rPr>
              <w:t>.</w:t>
            </w:r>
          </w:p>
          <w:p w14:paraId="6B1AB105" w14:textId="77777777" w:rsidR="00144C98" w:rsidRDefault="00144C98" w:rsidP="00236351">
            <w:pPr>
              <w:autoSpaceDE w:val="0"/>
              <w:autoSpaceDN w:val="0"/>
              <w:adjustRightInd w:val="0"/>
              <w:jc w:val="both"/>
              <w:rPr>
                <w:rFonts w:ascii="Calibri" w:hAnsi="Calibri"/>
                <w:color w:val="241F20"/>
              </w:rPr>
            </w:pPr>
          </w:p>
          <w:p w14:paraId="7A05FDF4" w14:textId="77777777" w:rsidR="00C61A3C" w:rsidRPr="00D77FFD" w:rsidRDefault="00C61A3C" w:rsidP="00236351">
            <w:pPr>
              <w:autoSpaceDE w:val="0"/>
              <w:autoSpaceDN w:val="0"/>
              <w:adjustRightInd w:val="0"/>
              <w:jc w:val="both"/>
              <w:rPr>
                <w:rFonts w:ascii="Calibri" w:hAnsi="Calibri"/>
                <w:color w:val="241F20"/>
              </w:rPr>
            </w:pPr>
            <w:r>
              <w:rPr>
                <w:rFonts w:ascii="Calibri" w:hAnsi="Calibri"/>
                <w:color w:val="241F20"/>
              </w:rPr>
              <w:t xml:space="preserve">A study reviewed bioequivalence data for generic AEDs and found </w:t>
            </w:r>
            <w:r w:rsidRPr="00D77FFD">
              <w:rPr>
                <w:rFonts w:ascii="Calibri" w:hAnsi="Calibri"/>
                <w:color w:val="241F20"/>
              </w:rPr>
              <w:t>generic divalproex varied more than most other AEDs in Cmax between fasting and fed states. (</w:t>
            </w:r>
            <w:r w:rsidRPr="00D77FFD">
              <w:rPr>
                <w:rFonts w:ascii="Calibri" w:hAnsi="Calibri"/>
                <w:color w:val="000000"/>
              </w:rPr>
              <w:t>Krauss 2011)</w:t>
            </w:r>
          </w:p>
          <w:p w14:paraId="52EC84A2" w14:textId="77777777" w:rsidR="00C61A3C" w:rsidRPr="00D77FFD" w:rsidRDefault="00C61A3C" w:rsidP="00236351">
            <w:pPr>
              <w:autoSpaceDE w:val="0"/>
              <w:autoSpaceDN w:val="0"/>
              <w:adjustRightInd w:val="0"/>
              <w:jc w:val="both"/>
              <w:rPr>
                <w:rFonts w:ascii="Calibri" w:hAnsi="Calibri"/>
                <w:color w:val="241F20"/>
              </w:rPr>
            </w:pPr>
          </w:p>
          <w:p w14:paraId="56A91297" w14:textId="77777777" w:rsidR="00C61A3C" w:rsidRPr="00D77FFD" w:rsidRDefault="00C61A3C" w:rsidP="00236351">
            <w:pPr>
              <w:jc w:val="both"/>
              <w:rPr>
                <w:rFonts w:ascii="Calibri" w:hAnsi="Calibri"/>
              </w:rPr>
            </w:pPr>
            <w:r w:rsidRPr="00D77FFD">
              <w:rPr>
                <w:rFonts w:ascii="Calibri" w:hAnsi="Calibri"/>
              </w:rPr>
              <w:t xml:space="preserve">A study in the US analysed data from a healthcare claims database and found patients switched from brand to generic divalproex did not have different rates of emergency care or hospitalisation, discontinuation of AED, dose change or additional AED therapy to patients who were not switched. (Erickson 2011)    </w:t>
            </w:r>
          </w:p>
          <w:p w14:paraId="2F3B1F98" w14:textId="77777777" w:rsidR="00C61A3C" w:rsidRPr="00D77FFD" w:rsidRDefault="00C61A3C" w:rsidP="00236351">
            <w:pPr>
              <w:autoSpaceDE w:val="0"/>
              <w:autoSpaceDN w:val="0"/>
              <w:adjustRightInd w:val="0"/>
              <w:jc w:val="both"/>
              <w:rPr>
                <w:rFonts w:ascii="Calibri" w:hAnsi="Calibri"/>
                <w:color w:val="241F20"/>
              </w:rPr>
            </w:pPr>
          </w:p>
          <w:p w14:paraId="0A37E3E9" w14:textId="77777777" w:rsidR="00EB0A6E" w:rsidRPr="00D77FFD" w:rsidRDefault="00EB0A6E" w:rsidP="00236351">
            <w:pPr>
              <w:autoSpaceDE w:val="0"/>
              <w:autoSpaceDN w:val="0"/>
              <w:adjustRightInd w:val="0"/>
              <w:jc w:val="both"/>
              <w:rPr>
                <w:rFonts w:ascii="Calibri" w:hAnsi="Calibri"/>
                <w:color w:val="000000"/>
              </w:rPr>
            </w:pPr>
            <w:r w:rsidRPr="00D77FFD">
              <w:rPr>
                <w:rFonts w:ascii="Calibri" w:hAnsi="Calibri"/>
              </w:rPr>
              <w:t xml:space="preserve">A Canadian study analysed </w:t>
            </w:r>
            <w:r w:rsidR="00A53723" w:rsidRPr="00D77FFD">
              <w:rPr>
                <w:rFonts w:ascii="Calibri" w:hAnsi="Calibri"/>
              </w:rPr>
              <w:t xml:space="preserve">data from </w:t>
            </w:r>
            <w:r w:rsidRPr="00D77FFD">
              <w:rPr>
                <w:rFonts w:ascii="Calibri" w:hAnsi="Calibri" w:cs="Times-Roman"/>
              </w:rPr>
              <w:t xml:space="preserve">prescription </w:t>
            </w:r>
            <w:r w:rsidR="00A53723" w:rsidRPr="00D77FFD">
              <w:rPr>
                <w:rFonts w:ascii="Calibri" w:hAnsi="Calibri" w:cs="Times-Roman"/>
              </w:rPr>
              <w:t xml:space="preserve">claims and found that patients switched from brand to generic </w:t>
            </w:r>
            <w:r w:rsidRPr="00D77FFD">
              <w:rPr>
                <w:rFonts w:ascii="Calibri" w:hAnsi="Calibri" w:cs="Times-Roman"/>
              </w:rPr>
              <w:t xml:space="preserve">valproic acid / divalproex </w:t>
            </w:r>
            <w:r w:rsidR="00A53723" w:rsidRPr="00D77FFD">
              <w:rPr>
                <w:rFonts w:ascii="Calibri" w:hAnsi="Calibri" w:cs="Times-Roman"/>
              </w:rPr>
              <w:t>had a high rate of switching back to the brand Depakene (</w:t>
            </w:r>
            <w:r w:rsidRPr="00D77FFD">
              <w:rPr>
                <w:rFonts w:ascii="Calibri" w:hAnsi="Calibri" w:cs="Times-Roman"/>
              </w:rPr>
              <w:t>20.9%)</w:t>
            </w:r>
            <w:r w:rsidR="00A53723" w:rsidRPr="00D77FFD">
              <w:rPr>
                <w:rFonts w:ascii="Calibri" w:hAnsi="Calibri" w:cs="Times-Roman"/>
              </w:rPr>
              <w:t xml:space="preserve">.  </w:t>
            </w:r>
            <w:r w:rsidRPr="00D77FFD">
              <w:rPr>
                <w:rFonts w:ascii="Calibri" w:hAnsi="Calibri" w:cs="Times-Roman"/>
              </w:rPr>
              <w:t>(</w:t>
            </w:r>
            <w:r w:rsidRPr="00D77FFD">
              <w:rPr>
                <w:rFonts w:ascii="Calibri" w:hAnsi="Calibri"/>
                <w:color w:val="000000"/>
              </w:rPr>
              <w:t>Andermann</w:t>
            </w:r>
            <w:r w:rsidRPr="00D77FFD">
              <w:rPr>
                <w:rFonts w:ascii="Calibri" w:hAnsi="Calibri"/>
                <w:iCs/>
                <w:color w:val="000000"/>
              </w:rPr>
              <w:t xml:space="preserve"> </w:t>
            </w:r>
            <w:r w:rsidRPr="00D77FFD">
              <w:rPr>
                <w:rFonts w:ascii="Calibri" w:hAnsi="Calibri"/>
                <w:color w:val="000000"/>
              </w:rPr>
              <w:t>2007)</w:t>
            </w:r>
          </w:p>
          <w:p w14:paraId="1D2F2562" w14:textId="77777777" w:rsidR="00EB0A6E" w:rsidRPr="00D77FFD" w:rsidRDefault="00EB0A6E" w:rsidP="00236351">
            <w:pPr>
              <w:autoSpaceDE w:val="0"/>
              <w:autoSpaceDN w:val="0"/>
              <w:adjustRightInd w:val="0"/>
              <w:jc w:val="both"/>
              <w:rPr>
                <w:rFonts w:ascii="Calibri" w:hAnsi="Calibri"/>
                <w:color w:val="241F20"/>
              </w:rPr>
            </w:pPr>
          </w:p>
          <w:p w14:paraId="34B9DBDF" w14:textId="77777777" w:rsidR="00EB0A6E" w:rsidRPr="00D77FFD" w:rsidRDefault="00A53723" w:rsidP="00236351">
            <w:pPr>
              <w:autoSpaceDE w:val="0"/>
              <w:autoSpaceDN w:val="0"/>
              <w:adjustRightInd w:val="0"/>
              <w:jc w:val="both"/>
              <w:rPr>
                <w:rFonts w:ascii="Calibri" w:hAnsi="Calibri"/>
                <w:color w:val="241F20"/>
              </w:rPr>
            </w:pPr>
            <w:r w:rsidRPr="00D77FFD">
              <w:rPr>
                <w:rFonts w:ascii="Calibri" w:hAnsi="Calibri"/>
              </w:rPr>
              <w:t xml:space="preserve">A survey of physicians in the US retrieved 14 reports about valproic </w:t>
            </w:r>
            <w:r w:rsidR="002F70AB" w:rsidRPr="00D77FFD">
              <w:rPr>
                <w:rFonts w:ascii="Calibri" w:hAnsi="Calibri"/>
              </w:rPr>
              <w:t>acid causing</w:t>
            </w:r>
            <w:r w:rsidRPr="00D77FFD">
              <w:rPr>
                <w:rFonts w:ascii="Calibri" w:hAnsi="Calibri"/>
              </w:rPr>
              <w:t xml:space="preserve"> problems after brand to generic switching.  The blood levels of those patients who were switched to generic valproic acid decreased by an average of 34%; 3 patients had blood levels after switching back to brand and levels returned to within 10% of the original baseline level.  (Berg </w:t>
            </w:r>
            <w:r w:rsidRPr="00D77FFD">
              <w:rPr>
                <w:rFonts w:ascii="Calibri" w:eastAsia="MinionPro-Regular" w:hAnsi="Calibri"/>
              </w:rPr>
              <w:t>2008</w:t>
            </w:r>
          </w:p>
          <w:p w14:paraId="5934C77D" w14:textId="77777777" w:rsidR="00EB0A6E" w:rsidRPr="00D77FFD" w:rsidRDefault="00EB0A6E" w:rsidP="00236351">
            <w:pPr>
              <w:autoSpaceDE w:val="0"/>
              <w:autoSpaceDN w:val="0"/>
              <w:adjustRightInd w:val="0"/>
              <w:jc w:val="both"/>
              <w:rPr>
                <w:rFonts w:ascii="Calibri" w:hAnsi="Calibri"/>
                <w:color w:val="241F20"/>
              </w:rPr>
            </w:pPr>
          </w:p>
          <w:p w14:paraId="58D5D934" w14:textId="77777777" w:rsidR="00A53723" w:rsidRPr="00D77FFD" w:rsidRDefault="00A53723" w:rsidP="00236351">
            <w:pPr>
              <w:jc w:val="both"/>
              <w:rPr>
                <w:rFonts w:ascii="Calibri" w:hAnsi="Calibri"/>
              </w:rPr>
            </w:pPr>
            <w:r w:rsidRPr="00D77FFD">
              <w:rPr>
                <w:rFonts w:ascii="Calibri" w:hAnsi="Calibri"/>
              </w:rPr>
              <w:t xml:space="preserve">There are </w:t>
            </w:r>
            <w:r w:rsidR="000E181B" w:rsidRPr="00D77FFD">
              <w:rPr>
                <w:rFonts w:ascii="Calibri" w:hAnsi="Calibri"/>
              </w:rPr>
              <w:t xml:space="preserve">two </w:t>
            </w:r>
            <w:r w:rsidRPr="00D77FFD">
              <w:rPr>
                <w:rFonts w:ascii="Calibri" w:hAnsi="Calibri"/>
              </w:rPr>
              <w:t>case reports in India of two men</w:t>
            </w:r>
            <w:r w:rsidR="000E181B" w:rsidRPr="00D77FFD">
              <w:rPr>
                <w:rFonts w:ascii="Calibri" w:hAnsi="Calibri"/>
              </w:rPr>
              <w:t xml:space="preserve">tally retarded adults experiencing reduced </w:t>
            </w:r>
            <w:r w:rsidRPr="00D77FFD">
              <w:rPr>
                <w:rFonts w:ascii="Calibri" w:hAnsi="Calibri"/>
              </w:rPr>
              <w:t xml:space="preserve">seizures </w:t>
            </w:r>
            <w:r w:rsidR="000E181B" w:rsidRPr="00D77FFD">
              <w:rPr>
                <w:rFonts w:ascii="Calibri" w:hAnsi="Calibri"/>
              </w:rPr>
              <w:t xml:space="preserve">frequency and increased valproic acid levels after switching from brand to generic sodium valproate.  No adverse effects were noticed.  </w:t>
            </w:r>
            <w:r w:rsidRPr="00D77FFD">
              <w:rPr>
                <w:rFonts w:ascii="Calibri" w:hAnsi="Calibri"/>
              </w:rPr>
              <w:t xml:space="preserve">(Dhanaraj 2004)   </w:t>
            </w:r>
          </w:p>
          <w:p w14:paraId="1EFA9515" w14:textId="77777777" w:rsidR="00A53723" w:rsidRPr="00D77FFD" w:rsidRDefault="00A53723" w:rsidP="00782EB4">
            <w:pPr>
              <w:autoSpaceDE w:val="0"/>
              <w:autoSpaceDN w:val="0"/>
              <w:adjustRightInd w:val="0"/>
              <w:rPr>
                <w:rFonts w:ascii="Calibri" w:hAnsi="Calibri"/>
                <w:color w:val="241F20"/>
              </w:rPr>
            </w:pPr>
          </w:p>
          <w:p w14:paraId="0E35FD68" w14:textId="77777777" w:rsidR="00452E9B" w:rsidRPr="00457256" w:rsidRDefault="00452E9B" w:rsidP="000E181B">
            <w:pPr>
              <w:rPr>
                <w:rFonts w:ascii="Calibri" w:hAnsi="Calibri"/>
              </w:rPr>
            </w:pPr>
          </w:p>
        </w:tc>
      </w:tr>
    </w:tbl>
    <w:p w14:paraId="6D1B0E43" w14:textId="77777777" w:rsidR="00D9226A" w:rsidRDefault="00D9226A">
      <w:pPr>
        <w:rPr>
          <w:rFonts w:ascii="Calibri" w:hAnsi="Calibri"/>
        </w:rPr>
      </w:pPr>
    </w:p>
    <w:p w14:paraId="41FEFF0D" w14:textId="77777777" w:rsidR="00452E9B" w:rsidRDefault="00452E9B">
      <w:pPr>
        <w:rPr>
          <w:rFonts w:ascii="Calibri" w:hAnsi="Calibri"/>
        </w:rPr>
      </w:pPr>
    </w:p>
    <w:p w14:paraId="6E8B5FF9" w14:textId="77777777" w:rsidR="00452E9B" w:rsidRDefault="00452E9B">
      <w:pPr>
        <w:rPr>
          <w:rFonts w:ascii="Calibri" w:hAnsi="Calibri"/>
        </w:rPr>
      </w:pPr>
    </w:p>
    <w:p w14:paraId="73EDD3E2" w14:textId="77777777" w:rsidR="00452E9B" w:rsidRDefault="00452E9B">
      <w:pPr>
        <w:rPr>
          <w:rFonts w:ascii="Calibri" w:hAnsi="Calibri"/>
        </w:rPr>
      </w:pPr>
    </w:p>
    <w:p w14:paraId="05E66BD5" w14:textId="77777777" w:rsidR="00452E9B" w:rsidRDefault="00452E9B">
      <w:pPr>
        <w:rPr>
          <w:rFonts w:ascii="Calibri" w:hAnsi="Calibri"/>
        </w:rPr>
      </w:pPr>
    </w:p>
    <w:p w14:paraId="73C37F0D" w14:textId="3B900F32" w:rsidR="00452E9B" w:rsidRDefault="00452E9B">
      <w:pPr>
        <w:rPr>
          <w:rFonts w:ascii="Calibri" w:hAnsi="Calibri"/>
        </w:rPr>
      </w:pPr>
    </w:p>
    <w:p w14:paraId="20A3CC0E" w14:textId="46D7F539" w:rsidR="00D02DC3" w:rsidRDefault="00D02DC3">
      <w:pPr>
        <w:rPr>
          <w:rFonts w:ascii="Calibri" w:hAnsi="Calibri"/>
        </w:rPr>
      </w:pPr>
    </w:p>
    <w:p w14:paraId="65E77820" w14:textId="7BF85D74" w:rsidR="00D02DC3" w:rsidRDefault="00D02DC3">
      <w:pPr>
        <w:rPr>
          <w:rFonts w:ascii="Calibri" w:hAnsi="Calibri"/>
        </w:rPr>
      </w:pPr>
    </w:p>
    <w:p w14:paraId="022638AF" w14:textId="0F5949B3" w:rsidR="00D02DC3" w:rsidRDefault="00D02DC3">
      <w:pPr>
        <w:rPr>
          <w:rFonts w:ascii="Calibri" w:hAnsi="Calibri"/>
        </w:rPr>
      </w:pPr>
    </w:p>
    <w:p w14:paraId="6F6D0D60" w14:textId="45A7194E" w:rsidR="00D02DC3" w:rsidRDefault="00D02DC3">
      <w:pPr>
        <w:rPr>
          <w:rFonts w:ascii="Calibri" w:hAnsi="Calibri"/>
        </w:rPr>
      </w:pPr>
    </w:p>
    <w:p w14:paraId="3682A1E0" w14:textId="4C88CE5D" w:rsidR="00D02DC3" w:rsidRDefault="00D02DC3">
      <w:pPr>
        <w:rPr>
          <w:rFonts w:ascii="Calibri" w:hAnsi="Calibri"/>
        </w:rPr>
      </w:pPr>
    </w:p>
    <w:p w14:paraId="3761A445" w14:textId="37E7C6C8" w:rsidR="00D02DC3" w:rsidRDefault="00D02DC3">
      <w:pPr>
        <w:rPr>
          <w:rFonts w:ascii="Calibri" w:hAnsi="Calibri"/>
        </w:rPr>
      </w:pPr>
    </w:p>
    <w:p w14:paraId="51C1A6B8" w14:textId="0D25C64D" w:rsidR="00D02DC3" w:rsidRDefault="00D02DC3">
      <w:pPr>
        <w:rPr>
          <w:rFonts w:ascii="Calibri" w:hAnsi="Calibri"/>
        </w:rPr>
      </w:pPr>
    </w:p>
    <w:p w14:paraId="7D352932" w14:textId="7B7A7053" w:rsidR="00D02DC3" w:rsidRDefault="00D02DC3">
      <w:pPr>
        <w:rPr>
          <w:rFonts w:ascii="Calibri" w:hAnsi="Calibri"/>
        </w:rPr>
      </w:pPr>
    </w:p>
    <w:p w14:paraId="23342873" w14:textId="230086D7" w:rsidR="00D02DC3" w:rsidRDefault="00D02DC3">
      <w:pPr>
        <w:rPr>
          <w:rFonts w:ascii="Calibri" w:hAnsi="Calibri"/>
        </w:rPr>
      </w:pPr>
    </w:p>
    <w:p w14:paraId="6641AF62" w14:textId="00F2352C" w:rsidR="00D02DC3" w:rsidRDefault="00D02DC3">
      <w:pPr>
        <w:rPr>
          <w:rFonts w:ascii="Calibri" w:hAnsi="Calibri"/>
        </w:rPr>
      </w:pPr>
    </w:p>
    <w:p w14:paraId="66EE820B" w14:textId="66FFCE84" w:rsidR="00D02DC3" w:rsidRDefault="00D02DC3">
      <w:pPr>
        <w:rPr>
          <w:rFonts w:ascii="Calibri" w:hAnsi="Calibri"/>
        </w:rPr>
      </w:pPr>
    </w:p>
    <w:p w14:paraId="7EA2802E" w14:textId="3B1C69EF" w:rsidR="00D02DC3" w:rsidRDefault="00D02DC3">
      <w:pPr>
        <w:rPr>
          <w:rFonts w:ascii="Calibri" w:hAnsi="Calibri"/>
        </w:rPr>
      </w:pPr>
    </w:p>
    <w:p w14:paraId="4C18CE2A" w14:textId="6EAA0103" w:rsidR="00D02DC3" w:rsidRDefault="00D02DC3">
      <w:pPr>
        <w:rPr>
          <w:rFonts w:ascii="Calibri" w:hAnsi="Calibri"/>
        </w:rPr>
      </w:pPr>
    </w:p>
    <w:p w14:paraId="0AF5D58A" w14:textId="140DD5F1" w:rsidR="00D02DC3" w:rsidRDefault="00D02DC3">
      <w:pPr>
        <w:rPr>
          <w:rFonts w:ascii="Calibri" w:hAnsi="Calibri"/>
        </w:rPr>
      </w:pPr>
    </w:p>
    <w:p w14:paraId="71D54AFA" w14:textId="1EAA3D27" w:rsidR="00D02DC3" w:rsidRDefault="00D02DC3">
      <w:pPr>
        <w:rPr>
          <w:rFonts w:ascii="Calibri" w:hAnsi="Calibri"/>
        </w:rPr>
      </w:pPr>
    </w:p>
    <w:p w14:paraId="03F8BD0A" w14:textId="77777777" w:rsidR="00D02DC3" w:rsidRDefault="00D02DC3">
      <w:pPr>
        <w:rPr>
          <w:rFonts w:ascii="Calibri" w:hAnsi="Calibri"/>
        </w:rPr>
      </w:pPr>
    </w:p>
    <w:p w14:paraId="2DEE0A2A" w14:textId="77777777" w:rsidR="00452E9B" w:rsidRDefault="00452E9B">
      <w:pPr>
        <w:rPr>
          <w:rFonts w:ascii="Calibri" w:hAnsi="Calibri"/>
        </w:rPr>
      </w:pPr>
    </w:p>
    <w:p w14:paraId="2008AB3A" w14:textId="77777777" w:rsidR="00452E9B" w:rsidRDefault="00452E9B">
      <w:pPr>
        <w:rPr>
          <w:rFonts w:ascii="Calibri" w:hAnsi="Calibri"/>
        </w:rPr>
      </w:pPr>
    </w:p>
    <w:p w14:paraId="079D8BDE" w14:textId="77777777" w:rsidR="00452E9B" w:rsidRPr="0018137D" w:rsidRDefault="00452E9B">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D9226A" w:rsidRPr="00457256" w14:paraId="4C9B1BA9" w14:textId="77777777">
        <w:tc>
          <w:tcPr>
            <w:tcW w:w="8522" w:type="dxa"/>
            <w:gridSpan w:val="3"/>
            <w:tcBorders>
              <w:top w:val="nil"/>
              <w:left w:val="nil"/>
              <w:bottom w:val="nil"/>
              <w:right w:val="nil"/>
            </w:tcBorders>
            <w:shd w:val="clear" w:color="auto" w:fill="FF6600"/>
          </w:tcPr>
          <w:p w14:paraId="420B752D" w14:textId="77777777" w:rsidR="00D9226A" w:rsidRPr="00457256" w:rsidRDefault="00D9226A" w:rsidP="001D423C">
            <w:pPr>
              <w:pStyle w:val="Heading3"/>
              <w:rPr>
                <w:rFonts w:ascii="Calibri" w:hAnsi="Calibri"/>
              </w:rPr>
            </w:pPr>
            <w:bookmarkStart w:id="23" w:name="_Vigabatrin"/>
            <w:bookmarkEnd w:id="23"/>
            <w:r w:rsidRPr="00457256">
              <w:rPr>
                <w:rFonts w:ascii="Calibri" w:hAnsi="Calibri"/>
              </w:rPr>
              <w:t>Vigabatrin</w:t>
            </w:r>
          </w:p>
        </w:tc>
      </w:tr>
      <w:tr w:rsidR="00D9226A" w:rsidRPr="00457256" w14:paraId="6F1769F3" w14:textId="77777777">
        <w:tc>
          <w:tcPr>
            <w:tcW w:w="8522" w:type="dxa"/>
            <w:gridSpan w:val="3"/>
            <w:tcBorders>
              <w:top w:val="nil"/>
              <w:bottom w:val="single" w:sz="4" w:space="0" w:color="auto"/>
            </w:tcBorders>
            <w:shd w:val="clear" w:color="auto" w:fill="000000"/>
          </w:tcPr>
          <w:p w14:paraId="7580F3D7" w14:textId="77777777" w:rsidR="00D9226A" w:rsidRPr="00457256" w:rsidRDefault="00D9226A" w:rsidP="006E675F">
            <w:pPr>
              <w:rPr>
                <w:rFonts w:ascii="Calibri" w:hAnsi="Calibri"/>
              </w:rPr>
            </w:pPr>
          </w:p>
        </w:tc>
      </w:tr>
      <w:tr w:rsidR="00D9226A" w:rsidRPr="00457256" w14:paraId="53EE2D32" w14:textId="77777777">
        <w:tc>
          <w:tcPr>
            <w:tcW w:w="1908" w:type="dxa"/>
            <w:vMerge w:val="restart"/>
            <w:shd w:val="clear" w:color="auto" w:fill="auto"/>
            <w:vAlign w:val="center"/>
          </w:tcPr>
          <w:p w14:paraId="70489060" w14:textId="77777777" w:rsidR="00D9226A" w:rsidRPr="00457256" w:rsidRDefault="0060219D" w:rsidP="006E675F">
            <w:pPr>
              <w:rPr>
                <w:rFonts w:ascii="Calibri" w:hAnsi="Calibri"/>
              </w:rPr>
            </w:pPr>
            <w:r w:rsidRPr="00457256">
              <w:rPr>
                <w:rFonts w:ascii="Calibri" w:hAnsi="Calibri"/>
              </w:rPr>
              <w:t>Forms available</w:t>
            </w:r>
          </w:p>
        </w:tc>
        <w:tc>
          <w:tcPr>
            <w:tcW w:w="2700" w:type="dxa"/>
            <w:shd w:val="clear" w:color="auto" w:fill="auto"/>
          </w:tcPr>
          <w:p w14:paraId="2AD7B1E1" w14:textId="77777777" w:rsidR="00D9226A" w:rsidRPr="00457256" w:rsidRDefault="0060219D" w:rsidP="006E675F">
            <w:pPr>
              <w:rPr>
                <w:rFonts w:ascii="Calibri" w:hAnsi="Calibri"/>
              </w:rPr>
            </w:pPr>
            <w:r w:rsidRPr="00457256">
              <w:rPr>
                <w:rFonts w:ascii="Calibri" w:hAnsi="Calibri"/>
              </w:rPr>
              <w:t>Powder (sachets)</w:t>
            </w:r>
          </w:p>
        </w:tc>
        <w:tc>
          <w:tcPr>
            <w:tcW w:w="3914" w:type="dxa"/>
            <w:shd w:val="clear" w:color="auto" w:fill="auto"/>
          </w:tcPr>
          <w:p w14:paraId="2FCFDA15" w14:textId="77777777" w:rsidR="00D9226A" w:rsidRPr="00457256" w:rsidRDefault="0060219D" w:rsidP="006E675F">
            <w:pPr>
              <w:rPr>
                <w:rFonts w:ascii="Calibri" w:hAnsi="Calibri"/>
              </w:rPr>
            </w:pPr>
            <w:r w:rsidRPr="00457256">
              <w:rPr>
                <w:rFonts w:ascii="Calibri" w:hAnsi="Calibri"/>
              </w:rPr>
              <w:t>500mg</w:t>
            </w:r>
          </w:p>
        </w:tc>
      </w:tr>
      <w:tr w:rsidR="00D9226A" w:rsidRPr="00457256" w14:paraId="2CE205A3" w14:textId="77777777">
        <w:tc>
          <w:tcPr>
            <w:tcW w:w="1908" w:type="dxa"/>
            <w:vMerge/>
            <w:shd w:val="clear" w:color="auto" w:fill="auto"/>
          </w:tcPr>
          <w:p w14:paraId="7348C1A2" w14:textId="77777777" w:rsidR="00D9226A" w:rsidRPr="00457256" w:rsidRDefault="00D9226A" w:rsidP="006E675F">
            <w:pPr>
              <w:rPr>
                <w:rFonts w:ascii="Calibri" w:hAnsi="Calibri"/>
              </w:rPr>
            </w:pPr>
          </w:p>
        </w:tc>
        <w:tc>
          <w:tcPr>
            <w:tcW w:w="2700" w:type="dxa"/>
            <w:shd w:val="clear" w:color="auto" w:fill="auto"/>
          </w:tcPr>
          <w:p w14:paraId="49396853" w14:textId="77777777" w:rsidR="00D9226A" w:rsidRPr="00457256" w:rsidRDefault="00D9226A" w:rsidP="006E675F">
            <w:pPr>
              <w:rPr>
                <w:rFonts w:ascii="Calibri" w:hAnsi="Calibri"/>
              </w:rPr>
            </w:pPr>
            <w:r w:rsidRPr="00457256">
              <w:rPr>
                <w:rFonts w:ascii="Calibri" w:hAnsi="Calibri"/>
              </w:rPr>
              <w:t>Tablets</w:t>
            </w:r>
          </w:p>
        </w:tc>
        <w:tc>
          <w:tcPr>
            <w:tcW w:w="3914" w:type="dxa"/>
            <w:shd w:val="clear" w:color="auto" w:fill="auto"/>
          </w:tcPr>
          <w:p w14:paraId="3A641763" w14:textId="77777777" w:rsidR="00D9226A" w:rsidRPr="00457256" w:rsidRDefault="0060219D" w:rsidP="006E675F">
            <w:pPr>
              <w:rPr>
                <w:rFonts w:ascii="Calibri" w:hAnsi="Calibri"/>
              </w:rPr>
            </w:pPr>
            <w:r w:rsidRPr="00457256">
              <w:rPr>
                <w:rFonts w:ascii="Calibri" w:hAnsi="Calibri"/>
              </w:rPr>
              <w:t>5</w:t>
            </w:r>
            <w:r w:rsidR="00D9226A" w:rsidRPr="00457256">
              <w:rPr>
                <w:rFonts w:ascii="Calibri" w:hAnsi="Calibri"/>
              </w:rPr>
              <w:t>00mg</w:t>
            </w:r>
          </w:p>
        </w:tc>
      </w:tr>
      <w:tr w:rsidR="00D9226A" w:rsidRPr="00457256" w14:paraId="7B40C3A1" w14:textId="77777777">
        <w:tc>
          <w:tcPr>
            <w:tcW w:w="1908" w:type="dxa"/>
            <w:tcBorders>
              <w:bottom w:val="single" w:sz="4" w:space="0" w:color="auto"/>
            </w:tcBorders>
            <w:shd w:val="clear" w:color="auto" w:fill="auto"/>
          </w:tcPr>
          <w:p w14:paraId="75FEFB6E" w14:textId="77777777" w:rsidR="00D9226A" w:rsidRPr="00457256" w:rsidRDefault="00D9226A" w:rsidP="006E675F">
            <w:pPr>
              <w:rPr>
                <w:rFonts w:ascii="Calibri" w:hAnsi="Calibri"/>
              </w:rPr>
            </w:pPr>
            <w:r w:rsidRPr="00457256">
              <w:rPr>
                <w:rFonts w:ascii="Calibri" w:hAnsi="Calibri"/>
              </w:rPr>
              <w:t>Brands available</w:t>
            </w:r>
          </w:p>
        </w:tc>
        <w:tc>
          <w:tcPr>
            <w:tcW w:w="6614" w:type="dxa"/>
            <w:gridSpan w:val="2"/>
            <w:tcBorders>
              <w:bottom w:val="single" w:sz="4" w:space="0" w:color="auto"/>
            </w:tcBorders>
            <w:shd w:val="clear" w:color="auto" w:fill="auto"/>
          </w:tcPr>
          <w:p w14:paraId="52009429" w14:textId="77777777" w:rsidR="00D9226A" w:rsidRPr="00457256" w:rsidRDefault="0060219D" w:rsidP="006E675F">
            <w:pPr>
              <w:rPr>
                <w:rFonts w:ascii="Calibri" w:hAnsi="Calibri"/>
              </w:rPr>
            </w:pPr>
            <w:r w:rsidRPr="00457256">
              <w:rPr>
                <w:rFonts w:ascii="Calibri" w:hAnsi="Calibri"/>
              </w:rPr>
              <w:t>Sabril</w:t>
            </w:r>
          </w:p>
        </w:tc>
      </w:tr>
      <w:tr w:rsidR="00D9226A" w:rsidRPr="00457256" w14:paraId="0D033553" w14:textId="77777777">
        <w:tc>
          <w:tcPr>
            <w:tcW w:w="8522" w:type="dxa"/>
            <w:gridSpan w:val="3"/>
            <w:shd w:val="clear" w:color="auto" w:fill="FF6600"/>
          </w:tcPr>
          <w:p w14:paraId="7E9DF66A" w14:textId="77777777" w:rsidR="00D9226A" w:rsidRPr="00457256" w:rsidRDefault="00D9226A" w:rsidP="006E675F">
            <w:pPr>
              <w:rPr>
                <w:rFonts w:ascii="Calibri" w:hAnsi="Calibri"/>
                <w:b/>
              </w:rPr>
            </w:pPr>
            <w:r w:rsidRPr="00457256">
              <w:rPr>
                <w:rFonts w:ascii="Calibri" w:hAnsi="Calibri"/>
                <w:b/>
              </w:rPr>
              <w:t>Recommendation</w:t>
            </w:r>
          </w:p>
        </w:tc>
      </w:tr>
      <w:tr w:rsidR="00D9226A" w:rsidRPr="00457256" w14:paraId="0881A317" w14:textId="77777777">
        <w:tc>
          <w:tcPr>
            <w:tcW w:w="8522" w:type="dxa"/>
            <w:gridSpan w:val="3"/>
            <w:tcBorders>
              <w:bottom w:val="single" w:sz="4" w:space="0" w:color="auto"/>
            </w:tcBorders>
            <w:shd w:val="clear" w:color="auto" w:fill="auto"/>
          </w:tcPr>
          <w:p w14:paraId="4F216B85" w14:textId="62BA6F43" w:rsidR="00E3066E" w:rsidRDefault="00E3066E" w:rsidP="00236351">
            <w:pPr>
              <w:ind w:left="360"/>
              <w:jc w:val="both"/>
              <w:rPr>
                <w:rFonts w:ascii="Calibri" w:hAnsi="Calibri"/>
              </w:rPr>
            </w:pPr>
            <w:r w:rsidRPr="0076504A">
              <w:rPr>
                <w:rFonts w:ascii="Calibri" w:hAnsi="Calibri"/>
              </w:rPr>
              <w:t>These recommendations should not be used without consulting the ‘principles for swit</w:t>
            </w:r>
            <w:r w:rsidR="00D77FFD">
              <w:rPr>
                <w:rFonts w:ascii="Calibri" w:hAnsi="Calibri"/>
              </w:rPr>
              <w:t>ching’ section on page</w:t>
            </w:r>
            <w:r w:rsidR="00DC0F39">
              <w:rPr>
                <w:rFonts w:ascii="Calibri" w:hAnsi="Calibri"/>
              </w:rPr>
              <w:t xml:space="preserve"> 10</w:t>
            </w:r>
            <w:r w:rsidR="0076504A" w:rsidRPr="0076504A">
              <w:rPr>
                <w:rFonts w:ascii="Calibri" w:hAnsi="Calibri"/>
              </w:rPr>
              <w:t>.</w:t>
            </w:r>
          </w:p>
          <w:p w14:paraId="5026BA43" w14:textId="77777777" w:rsidR="00D9226A" w:rsidRDefault="007036B7" w:rsidP="00236351">
            <w:pPr>
              <w:numPr>
                <w:ilvl w:val="0"/>
                <w:numId w:val="8"/>
              </w:numPr>
              <w:jc w:val="both"/>
              <w:rPr>
                <w:rFonts w:ascii="Calibri" w:hAnsi="Calibri"/>
              </w:rPr>
            </w:pPr>
            <w:r>
              <w:rPr>
                <w:rFonts w:ascii="Calibri" w:hAnsi="Calibri"/>
              </w:rPr>
              <w:t xml:space="preserve">There is no evidence base to oppose switching but there is unlikely to be any </w:t>
            </w:r>
            <w:r w:rsidR="00186D47">
              <w:rPr>
                <w:rFonts w:ascii="Calibri" w:hAnsi="Calibri"/>
              </w:rPr>
              <w:t>financial</w:t>
            </w:r>
            <w:r>
              <w:rPr>
                <w:rFonts w:ascii="Calibri" w:hAnsi="Calibri"/>
              </w:rPr>
              <w:t xml:space="preserve"> advantage in doing so.</w:t>
            </w:r>
          </w:p>
          <w:p w14:paraId="78C47A39" w14:textId="77777777" w:rsidR="007036B7" w:rsidRDefault="007036B7" w:rsidP="00236351">
            <w:pPr>
              <w:numPr>
                <w:ilvl w:val="0"/>
                <w:numId w:val="8"/>
              </w:numPr>
              <w:jc w:val="both"/>
              <w:rPr>
                <w:rFonts w:ascii="Calibri" w:hAnsi="Calibri"/>
              </w:rPr>
            </w:pPr>
            <w:r>
              <w:rPr>
                <w:rFonts w:ascii="Calibri" w:hAnsi="Calibri"/>
              </w:rPr>
              <w:t xml:space="preserve">In these circumstances </w:t>
            </w:r>
            <w:r w:rsidR="00B85949">
              <w:rPr>
                <w:rFonts w:ascii="Calibri" w:hAnsi="Calibri"/>
              </w:rPr>
              <w:t xml:space="preserve">and given its use in refractory cases </w:t>
            </w:r>
            <w:r>
              <w:rPr>
                <w:rFonts w:ascii="Calibri" w:hAnsi="Calibri"/>
              </w:rPr>
              <w:t>switching is not supported.</w:t>
            </w:r>
          </w:p>
          <w:p w14:paraId="2491CD67" w14:textId="77777777" w:rsidR="00913400" w:rsidRPr="00457256" w:rsidRDefault="00913400" w:rsidP="00913400">
            <w:pPr>
              <w:ind w:left="360"/>
              <w:rPr>
                <w:rFonts w:ascii="Calibri" w:hAnsi="Calibri"/>
              </w:rPr>
            </w:pPr>
          </w:p>
        </w:tc>
      </w:tr>
      <w:tr w:rsidR="00D9226A" w:rsidRPr="00457256" w14:paraId="56F2BA2D" w14:textId="77777777">
        <w:tc>
          <w:tcPr>
            <w:tcW w:w="8522" w:type="dxa"/>
            <w:gridSpan w:val="3"/>
            <w:shd w:val="clear" w:color="auto" w:fill="FF6600"/>
          </w:tcPr>
          <w:p w14:paraId="705A6572" w14:textId="77777777" w:rsidR="00D9226A" w:rsidRPr="00457256" w:rsidRDefault="00D9226A" w:rsidP="006E675F">
            <w:pPr>
              <w:rPr>
                <w:rFonts w:ascii="Calibri" w:hAnsi="Calibri"/>
                <w:b/>
              </w:rPr>
            </w:pPr>
            <w:r w:rsidRPr="00457256">
              <w:rPr>
                <w:rFonts w:ascii="Calibri" w:hAnsi="Calibri"/>
                <w:b/>
              </w:rPr>
              <w:t>Rationale</w:t>
            </w:r>
          </w:p>
        </w:tc>
      </w:tr>
      <w:tr w:rsidR="00D9226A" w:rsidRPr="00457256" w14:paraId="1056122B" w14:textId="77777777">
        <w:tc>
          <w:tcPr>
            <w:tcW w:w="8522" w:type="dxa"/>
            <w:gridSpan w:val="3"/>
            <w:tcBorders>
              <w:bottom w:val="single" w:sz="4" w:space="0" w:color="auto"/>
            </w:tcBorders>
            <w:shd w:val="clear" w:color="auto" w:fill="auto"/>
          </w:tcPr>
          <w:p w14:paraId="38DD429D" w14:textId="0EF0FE40" w:rsidR="00D55E7A" w:rsidRDefault="00D55E7A" w:rsidP="006E675F">
            <w:pPr>
              <w:rPr>
                <w:rFonts w:ascii="Calibri" w:hAnsi="Calibri"/>
                <w:color w:val="000000"/>
              </w:rPr>
            </w:pPr>
          </w:p>
          <w:p w14:paraId="6831F5CE" w14:textId="77777777" w:rsidR="002725ED" w:rsidRDefault="002725ED" w:rsidP="001C5B76">
            <w:pPr>
              <w:jc w:val="both"/>
              <w:rPr>
                <w:rFonts w:ascii="Calibri" w:hAnsi="Calibri"/>
              </w:rPr>
            </w:pPr>
            <w:r w:rsidRPr="00265D6C">
              <w:rPr>
                <w:rFonts w:ascii="Calibri" w:hAnsi="Calibri"/>
                <w:b/>
                <w:bCs/>
              </w:rPr>
              <w:t>MHRA-Category 3</w:t>
            </w:r>
            <w:r>
              <w:rPr>
                <w:rFonts w:ascii="Calibri" w:hAnsi="Calibri"/>
              </w:rPr>
              <w:t xml:space="preserve">: The potential for clinically relevant differences to exist between different manufacturers’ products is considered to be extremely low.  However, consider other patient/carer-related factors, such as negative perceptions about alternative products and/or issues related to the patient. </w:t>
            </w:r>
          </w:p>
          <w:p w14:paraId="4E5684D0" w14:textId="77777777" w:rsidR="002725ED" w:rsidRDefault="002725ED" w:rsidP="001C5B76">
            <w:pPr>
              <w:jc w:val="both"/>
              <w:rPr>
                <w:rFonts w:ascii="Calibri" w:hAnsi="Calibri"/>
                <w:color w:val="000000"/>
              </w:rPr>
            </w:pPr>
          </w:p>
          <w:p w14:paraId="1B515AF4" w14:textId="77777777" w:rsidR="000526BA" w:rsidRPr="000526BA" w:rsidRDefault="00D55E7A" w:rsidP="00236351">
            <w:pPr>
              <w:spacing w:before="45" w:after="45"/>
              <w:jc w:val="both"/>
              <w:rPr>
                <w:rFonts w:ascii="Calibri" w:hAnsi="Calibri" w:cs="Arial"/>
                <w:color w:val="000000"/>
              </w:rPr>
            </w:pPr>
            <w:r w:rsidRPr="000526BA">
              <w:rPr>
                <w:rFonts w:ascii="Calibri" w:hAnsi="Calibri"/>
                <w:b/>
                <w:color w:val="000000"/>
              </w:rPr>
              <w:t>Half life:</w:t>
            </w:r>
            <w:r>
              <w:rPr>
                <w:rFonts w:ascii="Calibri" w:hAnsi="Calibri"/>
                <w:color w:val="000000"/>
              </w:rPr>
              <w:t xml:space="preserve"> </w:t>
            </w:r>
            <w:r w:rsidR="000526BA" w:rsidRPr="000526BA">
              <w:rPr>
                <w:rFonts w:ascii="Calibri" w:hAnsi="Calibri"/>
                <w:color w:val="000000"/>
              </w:rPr>
              <w:t>Vigabatrin a</w:t>
            </w:r>
            <w:r w:rsidR="000526BA" w:rsidRPr="000526BA">
              <w:rPr>
                <w:rFonts w:ascii="Calibri" w:hAnsi="Calibri" w:cs="Arial"/>
                <w:color w:val="000000"/>
              </w:rPr>
              <w:t xml:space="preserve">dults: 7 to 7.5 hours. Paediatrics: 5.7 hours. </w:t>
            </w:r>
            <w:r w:rsidR="000526BA" w:rsidRPr="00D77FFD">
              <w:rPr>
                <w:rFonts w:ascii="Calibri" w:hAnsi="Calibri" w:cs="Arial"/>
                <w:color w:val="000000"/>
              </w:rPr>
              <w:t>(Micromedex 2012)</w:t>
            </w:r>
          </w:p>
          <w:p w14:paraId="1B1AF4EC" w14:textId="77777777" w:rsidR="00013A6F" w:rsidRPr="006D2965" w:rsidRDefault="00013A6F" w:rsidP="00236351">
            <w:pPr>
              <w:jc w:val="both"/>
              <w:rPr>
                <w:rFonts w:ascii="Calibri" w:hAnsi="Calibri" w:cs="Arial"/>
              </w:rPr>
            </w:pPr>
            <w:r w:rsidRPr="00D77FFD">
              <w:rPr>
                <w:rFonts w:ascii="Calibri" w:hAnsi="Calibri"/>
                <w:b/>
              </w:rPr>
              <w:t>Biopharmaceutics Classification System</w:t>
            </w:r>
            <w:r w:rsidRPr="00D63BD3">
              <w:rPr>
                <w:rFonts w:ascii="Calibri" w:hAnsi="Calibri" w:cs="Arial"/>
                <w:b/>
              </w:rPr>
              <w:t>:</w:t>
            </w:r>
            <w:r w:rsidRPr="006D2965">
              <w:rPr>
                <w:rFonts w:ascii="Calibri" w:hAnsi="Calibri" w:cs="Arial"/>
              </w:rPr>
              <w:t xml:space="preserve"> </w:t>
            </w:r>
            <w:r>
              <w:rPr>
                <w:rFonts w:ascii="Calibri" w:hAnsi="Calibri" w:cs="Arial"/>
              </w:rPr>
              <w:t>No data</w:t>
            </w:r>
          </w:p>
          <w:p w14:paraId="7432B0A3" w14:textId="77777777" w:rsidR="00013A6F" w:rsidRPr="00D77FFD" w:rsidRDefault="00013A6F" w:rsidP="00236351">
            <w:pPr>
              <w:autoSpaceDE w:val="0"/>
              <w:autoSpaceDN w:val="0"/>
              <w:adjustRightInd w:val="0"/>
              <w:jc w:val="both"/>
              <w:rPr>
                <w:rFonts w:ascii="Calibri" w:hAnsi="Calibri" w:cs="AdvPS9779"/>
              </w:rPr>
            </w:pPr>
            <w:r w:rsidRPr="00D77FFD">
              <w:rPr>
                <w:rFonts w:ascii="Calibri" w:hAnsi="Calibri" w:cs="AdvP7B72"/>
              </w:rPr>
              <w:t>(Anderson</w:t>
            </w:r>
            <w:r w:rsidRPr="00D77FFD">
              <w:rPr>
                <w:rFonts w:ascii="Calibri" w:hAnsi="Calibri"/>
              </w:rPr>
              <w:t xml:space="preserve"> 2008) </w:t>
            </w:r>
          </w:p>
          <w:p w14:paraId="57AF522D" w14:textId="77777777" w:rsidR="00452E9B" w:rsidRPr="00457256" w:rsidRDefault="00452E9B" w:rsidP="00236351">
            <w:pPr>
              <w:jc w:val="both"/>
              <w:rPr>
                <w:rFonts w:ascii="Calibri" w:hAnsi="Calibri"/>
                <w:color w:val="FF0000"/>
              </w:rPr>
            </w:pPr>
          </w:p>
          <w:p w14:paraId="7BF07703" w14:textId="77777777" w:rsidR="00452E9B" w:rsidRPr="00457256" w:rsidRDefault="00452E9B" w:rsidP="00236351">
            <w:pPr>
              <w:jc w:val="both"/>
              <w:rPr>
                <w:rFonts w:ascii="Calibri" w:hAnsi="Calibri"/>
                <w:color w:val="FF0000"/>
              </w:rPr>
            </w:pPr>
            <w:r w:rsidRPr="00457256">
              <w:rPr>
                <w:rFonts w:ascii="Calibri" w:hAnsi="Calibri"/>
              </w:rPr>
              <w:t>A literature search retrieved no relevant studies</w:t>
            </w:r>
            <w:r w:rsidR="000526BA">
              <w:rPr>
                <w:rFonts w:ascii="Calibri" w:hAnsi="Calibri"/>
              </w:rPr>
              <w:t>.</w:t>
            </w:r>
          </w:p>
          <w:p w14:paraId="5312B928" w14:textId="77777777" w:rsidR="00452E9B" w:rsidRPr="00457256" w:rsidRDefault="00452E9B" w:rsidP="006E675F">
            <w:pPr>
              <w:rPr>
                <w:rFonts w:ascii="Calibri" w:hAnsi="Calibri"/>
                <w:color w:val="FF0000"/>
              </w:rPr>
            </w:pPr>
          </w:p>
        </w:tc>
      </w:tr>
    </w:tbl>
    <w:p w14:paraId="5103BEE8" w14:textId="77777777" w:rsidR="0054090D" w:rsidRPr="0018137D" w:rsidRDefault="0076504A">
      <w:pPr>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700"/>
        <w:gridCol w:w="3914"/>
      </w:tblGrid>
      <w:tr w:rsidR="0060219D" w:rsidRPr="00457256" w14:paraId="2EAEC36F" w14:textId="77777777">
        <w:tc>
          <w:tcPr>
            <w:tcW w:w="8522" w:type="dxa"/>
            <w:gridSpan w:val="3"/>
            <w:tcBorders>
              <w:top w:val="nil"/>
              <w:left w:val="nil"/>
              <w:bottom w:val="nil"/>
              <w:right w:val="nil"/>
            </w:tcBorders>
            <w:shd w:val="clear" w:color="auto" w:fill="FF6600"/>
          </w:tcPr>
          <w:p w14:paraId="17BFA878" w14:textId="77777777" w:rsidR="0060219D" w:rsidRPr="00457256" w:rsidRDefault="0060219D" w:rsidP="006E675F">
            <w:pPr>
              <w:pStyle w:val="Heading3"/>
              <w:rPr>
                <w:rFonts w:ascii="Calibri" w:hAnsi="Calibri"/>
              </w:rPr>
            </w:pPr>
            <w:bookmarkStart w:id="24" w:name="_Zonisamide"/>
            <w:bookmarkEnd w:id="24"/>
            <w:r w:rsidRPr="00457256">
              <w:rPr>
                <w:rFonts w:ascii="Calibri" w:hAnsi="Calibri"/>
              </w:rPr>
              <w:t>Zonisamide</w:t>
            </w:r>
          </w:p>
        </w:tc>
      </w:tr>
      <w:tr w:rsidR="0060219D" w:rsidRPr="00457256" w14:paraId="7DFAD3F6" w14:textId="77777777">
        <w:tc>
          <w:tcPr>
            <w:tcW w:w="8522" w:type="dxa"/>
            <w:gridSpan w:val="3"/>
            <w:tcBorders>
              <w:top w:val="nil"/>
            </w:tcBorders>
            <w:shd w:val="clear" w:color="auto" w:fill="000000"/>
          </w:tcPr>
          <w:p w14:paraId="018C49E0" w14:textId="77777777" w:rsidR="0060219D" w:rsidRPr="00457256" w:rsidRDefault="0060219D" w:rsidP="006E675F">
            <w:pPr>
              <w:rPr>
                <w:rFonts w:ascii="Calibri" w:hAnsi="Calibri"/>
              </w:rPr>
            </w:pPr>
          </w:p>
        </w:tc>
      </w:tr>
      <w:tr w:rsidR="0060219D" w:rsidRPr="00457256" w14:paraId="3CFD7F8B" w14:textId="77777777">
        <w:tc>
          <w:tcPr>
            <w:tcW w:w="1908" w:type="dxa"/>
            <w:shd w:val="clear" w:color="auto" w:fill="auto"/>
            <w:vAlign w:val="center"/>
          </w:tcPr>
          <w:p w14:paraId="1AA29069" w14:textId="77777777" w:rsidR="0060219D" w:rsidRPr="00457256" w:rsidRDefault="0060219D" w:rsidP="006E675F">
            <w:pPr>
              <w:rPr>
                <w:rFonts w:ascii="Calibri" w:hAnsi="Calibri"/>
              </w:rPr>
            </w:pPr>
            <w:r w:rsidRPr="00457256">
              <w:rPr>
                <w:rFonts w:ascii="Calibri" w:hAnsi="Calibri"/>
              </w:rPr>
              <w:t>Forms available</w:t>
            </w:r>
          </w:p>
        </w:tc>
        <w:tc>
          <w:tcPr>
            <w:tcW w:w="2700" w:type="dxa"/>
            <w:shd w:val="clear" w:color="auto" w:fill="auto"/>
          </w:tcPr>
          <w:p w14:paraId="698ADDE4" w14:textId="77777777" w:rsidR="0060219D" w:rsidRPr="00457256" w:rsidRDefault="0060219D" w:rsidP="006E675F">
            <w:pPr>
              <w:rPr>
                <w:rFonts w:ascii="Calibri" w:hAnsi="Calibri"/>
              </w:rPr>
            </w:pPr>
            <w:r w:rsidRPr="00457256">
              <w:rPr>
                <w:rFonts w:ascii="Calibri" w:hAnsi="Calibri"/>
              </w:rPr>
              <w:t>Capsules</w:t>
            </w:r>
          </w:p>
        </w:tc>
        <w:tc>
          <w:tcPr>
            <w:tcW w:w="3914" w:type="dxa"/>
            <w:shd w:val="clear" w:color="auto" w:fill="auto"/>
          </w:tcPr>
          <w:p w14:paraId="0F6F5430" w14:textId="77777777" w:rsidR="0060219D" w:rsidRPr="00457256" w:rsidRDefault="0060219D" w:rsidP="006E675F">
            <w:pPr>
              <w:rPr>
                <w:rFonts w:ascii="Calibri" w:hAnsi="Calibri"/>
              </w:rPr>
            </w:pPr>
            <w:r w:rsidRPr="00457256">
              <w:rPr>
                <w:rFonts w:ascii="Calibri" w:hAnsi="Calibri"/>
              </w:rPr>
              <w:t>25mg, 50mg, 100mg</w:t>
            </w:r>
          </w:p>
        </w:tc>
      </w:tr>
      <w:tr w:rsidR="0060219D" w:rsidRPr="00457256" w14:paraId="55FBB568" w14:textId="77777777">
        <w:tc>
          <w:tcPr>
            <w:tcW w:w="1908" w:type="dxa"/>
            <w:tcBorders>
              <w:bottom w:val="nil"/>
            </w:tcBorders>
            <w:shd w:val="clear" w:color="auto" w:fill="auto"/>
          </w:tcPr>
          <w:p w14:paraId="6412C39F" w14:textId="77777777" w:rsidR="0060219D" w:rsidRPr="00457256" w:rsidRDefault="0060219D" w:rsidP="006E675F">
            <w:pPr>
              <w:rPr>
                <w:rFonts w:ascii="Calibri" w:hAnsi="Calibri"/>
              </w:rPr>
            </w:pPr>
            <w:r w:rsidRPr="00457256">
              <w:rPr>
                <w:rFonts w:ascii="Calibri" w:hAnsi="Calibri"/>
              </w:rPr>
              <w:t>Brands available</w:t>
            </w:r>
          </w:p>
        </w:tc>
        <w:tc>
          <w:tcPr>
            <w:tcW w:w="6614" w:type="dxa"/>
            <w:gridSpan w:val="2"/>
            <w:tcBorders>
              <w:bottom w:val="nil"/>
            </w:tcBorders>
            <w:shd w:val="clear" w:color="auto" w:fill="auto"/>
          </w:tcPr>
          <w:p w14:paraId="3EE79995" w14:textId="77777777" w:rsidR="0060219D" w:rsidRPr="00457256" w:rsidRDefault="0060219D" w:rsidP="006E675F">
            <w:pPr>
              <w:rPr>
                <w:rFonts w:ascii="Calibri" w:hAnsi="Calibri"/>
              </w:rPr>
            </w:pPr>
            <w:r w:rsidRPr="00457256">
              <w:rPr>
                <w:rFonts w:ascii="Calibri" w:hAnsi="Calibri"/>
              </w:rPr>
              <w:t>Zonegran</w:t>
            </w:r>
          </w:p>
        </w:tc>
      </w:tr>
      <w:tr w:rsidR="0060219D" w:rsidRPr="00457256" w14:paraId="0EB0DB63" w14:textId="77777777">
        <w:tc>
          <w:tcPr>
            <w:tcW w:w="8522" w:type="dxa"/>
            <w:gridSpan w:val="3"/>
            <w:tcBorders>
              <w:top w:val="nil"/>
              <w:left w:val="nil"/>
              <w:bottom w:val="nil"/>
              <w:right w:val="nil"/>
            </w:tcBorders>
            <w:shd w:val="clear" w:color="auto" w:fill="FF6600"/>
          </w:tcPr>
          <w:p w14:paraId="346B2D2D" w14:textId="77777777" w:rsidR="0060219D" w:rsidRPr="00457256" w:rsidRDefault="0060219D" w:rsidP="006E675F">
            <w:pPr>
              <w:rPr>
                <w:rFonts w:ascii="Calibri" w:hAnsi="Calibri"/>
                <w:b/>
              </w:rPr>
            </w:pPr>
            <w:r w:rsidRPr="00457256">
              <w:rPr>
                <w:rFonts w:ascii="Calibri" w:hAnsi="Calibri"/>
                <w:b/>
              </w:rPr>
              <w:t>Recommendation</w:t>
            </w:r>
          </w:p>
        </w:tc>
      </w:tr>
      <w:tr w:rsidR="0060219D" w:rsidRPr="00457256" w14:paraId="3AAC70AB" w14:textId="77777777">
        <w:tc>
          <w:tcPr>
            <w:tcW w:w="8522" w:type="dxa"/>
            <w:gridSpan w:val="3"/>
            <w:tcBorders>
              <w:top w:val="nil"/>
              <w:bottom w:val="nil"/>
            </w:tcBorders>
            <w:shd w:val="clear" w:color="auto" w:fill="auto"/>
          </w:tcPr>
          <w:p w14:paraId="31DD15BF" w14:textId="0F346D38" w:rsidR="00E3066E" w:rsidRDefault="00E3066E" w:rsidP="00236351">
            <w:pPr>
              <w:ind w:left="360"/>
              <w:jc w:val="both"/>
              <w:rPr>
                <w:rFonts w:ascii="Calibri" w:hAnsi="Calibri"/>
              </w:rPr>
            </w:pPr>
            <w:r w:rsidRPr="0076504A">
              <w:rPr>
                <w:rFonts w:ascii="Calibri" w:hAnsi="Calibri"/>
              </w:rPr>
              <w:t>These recommendations should not be used without consulting the ‘principles for switching’ sec</w:t>
            </w:r>
            <w:r w:rsidR="00D77FFD">
              <w:rPr>
                <w:rFonts w:ascii="Calibri" w:hAnsi="Calibri"/>
              </w:rPr>
              <w:t xml:space="preserve">tion on page </w:t>
            </w:r>
            <w:r w:rsidR="00DC0F39">
              <w:rPr>
                <w:rFonts w:ascii="Calibri" w:hAnsi="Calibri"/>
              </w:rPr>
              <w:t>10</w:t>
            </w:r>
            <w:r w:rsidR="0076504A">
              <w:rPr>
                <w:rFonts w:ascii="Calibri" w:hAnsi="Calibri"/>
              </w:rPr>
              <w:t>.</w:t>
            </w:r>
          </w:p>
          <w:p w14:paraId="0997FD62" w14:textId="77777777" w:rsidR="007036B7" w:rsidRPr="0072213D" w:rsidRDefault="007036B7" w:rsidP="00236351">
            <w:pPr>
              <w:numPr>
                <w:ilvl w:val="0"/>
                <w:numId w:val="8"/>
              </w:numPr>
              <w:jc w:val="both"/>
              <w:rPr>
                <w:rFonts w:ascii="Calibri" w:hAnsi="Calibri"/>
                <w:color w:val="000000"/>
              </w:rPr>
            </w:pPr>
            <w:r w:rsidRPr="0072213D">
              <w:rPr>
                <w:rFonts w:ascii="Calibri" w:hAnsi="Calibri"/>
                <w:color w:val="000000"/>
              </w:rPr>
              <w:t>Zonisamide is not a theoretical high risk</w:t>
            </w:r>
            <w:r w:rsidR="000526BA">
              <w:rPr>
                <w:rFonts w:ascii="Calibri" w:hAnsi="Calibri"/>
                <w:color w:val="000000"/>
              </w:rPr>
              <w:t>.</w:t>
            </w:r>
          </w:p>
          <w:p w14:paraId="26E04689" w14:textId="77777777" w:rsidR="0060219D" w:rsidRPr="00D55E7A" w:rsidRDefault="00824220" w:rsidP="00236351">
            <w:pPr>
              <w:numPr>
                <w:ilvl w:val="0"/>
                <w:numId w:val="8"/>
              </w:numPr>
              <w:jc w:val="both"/>
              <w:rPr>
                <w:rFonts w:ascii="Calibri" w:hAnsi="Calibri"/>
              </w:rPr>
            </w:pPr>
            <w:r w:rsidRPr="00824220">
              <w:rPr>
                <w:rFonts w:ascii="Calibri" w:hAnsi="Calibri" w:cs="Courier New"/>
              </w:rPr>
              <w:t xml:space="preserve">There are no specific data to </w:t>
            </w:r>
            <w:r w:rsidR="00913400">
              <w:rPr>
                <w:rFonts w:ascii="Calibri" w:hAnsi="Calibri" w:cs="Courier New"/>
              </w:rPr>
              <w:t>suggest that switching causes</w:t>
            </w:r>
            <w:r w:rsidRPr="00824220">
              <w:rPr>
                <w:rFonts w:ascii="Calibri" w:hAnsi="Calibri" w:cs="Courier New"/>
              </w:rPr>
              <w:t xml:space="preserve"> problems in clinical practice.  In these circumstances it seems reasonable to allow switching for most patients</w:t>
            </w:r>
            <w:r w:rsidR="000526BA">
              <w:rPr>
                <w:rFonts w:ascii="Calibri" w:hAnsi="Calibri" w:cs="Courier New"/>
              </w:rPr>
              <w:t>.</w:t>
            </w:r>
          </w:p>
          <w:p w14:paraId="04FEB683" w14:textId="77777777" w:rsidR="00D55E7A" w:rsidRPr="00457256" w:rsidRDefault="00D55E7A" w:rsidP="00D55E7A">
            <w:pPr>
              <w:ind w:left="360"/>
              <w:rPr>
                <w:rFonts w:ascii="Calibri" w:hAnsi="Calibri"/>
              </w:rPr>
            </w:pPr>
          </w:p>
        </w:tc>
      </w:tr>
      <w:tr w:rsidR="0060219D" w:rsidRPr="00457256" w14:paraId="1E1035B9" w14:textId="77777777">
        <w:tc>
          <w:tcPr>
            <w:tcW w:w="8522" w:type="dxa"/>
            <w:gridSpan w:val="3"/>
            <w:tcBorders>
              <w:top w:val="nil"/>
              <w:left w:val="nil"/>
              <w:bottom w:val="nil"/>
              <w:right w:val="nil"/>
            </w:tcBorders>
            <w:shd w:val="clear" w:color="auto" w:fill="FF6600"/>
          </w:tcPr>
          <w:p w14:paraId="046B28FD" w14:textId="77777777" w:rsidR="0060219D" w:rsidRPr="00457256" w:rsidRDefault="0060219D" w:rsidP="006E675F">
            <w:pPr>
              <w:rPr>
                <w:rFonts w:ascii="Calibri" w:hAnsi="Calibri"/>
                <w:b/>
              </w:rPr>
            </w:pPr>
            <w:r w:rsidRPr="00457256">
              <w:rPr>
                <w:rFonts w:ascii="Calibri" w:hAnsi="Calibri"/>
                <w:b/>
              </w:rPr>
              <w:t>Rationale</w:t>
            </w:r>
          </w:p>
        </w:tc>
      </w:tr>
      <w:tr w:rsidR="0060219D" w:rsidRPr="00457256" w14:paraId="2B6F60C4" w14:textId="77777777" w:rsidTr="00A30BC1">
        <w:tc>
          <w:tcPr>
            <w:tcW w:w="8522" w:type="dxa"/>
            <w:gridSpan w:val="3"/>
            <w:tcBorders>
              <w:top w:val="nil"/>
              <w:bottom w:val="single" w:sz="4" w:space="0" w:color="auto"/>
            </w:tcBorders>
            <w:shd w:val="clear" w:color="auto" w:fill="auto"/>
          </w:tcPr>
          <w:p w14:paraId="6EE9BC71" w14:textId="7DC6120D" w:rsidR="00603277" w:rsidRDefault="00603277" w:rsidP="00603277">
            <w:pPr>
              <w:rPr>
                <w:rFonts w:ascii="Calibri" w:hAnsi="Calibri"/>
              </w:rPr>
            </w:pPr>
          </w:p>
          <w:p w14:paraId="2A6B6371" w14:textId="03717593" w:rsidR="009708A8" w:rsidRDefault="009708A8" w:rsidP="001C5B76">
            <w:pPr>
              <w:jc w:val="both"/>
              <w:rPr>
                <w:rFonts w:ascii="Calibri" w:hAnsi="Calibri"/>
              </w:rPr>
            </w:pPr>
            <w:r w:rsidRPr="00FA2FC2">
              <w:rPr>
                <w:rFonts w:ascii="Calibri" w:hAnsi="Calibri"/>
                <w:b/>
                <w:bCs/>
              </w:rPr>
              <w:t>MHRA-Category 2:</w:t>
            </w:r>
            <w:r>
              <w:rPr>
                <w:rFonts w:ascii="Calibri" w:hAnsi="Calibri"/>
              </w:rPr>
              <w:t xml:space="preserve"> Base the need for continued supply of particular manufacturers’ product on clinical judgement and consultation with </w:t>
            </w:r>
            <w:r w:rsidR="00325D62">
              <w:rPr>
                <w:rFonts w:ascii="Calibri" w:hAnsi="Calibri"/>
              </w:rPr>
              <w:t>patient</w:t>
            </w:r>
            <w:r>
              <w:rPr>
                <w:rFonts w:ascii="Calibri" w:hAnsi="Calibri"/>
              </w:rPr>
              <w:t xml:space="preserve"> and/or carer, taking into account factors such as seizure frequency and treatment history.  Take into account patient/carer-related factors such as their negative perceptions about alternative products and/or other issues related to the patient. </w:t>
            </w:r>
          </w:p>
          <w:p w14:paraId="51119419" w14:textId="77777777" w:rsidR="009708A8" w:rsidRDefault="009708A8" w:rsidP="00603277">
            <w:pPr>
              <w:rPr>
                <w:rFonts w:ascii="Calibri" w:hAnsi="Calibri"/>
              </w:rPr>
            </w:pPr>
          </w:p>
          <w:p w14:paraId="17EF2AC6" w14:textId="77777777" w:rsidR="00603277" w:rsidRDefault="00603277" w:rsidP="00236351">
            <w:pPr>
              <w:jc w:val="both"/>
              <w:rPr>
                <w:rFonts w:ascii="Calibri" w:hAnsi="Calibri"/>
              </w:rPr>
            </w:pPr>
            <w:r w:rsidRPr="000526BA">
              <w:rPr>
                <w:rFonts w:ascii="Calibri" w:hAnsi="Calibri"/>
                <w:b/>
              </w:rPr>
              <w:t>Half life</w:t>
            </w:r>
            <w:r w:rsidR="00D55E7A" w:rsidRPr="000526BA">
              <w:rPr>
                <w:rFonts w:ascii="Calibri" w:hAnsi="Calibri"/>
                <w:b/>
              </w:rPr>
              <w:t>:</w:t>
            </w:r>
            <w:r w:rsidR="000526BA">
              <w:rPr>
                <w:rFonts w:ascii="Calibri" w:hAnsi="Calibri"/>
              </w:rPr>
              <w:t xml:space="preserve">   </w:t>
            </w:r>
            <w:r w:rsidR="000526BA" w:rsidRPr="000526BA">
              <w:rPr>
                <w:rFonts w:ascii="Calibri" w:hAnsi="Calibri"/>
              </w:rPr>
              <w:t>Zonisamide a</w:t>
            </w:r>
            <w:r w:rsidR="000526BA" w:rsidRPr="000526BA">
              <w:rPr>
                <w:rFonts w:ascii="Calibri" w:hAnsi="Calibri" w:cs="Arial"/>
                <w:color w:val="000000"/>
              </w:rPr>
              <w:t xml:space="preserve">dults: 63 hours in plasma; 105 hours in erythrocytes. </w:t>
            </w:r>
            <w:r w:rsidR="000526BA" w:rsidRPr="00D77FFD">
              <w:rPr>
                <w:rFonts w:ascii="Calibri" w:hAnsi="Calibri" w:cs="Arial"/>
                <w:color w:val="000000"/>
              </w:rPr>
              <w:t>(Micromedex 2012)</w:t>
            </w:r>
            <w:r w:rsidR="000526BA">
              <w:rPr>
                <w:rFonts w:ascii="Calibri" w:hAnsi="Calibri"/>
              </w:rPr>
              <w:t xml:space="preserve">    </w:t>
            </w:r>
          </w:p>
          <w:p w14:paraId="4D489AD0" w14:textId="77777777" w:rsidR="00A07CDF" w:rsidRPr="006D2965" w:rsidRDefault="00A07CDF" w:rsidP="00236351">
            <w:pPr>
              <w:jc w:val="both"/>
              <w:rPr>
                <w:rFonts w:ascii="Calibri" w:hAnsi="Calibri" w:cs="Arial"/>
              </w:rPr>
            </w:pPr>
            <w:r w:rsidRPr="00D77FFD">
              <w:rPr>
                <w:rFonts w:ascii="Calibri" w:hAnsi="Calibri"/>
                <w:b/>
              </w:rPr>
              <w:t>Biopharmaceutics Classification System</w:t>
            </w:r>
            <w:r w:rsidRPr="00D63BD3">
              <w:rPr>
                <w:rFonts w:ascii="Calibri" w:hAnsi="Calibri" w:cs="Arial"/>
                <w:b/>
              </w:rPr>
              <w:t>:</w:t>
            </w:r>
            <w:r w:rsidRPr="006D2965">
              <w:rPr>
                <w:rFonts w:ascii="Calibri" w:hAnsi="Calibri" w:cs="Arial"/>
              </w:rPr>
              <w:t xml:space="preserve"> I</w:t>
            </w:r>
            <w:r w:rsidRPr="008034D0">
              <w:rPr>
                <w:rFonts w:ascii="Calibri" w:hAnsi="Calibri" w:cs="AdvP7B6C"/>
                <w:color w:val="000000"/>
              </w:rPr>
              <w:t xml:space="preserve">  </w:t>
            </w:r>
            <w:r>
              <w:rPr>
                <w:rFonts w:ascii="Calibri" w:hAnsi="Calibri" w:cs="AdvP7B6C"/>
                <w:color w:val="000000"/>
              </w:rPr>
              <w:t>(high</w:t>
            </w:r>
            <w:r w:rsidRPr="008034D0">
              <w:rPr>
                <w:rFonts w:ascii="Calibri" w:hAnsi="Calibri" w:cs="AdvP7B6C"/>
                <w:color w:val="000000"/>
              </w:rPr>
              <w:t xml:space="preserve"> solubility/high permeability</w:t>
            </w:r>
            <w:r>
              <w:rPr>
                <w:rFonts w:ascii="Calibri" w:hAnsi="Calibri" w:cs="AdvP7B6C"/>
                <w:color w:val="000000"/>
              </w:rPr>
              <w:t>)</w:t>
            </w:r>
          </w:p>
          <w:p w14:paraId="7567EFD5" w14:textId="77777777" w:rsidR="00A07CDF" w:rsidRPr="00D77FFD" w:rsidRDefault="00A07CDF" w:rsidP="00236351">
            <w:pPr>
              <w:autoSpaceDE w:val="0"/>
              <w:autoSpaceDN w:val="0"/>
              <w:adjustRightInd w:val="0"/>
              <w:jc w:val="both"/>
              <w:rPr>
                <w:rFonts w:ascii="Calibri" w:hAnsi="Calibri" w:cs="AdvPS9779"/>
              </w:rPr>
            </w:pPr>
            <w:r w:rsidRPr="00D77FFD">
              <w:rPr>
                <w:rFonts w:ascii="Calibri" w:hAnsi="Calibri" w:cs="AdvP7B72"/>
              </w:rPr>
              <w:t>(Anderson</w:t>
            </w:r>
            <w:r w:rsidRPr="00D77FFD">
              <w:rPr>
                <w:rFonts w:ascii="Calibri" w:hAnsi="Calibri"/>
              </w:rPr>
              <w:t xml:space="preserve"> 2008) </w:t>
            </w:r>
          </w:p>
          <w:p w14:paraId="2F68A927" w14:textId="77777777" w:rsidR="00603277" w:rsidRDefault="00603277" w:rsidP="00236351">
            <w:pPr>
              <w:jc w:val="both"/>
              <w:rPr>
                <w:rFonts w:ascii="Calibri" w:hAnsi="Calibri"/>
              </w:rPr>
            </w:pPr>
          </w:p>
          <w:p w14:paraId="5D2E10DD" w14:textId="77777777" w:rsidR="00603277" w:rsidRPr="009B15D1" w:rsidRDefault="00603277" w:rsidP="00236351">
            <w:pPr>
              <w:jc w:val="both"/>
              <w:rPr>
                <w:rFonts w:ascii="Calibri" w:hAnsi="Calibri"/>
              </w:rPr>
            </w:pPr>
            <w:r w:rsidRPr="009B15D1">
              <w:rPr>
                <w:rFonts w:ascii="Calibri" w:hAnsi="Calibri"/>
              </w:rPr>
              <w:t>A literature search retrieved 4 relevant studies. These included 3 data analysis studies from healthcare claims databases in the US and a survey of physicians experiences in the US.</w:t>
            </w:r>
          </w:p>
          <w:p w14:paraId="4B49C401" w14:textId="77777777" w:rsidR="00603277" w:rsidRPr="009B15D1" w:rsidRDefault="00603277" w:rsidP="00236351">
            <w:pPr>
              <w:jc w:val="both"/>
              <w:rPr>
                <w:rFonts w:ascii="Calibri" w:hAnsi="Calibri"/>
              </w:rPr>
            </w:pPr>
          </w:p>
          <w:p w14:paraId="67F12C68" w14:textId="77777777" w:rsidR="00603277" w:rsidRPr="00D77FFD" w:rsidRDefault="00603277" w:rsidP="00236351">
            <w:pPr>
              <w:autoSpaceDE w:val="0"/>
              <w:autoSpaceDN w:val="0"/>
              <w:adjustRightInd w:val="0"/>
              <w:jc w:val="both"/>
              <w:rPr>
                <w:rFonts w:ascii="Calibri" w:hAnsi="Calibri"/>
              </w:rPr>
            </w:pPr>
            <w:r w:rsidRPr="009E5434">
              <w:rPr>
                <w:rFonts w:ascii="Calibri" w:hAnsi="Calibri"/>
                <w:color w:val="000000"/>
              </w:rPr>
              <w:t xml:space="preserve">A US retrospective case-control analysis identified claims from the Ingenix LabRx Database between 7/1/2006 and 12/31/2006. </w:t>
            </w:r>
            <w:r w:rsidRPr="00D77FFD">
              <w:rPr>
                <w:rFonts w:ascii="Calibri" w:hAnsi="Calibri"/>
                <w:color w:val="000000"/>
              </w:rPr>
              <w:t>This time period was shortly after the introduction of generic zonisamide to the market in the US.  Epileptic patients who had received emergency care for epilepsy related events (cases) were more likely to have been switched between brand and generic AEDs (47/416, 11.3%), than epileptic patients seen in outpatients (controls) during the same period (81/1248, 6.5%).  Zonisamide accounted for 28/4</w:t>
            </w:r>
            <w:r w:rsidR="0024760E" w:rsidRPr="00D77FFD">
              <w:rPr>
                <w:rFonts w:ascii="Calibri" w:hAnsi="Calibri"/>
                <w:color w:val="000000"/>
              </w:rPr>
              <w:t>7</w:t>
            </w:r>
            <w:r w:rsidRPr="00D77FFD">
              <w:rPr>
                <w:rFonts w:ascii="Calibri" w:hAnsi="Calibri"/>
                <w:color w:val="000000"/>
              </w:rPr>
              <w:t xml:space="preserve"> cases</w:t>
            </w:r>
            <w:r w:rsidR="0024760E" w:rsidRPr="00D77FFD">
              <w:rPr>
                <w:rFonts w:ascii="Calibri" w:hAnsi="Calibri"/>
                <w:color w:val="000000"/>
              </w:rPr>
              <w:t xml:space="preserve"> </w:t>
            </w:r>
            <w:r w:rsidRPr="00D77FFD">
              <w:rPr>
                <w:rFonts w:ascii="Calibri" w:hAnsi="Calibri"/>
                <w:color w:val="000000"/>
              </w:rPr>
              <w:t>and 40/</w:t>
            </w:r>
            <w:r w:rsidR="0024760E" w:rsidRPr="00D77FFD">
              <w:rPr>
                <w:rFonts w:ascii="Calibri" w:hAnsi="Calibri"/>
                <w:color w:val="000000"/>
              </w:rPr>
              <w:t>81</w:t>
            </w:r>
            <w:r w:rsidRPr="00D77FFD">
              <w:rPr>
                <w:rFonts w:ascii="Calibri" w:hAnsi="Calibri"/>
                <w:color w:val="000000"/>
              </w:rPr>
              <w:t xml:space="preserve"> controls</w:t>
            </w:r>
            <w:r w:rsidR="0024760E" w:rsidRPr="00D77FFD">
              <w:rPr>
                <w:rFonts w:ascii="Calibri" w:hAnsi="Calibri"/>
                <w:color w:val="000000"/>
              </w:rPr>
              <w:t xml:space="preserve"> who had switched</w:t>
            </w:r>
            <w:r w:rsidRPr="00D77FFD">
              <w:rPr>
                <w:rFonts w:ascii="Calibri" w:hAnsi="Calibri"/>
              </w:rPr>
              <w:t xml:space="preserve">.  The majority of patients experiencing switches (70 of 128, 54.7%) across all AED matched cases and controls occurred within 2 months of the index date.  Cases (n = 416) had 81% greater odds of having had an AED formulation switch [odds ratio (OR) = 1.81; 95% confidence interval (CI) = 1.25 to 2.63] relative to controls (n = 1248). There were no significant differences between groups regarding demographics or diagnosis. </w:t>
            </w:r>
            <w:r w:rsidR="00DA15A3" w:rsidRPr="00D77FFD">
              <w:rPr>
                <w:rFonts w:ascii="Calibri" w:hAnsi="Calibri"/>
              </w:rPr>
              <w:t xml:space="preserve"> </w:t>
            </w:r>
            <w:r w:rsidR="00D55E7A" w:rsidRPr="00D77FFD">
              <w:rPr>
                <w:rFonts w:ascii="Calibri" w:hAnsi="Calibri"/>
              </w:rPr>
              <w:t>(</w:t>
            </w:r>
            <w:r w:rsidRPr="00D77FFD">
              <w:rPr>
                <w:rFonts w:ascii="Calibri" w:hAnsi="Calibri"/>
              </w:rPr>
              <w:t>Zachry 2009</w:t>
            </w:r>
            <w:r w:rsidR="00D55E7A" w:rsidRPr="00D77FFD">
              <w:rPr>
                <w:rFonts w:ascii="Calibri" w:hAnsi="Calibri"/>
              </w:rPr>
              <w:t>)</w:t>
            </w:r>
            <w:r w:rsidRPr="00D77FFD">
              <w:rPr>
                <w:rFonts w:ascii="Calibri" w:hAnsi="Calibri"/>
              </w:rPr>
              <w:t xml:space="preserve"> </w:t>
            </w:r>
          </w:p>
          <w:p w14:paraId="2A418E04" w14:textId="77777777" w:rsidR="00603277" w:rsidRPr="00D77FFD" w:rsidRDefault="00603277" w:rsidP="00236351">
            <w:pPr>
              <w:jc w:val="both"/>
              <w:rPr>
                <w:rFonts w:ascii="Calibri" w:hAnsi="Calibri"/>
              </w:rPr>
            </w:pPr>
          </w:p>
          <w:p w14:paraId="2FF1E913" w14:textId="77777777" w:rsidR="00603277" w:rsidRPr="00D77FFD" w:rsidRDefault="00603277" w:rsidP="00236351">
            <w:pPr>
              <w:autoSpaceDE w:val="0"/>
              <w:autoSpaceDN w:val="0"/>
              <w:adjustRightInd w:val="0"/>
              <w:jc w:val="both"/>
              <w:rPr>
                <w:rFonts w:ascii="Calibri" w:hAnsi="Calibri"/>
              </w:rPr>
            </w:pPr>
            <w:r w:rsidRPr="00D77FFD">
              <w:rPr>
                <w:rFonts w:ascii="Calibri" w:hAnsi="Calibri"/>
              </w:rPr>
              <w:t>In another study in 2006 claims from a US pharmacy claims database (Thomson Healthcare MarketScan) were analysed.  This was a time period shortly after the introduction of generic zonisamide.  It was found that patients who had recei</w:t>
            </w:r>
            <w:r w:rsidR="00913400" w:rsidRPr="00D77FFD">
              <w:rPr>
                <w:rFonts w:ascii="Calibri" w:hAnsi="Calibri"/>
              </w:rPr>
              <w:t>ved emergency care for epilepsy-</w:t>
            </w:r>
            <w:r w:rsidRPr="00D77FFD">
              <w:rPr>
                <w:rFonts w:ascii="Calibri" w:hAnsi="Calibri"/>
              </w:rPr>
              <w:t xml:space="preserve">related events (cases) were more likely to have been switched between brand and generic AED (84/757, 11.1%) compared to epileptic patients who were seen in outpatients (controls) during the same period (147/2271, 6.5%).  The odds of emergency treated epilepsy-related event was 1.78 </w:t>
            </w:r>
            <w:r w:rsidRPr="00D77FFD">
              <w:rPr>
                <w:rFonts w:ascii="Calibri" w:hAnsi="Calibri"/>
              </w:rPr>
              <w:br/>
              <w:t xml:space="preserve">(95% CI 1.35 – 2.36) for those who experienced a switch.  The majority of switches in both cases and controls involved 1 of 4 AEDs, including zonisamide.  The highest number of switches among cases occurred with zonisamide (n = 23), clonazepam (n = 21), and phenytoin (n = 19), whereas most switches among controls involved phenytoin (n = 41), zonisamide (n = 40), and carbamazepine (n = 19).  There was no breakdown given of the number of patients on zonisamide in the case group and control group to determine or compare incidence. </w:t>
            </w:r>
            <w:r w:rsidR="00D55E7A" w:rsidRPr="00D77FFD">
              <w:rPr>
                <w:rFonts w:ascii="Calibri" w:hAnsi="Calibri"/>
              </w:rPr>
              <w:t>(</w:t>
            </w:r>
            <w:r w:rsidRPr="00D77FFD">
              <w:rPr>
                <w:rFonts w:ascii="Calibri" w:hAnsi="Calibri"/>
              </w:rPr>
              <w:t>Hansen 2009</w:t>
            </w:r>
            <w:r w:rsidR="00D55E7A" w:rsidRPr="00D77FFD">
              <w:rPr>
                <w:rFonts w:ascii="Calibri" w:hAnsi="Calibri"/>
              </w:rPr>
              <w:t>)</w:t>
            </w:r>
          </w:p>
          <w:p w14:paraId="6E874B87" w14:textId="77777777" w:rsidR="00603277" w:rsidRPr="00D77FFD" w:rsidRDefault="00603277" w:rsidP="00236351">
            <w:pPr>
              <w:jc w:val="both"/>
              <w:rPr>
                <w:rFonts w:ascii="Calibri" w:hAnsi="Calibri"/>
              </w:rPr>
            </w:pPr>
          </w:p>
          <w:p w14:paraId="57695AC6" w14:textId="77777777" w:rsidR="00603277" w:rsidRPr="00D77FFD" w:rsidRDefault="00603277" w:rsidP="00236351">
            <w:pPr>
              <w:autoSpaceDE w:val="0"/>
              <w:autoSpaceDN w:val="0"/>
              <w:adjustRightInd w:val="0"/>
              <w:jc w:val="both"/>
              <w:rPr>
                <w:rFonts w:ascii="Calibri" w:eastAsia="MinionPro-Regular" w:hAnsi="Calibri"/>
              </w:rPr>
            </w:pPr>
            <w:r w:rsidRPr="00D77FFD">
              <w:rPr>
                <w:rFonts w:ascii="Calibri" w:eastAsia="MinionPro-Regular" w:hAnsi="Calibri"/>
              </w:rPr>
              <w:t>A US study used claims data from PharMetrics Database between January 2000 and October 2007. 33625 patients were taking 1 of 5 AEDs (carbamazepine, gabapentin, phenytoin, primidone, zonisamide) and the mean observation period was 4 years.</w:t>
            </w:r>
          </w:p>
          <w:p w14:paraId="7FCC4AF2" w14:textId="77777777" w:rsidR="00603277" w:rsidRPr="00D77FFD" w:rsidRDefault="00603277" w:rsidP="00236351">
            <w:pPr>
              <w:autoSpaceDE w:val="0"/>
              <w:autoSpaceDN w:val="0"/>
              <w:adjustRightInd w:val="0"/>
              <w:jc w:val="both"/>
              <w:rPr>
                <w:rFonts w:ascii="Calibri" w:hAnsi="Calibri"/>
              </w:rPr>
            </w:pPr>
            <w:r w:rsidRPr="00D77FFD">
              <w:rPr>
                <w:rFonts w:ascii="Calibri" w:hAnsi="Calibri"/>
                <w:bCs/>
              </w:rPr>
              <w:t>There were 1652 patients on zonisamide of which 1141 (69.1%) were on polytherapy and 662 (40.1%) had stable epilepsy (</w:t>
            </w:r>
            <w:r w:rsidRPr="00D77FFD">
              <w:rPr>
                <w:rFonts w:ascii="Calibri" w:hAnsi="Calibri"/>
              </w:rPr>
              <w:t>defined as patients with ≤2 outpatient services per year on average throughout the observation period and no ER visit associated with epilepsy or non</w:t>
            </w:r>
            <w:r w:rsidR="00913400" w:rsidRPr="00D77FFD">
              <w:rPr>
                <w:rFonts w:ascii="Calibri" w:hAnsi="Calibri"/>
              </w:rPr>
              <w:t>-</w:t>
            </w:r>
            <w:r w:rsidRPr="00D77FFD">
              <w:rPr>
                <w:rFonts w:ascii="Calibri" w:hAnsi="Calibri"/>
              </w:rPr>
              <w:t>febrile convulsions).</w:t>
            </w:r>
          </w:p>
          <w:p w14:paraId="5B643121" w14:textId="77777777" w:rsidR="00603277" w:rsidRPr="00D77FFD" w:rsidRDefault="00603277" w:rsidP="00236351">
            <w:pPr>
              <w:autoSpaceDE w:val="0"/>
              <w:autoSpaceDN w:val="0"/>
              <w:adjustRightInd w:val="0"/>
              <w:jc w:val="both"/>
              <w:rPr>
                <w:rFonts w:ascii="Calibri" w:hAnsi="Calibri"/>
              </w:rPr>
            </w:pPr>
          </w:p>
          <w:p w14:paraId="2DBDABB6" w14:textId="05B2A4F0" w:rsidR="00603277" w:rsidRPr="00D77FFD" w:rsidRDefault="00603277" w:rsidP="00236351">
            <w:pPr>
              <w:autoSpaceDE w:val="0"/>
              <w:autoSpaceDN w:val="0"/>
              <w:adjustRightInd w:val="0"/>
              <w:jc w:val="both"/>
              <w:rPr>
                <w:rFonts w:ascii="Calibri" w:hAnsi="Calibri"/>
              </w:rPr>
            </w:pPr>
            <w:r w:rsidRPr="00D77FFD">
              <w:rPr>
                <w:rFonts w:ascii="Calibri" w:hAnsi="Calibri"/>
              </w:rPr>
              <w:t xml:space="preserve">1100 (66.6%) only used branded zonisamide, 255 (15.4%) used generic only and 297 (18%) used brand and generic. 324 (58.7%) received only one generic version during the study period while 150 (27.2%) received two and 78 (14.1%) received three versions.  After one year 280 (23.4%) had switched from brand to generic, of which 32 (11.5%) switched back to brand.  Rates of healthcare utilisation were not reported for individual AEDs and neither were reasons for switchback. </w:t>
            </w:r>
            <w:r w:rsidR="00D55E7A" w:rsidRPr="00D77FFD">
              <w:rPr>
                <w:rFonts w:ascii="Calibri" w:hAnsi="Calibri"/>
              </w:rPr>
              <w:t>(</w:t>
            </w:r>
            <w:r w:rsidRPr="00D77FFD">
              <w:rPr>
                <w:rFonts w:ascii="Calibri" w:hAnsi="Calibri"/>
              </w:rPr>
              <w:t xml:space="preserve">Labiner </w:t>
            </w:r>
            <w:r w:rsidR="002845E0" w:rsidRPr="00D77FFD">
              <w:rPr>
                <w:rFonts w:ascii="Calibri" w:hAnsi="Calibri"/>
              </w:rPr>
              <w:t>2010</w:t>
            </w:r>
            <w:r w:rsidR="00D55E7A" w:rsidRPr="00D77FFD">
              <w:rPr>
                <w:rFonts w:ascii="Calibri" w:hAnsi="Calibri"/>
              </w:rPr>
              <w:t>)</w:t>
            </w:r>
          </w:p>
          <w:p w14:paraId="60712E18" w14:textId="77777777" w:rsidR="00603277" w:rsidRPr="00D77FFD" w:rsidRDefault="00603277" w:rsidP="00236351">
            <w:pPr>
              <w:jc w:val="both"/>
              <w:rPr>
                <w:rFonts w:ascii="Calibri" w:hAnsi="Calibri"/>
              </w:rPr>
            </w:pPr>
          </w:p>
          <w:p w14:paraId="71024BC5" w14:textId="77777777" w:rsidR="00603277" w:rsidRPr="00D77FFD" w:rsidRDefault="00603277" w:rsidP="00236351">
            <w:pPr>
              <w:autoSpaceDE w:val="0"/>
              <w:autoSpaceDN w:val="0"/>
              <w:adjustRightInd w:val="0"/>
              <w:jc w:val="both"/>
              <w:rPr>
                <w:rFonts w:ascii="Calibri" w:eastAsia="MinionPro-Regular" w:hAnsi="Calibri"/>
              </w:rPr>
            </w:pPr>
            <w:r w:rsidRPr="00D77FFD">
              <w:rPr>
                <w:rFonts w:ascii="Calibri" w:hAnsi="Calibri"/>
                <w:color w:val="000000"/>
              </w:rPr>
              <w:t xml:space="preserve">A survey of physicians in the US found that </w:t>
            </w:r>
            <w:r w:rsidRPr="00D77FFD">
              <w:rPr>
                <w:rFonts w:ascii="Calibri" w:hAnsi="Calibri"/>
              </w:rPr>
              <w:t>293 (65%) out of 451 neurologists who completed the online survey had a patient who experienced a loss of seizure control caused by either a switch from a brand to a generic AED or from uncontrolled switching between generic forms of an AED.   50/293 cases were chosen randomly for further review.  There were 8</w:t>
            </w:r>
            <w:r w:rsidRPr="00D77FFD">
              <w:rPr>
                <w:rFonts w:ascii="Calibri" w:eastAsia="MinionPro-Regular" w:hAnsi="Calibri"/>
              </w:rPr>
              <w:t xml:space="preserve"> patients on zonisamide in the random sample</w:t>
            </w:r>
            <w:r w:rsidRPr="00D77FFD">
              <w:rPr>
                <w:rFonts w:ascii="Calibri" w:hAnsi="Calibri"/>
              </w:rPr>
              <w:t xml:space="preserve">, who were well-controlled on the brand AED, and who subsequently experienced a breakthrough seizure or increased seizure frequency after switching to a generic without other provoking factors. [Two patients were on a combination of two AEDs, both of which were switched to generics (unknown which AED)]. </w:t>
            </w:r>
            <w:r w:rsidR="00D55E7A" w:rsidRPr="00D77FFD">
              <w:rPr>
                <w:rFonts w:ascii="Calibri" w:hAnsi="Calibri"/>
              </w:rPr>
              <w:t xml:space="preserve"> </w:t>
            </w:r>
            <w:r w:rsidRPr="00D77FFD">
              <w:rPr>
                <w:rFonts w:ascii="Calibri" w:hAnsi="Calibri"/>
              </w:rPr>
              <w:t>There were no blood levels available for zonisamide patients.</w:t>
            </w:r>
            <w:r w:rsidR="00D55E7A" w:rsidRPr="00D77FFD">
              <w:rPr>
                <w:rFonts w:ascii="Calibri" w:hAnsi="Calibri"/>
              </w:rPr>
              <w:t xml:space="preserve">(Berg </w:t>
            </w:r>
            <w:r w:rsidRPr="00D77FFD">
              <w:rPr>
                <w:rFonts w:ascii="Calibri" w:eastAsia="MinionPro-Regular" w:hAnsi="Calibri"/>
              </w:rPr>
              <w:t>2008</w:t>
            </w:r>
            <w:r w:rsidR="00D55E7A" w:rsidRPr="00D77FFD">
              <w:rPr>
                <w:rFonts w:ascii="Calibri" w:eastAsia="MinionPro-Regular" w:hAnsi="Calibri"/>
              </w:rPr>
              <w:t>)</w:t>
            </w:r>
          </w:p>
          <w:p w14:paraId="0021CAD8" w14:textId="77777777" w:rsidR="00452E9B" w:rsidRPr="00457256" w:rsidRDefault="00452E9B" w:rsidP="006E675F">
            <w:pPr>
              <w:rPr>
                <w:rFonts w:ascii="Calibri" w:hAnsi="Calibri"/>
                <w:color w:val="FF0000"/>
              </w:rPr>
            </w:pPr>
          </w:p>
        </w:tc>
      </w:tr>
    </w:tbl>
    <w:p w14:paraId="6ADFFDB1" w14:textId="77777777" w:rsidR="0060219D" w:rsidRPr="0018137D" w:rsidRDefault="0060219D">
      <w:pPr>
        <w:rPr>
          <w:rFonts w:ascii="Calibri" w:hAnsi="Calibri"/>
        </w:rPr>
      </w:pPr>
    </w:p>
    <w:p w14:paraId="2E146A42" w14:textId="77777777" w:rsidR="00D9226A" w:rsidRPr="0018137D" w:rsidRDefault="00D9226A">
      <w:pPr>
        <w:rPr>
          <w:rFonts w:ascii="Calibri" w:hAnsi="Calibri"/>
        </w:rPr>
      </w:pPr>
    </w:p>
    <w:p w14:paraId="603D42A9" w14:textId="77777777" w:rsidR="00523B5D" w:rsidRPr="0018137D" w:rsidRDefault="00523B5D">
      <w:pPr>
        <w:rPr>
          <w:rFonts w:ascii="Calibri" w:hAnsi="Calibri"/>
        </w:rPr>
      </w:pPr>
    </w:p>
    <w:p w14:paraId="293341AF" w14:textId="77777777" w:rsidR="0067581A" w:rsidRDefault="0067581A">
      <w:pPr>
        <w:rPr>
          <w:rFonts w:ascii="Calibri" w:hAnsi="Calibri"/>
        </w:rPr>
      </w:pPr>
    </w:p>
    <w:p w14:paraId="2E6BACD1" w14:textId="77777777" w:rsidR="0067581A" w:rsidRDefault="0067581A">
      <w:pPr>
        <w:rPr>
          <w:rFonts w:ascii="Calibri" w:hAnsi="Calibri"/>
        </w:rPr>
      </w:pPr>
    </w:p>
    <w:p w14:paraId="73D1AA62" w14:textId="77777777" w:rsidR="00A13DC6" w:rsidRPr="0018137D" w:rsidRDefault="00A13DC6" w:rsidP="003C1665">
      <w:pPr>
        <w:rPr>
          <w:rFonts w:ascii="Calibri" w:hAnsi="Calibri"/>
          <w:b/>
        </w:rPr>
      </w:pPr>
    </w:p>
    <w:p w14:paraId="4D827759" w14:textId="77777777" w:rsidR="00DE7F98" w:rsidRDefault="00DE7F98" w:rsidP="003C1665">
      <w:pPr>
        <w:rPr>
          <w:rFonts w:ascii="Calibri" w:hAnsi="Calibri"/>
          <w:b/>
        </w:rPr>
      </w:pPr>
    </w:p>
    <w:p w14:paraId="21297404" w14:textId="77777777" w:rsidR="00BB6C6B" w:rsidRDefault="00BB6C6B" w:rsidP="003C1665">
      <w:pPr>
        <w:rPr>
          <w:rFonts w:ascii="Calibri" w:hAnsi="Calibri"/>
          <w:b/>
        </w:rPr>
      </w:pPr>
    </w:p>
    <w:p w14:paraId="095ED1C6" w14:textId="77777777" w:rsidR="009933D7" w:rsidRDefault="007C7D65" w:rsidP="005B72F7">
      <w:pPr>
        <w:pStyle w:val="Heading1"/>
        <w:jc w:val="both"/>
        <w:rPr>
          <w:rFonts w:ascii="Calibri" w:hAnsi="Calibri"/>
        </w:rPr>
      </w:pPr>
      <w:bookmarkStart w:id="25" w:name="_Appendix_1"/>
      <w:bookmarkEnd w:id="25"/>
      <w:r>
        <w:rPr>
          <w:rFonts w:ascii="Calibri" w:hAnsi="Calibri"/>
        </w:rPr>
        <w:t>Appendix</w:t>
      </w:r>
      <w:r w:rsidR="0076504A">
        <w:rPr>
          <w:rFonts w:ascii="Calibri" w:hAnsi="Calibri"/>
        </w:rPr>
        <w:t xml:space="preserve"> 1</w:t>
      </w:r>
    </w:p>
    <w:p w14:paraId="15A240F2" w14:textId="77777777" w:rsidR="003B4401" w:rsidRDefault="0051628D" w:rsidP="005B72F7">
      <w:pPr>
        <w:pStyle w:val="Heading1"/>
        <w:jc w:val="both"/>
      </w:pPr>
      <w:r>
        <w:t>Search Strat</w:t>
      </w:r>
      <w:r w:rsidR="003B4401">
        <w:t>egy</w:t>
      </w:r>
    </w:p>
    <w:p w14:paraId="0CA2373E" w14:textId="77777777" w:rsidR="003B4401" w:rsidRDefault="003B4401" w:rsidP="005B72F7">
      <w:pPr>
        <w:pStyle w:val="Heading1"/>
        <w:jc w:val="both"/>
      </w:pPr>
    </w:p>
    <w:p w14:paraId="462E0942" w14:textId="77777777" w:rsidR="0051628D" w:rsidRDefault="003B4401" w:rsidP="005B72F7">
      <w:pPr>
        <w:pStyle w:val="Heading1"/>
        <w:jc w:val="both"/>
      </w:pPr>
      <w:r>
        <w:t xml:space="preserve">Embase </w:t>
      </w:r>
    </w:p>
    <w:p w14:paraId="6F260A9B" w14:textId="77777777" w:rsidR="003B4401" w:rsidRPr="001C6F7B" w:rsidRDefault="003B4401" w:rsidP="001C6F7B">
      <w:pPr>
        <w:jc w:val="both"/>
        <w:rPr>
          <w:rFonts w:ascii="Calibri" w:hAnsi="Calibri"/>
        </w:rPr>
      </w:pPr>
      <w:r w:rsidRPr="001C6F7B">
        <w:rPr>
          <w:rFonts w:ascii="Calibri" w:hAnsi="Calibri"/>
        </w:rPr>
        <w:t>A literature search of Embase was carried out using the search terms</w:t>
      </w:r>
      <w:r w:rsidR="00B234C7" w:rsidRPr="001C6F7B">
        <w:rPr>
          <w:rFonts w:ascii="Calibri" w:hAnsi="Calibri"/>
        </w:rPr>
        <w:t>:</w:t>
      </w:r>
      <w:r w:rsidRPr="001C6F7B">
        <w:rPr>
          <w:rFonts w:ascii="Calibri" w:hAnsi="Calibri"/>
        </w:rPr>
        <w:t xml:space="preserve"> ‘anticonvulsive agent’, ‘generic drug’, ‘carbamazepine’, ‘clobazam’, ‘clonazepam’, ‘eslicarbazepine’, ‘eslicarbazepine acetate’, ‘ethosuximide’, ‘etiracetam’,  ‘gabapentin’, ‘gabapentin enacarbil’, ‘harkoseride’, ‘lacosamide’, ‘lamotrigine’, ‘levetiracetam’, ‘oxcarbazepine’, ‘phenobarbital’, phenytoin’, ‘pregabalin’, ‘primidone’, ‘rufinamide’, ‘tiagabine’, ‘topiramate’, ‘valproate semisodium’, ‘valproic acid’, ‘valproic acid derivative’, vigabatrin’, ‘zonisamide’.  The bibliographies of key articles obtained from the search were used to identify additional sources.</w:t>
      </w:r>
    </w:p>
    <w:p w14:paraId="2171D026" w14:textId="77777777" w:rsidR="001C6F7B" w:rsidRPr="001C6F7B" w:rsidRDefault="001C6F7B" w:rsidP="001C6F7B">
      <w:pPr>
        <w:jc w:val="both"/>
        <w:rPr>
          <w:rFonts w:ascii="Calibri" w:hAnsi="Calibri"/>
          <w:color w:val="000000"/>
        </w:rPr>
      </w:pPr>
    </w:p>
    <w:p w14:paraId="264B14C1" w14:textId="77777777" w:rsidR="003B4401" w:rsidRDefault="003B4401" w:rsidP="005B72F7">
      <w:pPr>
        <w:pStyle w:val="Heading1"/>
        <w:jc w:val="both"/>
      </w:pPr>
      <w:r>
        <w:t>Cochrane</w:t>
      </w:r>
    </w:p>
    <w:p w14:paraId="2967E683" w14:textId="77777777" w:rsidR="003B4401" w:rsidRPr="003B4401" w:rsidRDefault="003B4401" w:rsidP="005B72F7">
      <w:pPr>
        <w:pStyle w:val="Heading1"/>
        <w:jc w:val="both"/>
        <w:rPr>
          <w:rFonts w:ascii="Calibri" w:hAnsi="Calibri"/>
          <w:color w:val="000000"/>
          <w:sz w:val="24"/>
          <w:szCs w:val="24"/>
        </w:rPr>
      </w:pPr>
      <w:r>
        <w:rPr>
          <w:rFonts w:ascii="Calibri" w:hAnsi="Calibri"/>
          <w:color w:val="000000"/>
          <w:sz w:val="24"/>
          <w:szCs w:val="24"/>
        </w:rPr>
        <w:t xml:space="preserve">A search of Cochrane database was carried out using simple </w:t>
      </w:r>
      <w:r w:rsidR="00B234C7">
        <w:rPr>
          <w:rFonts w:ascii="Calibri" w:hAnsi="Calibri"/>
          <w:color w:val="000000"/>
          <w:sz w:val="24"/>
          <w:szCs w:val="24"/>
        </w:rPr>
        <w:t xml:space="preserve">search </w:t>
      </w:r>
      <w:r>
        <w:rPr>
          <w:rFonts w:ascii="Calibri" w:hAnsi="Calibri"/>
          <w:color w:val="000000"/>
          <w:sz w:val="24"/>
          <w:szCs w:val="24"/>
        </w:rPr>
        <w:t>terms:</w:t>
      </w:r>
    </w:p>
    <w:p w14:paraId="1203047D" w14:textId="77777777" w:rsidR="003B4401" w:rsidRDefault="00B234C7" w:rsidP="005B72F7">
      <w:pPr>
        <w:pStyle w:val="Heading1"/>
        <w:jc w:val="both"/>
        <w:rPr>
          <w:rFonts w:ascii="Calibri" w:hAnsi="Calibri"/>
          <w:color w:val="000000"/>
          <w:sz w:val="24"/>
          <w:szCs w:val="24"/>
        </w:rPr>
      </w:pPr>
      <w:r>
        <w:rPr>
          <w:rFonts w:ascii="Calibri" w:hAnsi="Calibri"/>
          <w:color w:val="000000"/>
          <w:sz w:val="24"/>
          <w:szCs w:val="24"/>
        </w:rPr>
        <w:t>anticonvulsive</w:t>
      </w:r>
      <w:r w:rsidR="003B4401">
        <w:rPr>
          <w:rFonts w:ascii="Calibri" w:hAnsi="Calibri"/>
          <w:color w:val="000000"/>
          <w:sz w:val="24"/>
          <w:szCs w:val="24"/>
        </w:rPr>
        <w:t xml:space="preserve">, anticonvulsant, </w:t>
      </w:r>
      <w:r>
        <w:rPr>
          <w:rFonts w:ascii="Calibri" w:hAnsi="Calibri"/>
          <w:color w:val="000000"/>
          <w:sz w:val="24"/>
          <w:szCs w:val="24"/>
        </w:rPr>
        <w:t xml:space="preserve">anti-epileptic, </w:t>
      </w:r>
      <w:r w:rsidR="003B4401">
        <w:rPr>
          <w:rFonts w:ascii="Calibri" w:hAnsi="Calibri"/>
          <w:color w:val="000000"/>
          <w:sz w:val="24"/>
          <w:szCs w:val="24"/>
        </w:rPr>
        <w:t>generic, carbamazepine, clobazam, clonazepam, eslicarbazepine, ethosuximide, etiracetam,  gabapentin, harkoseride</w:t>
      </w:r>
      <w:r w:rsidR="003B4401" w:rsidRPr="003B4401">
        <w:rPr>
          <w:rFonts w:ascii="Calibri" w:hAnsi="Calibri"/>
          <w:color w:val="000000"/>
          <w:sz w:val="24"/>
          <w:szCs w:val="24"/>
        </w:rPr>
        <w:t xml:space="preserve">, </w:t>
      </w:r>
      <w:r w:rsidR="003B4401">
        <w:rPr>
          <w:rFonts w:ascii="Calibri" w:hAnsi="Calibri"/>
          <w:color w:val="000000"/>
          <w:sz w:val="24"/>
          <w:szCs w:val="24"/>
        </w:rPr>
        <w:t xml:space="preserve">lacosamide, lamotrigine, levetiracetam, oxcarbazepine, phenobarbital, phenytoin, pregabalin, primidone, </w:t>
      </w:r>
      <w:r w:rsidR="003B4401" w:rsidRPr="003B4401">
        <w:rPr>
          <w:rFonts w:ascii="Calibri" w:hAnsi="Calibri"/>
          <w:color w:val="000000"/>
          <w:sz w:val="24"/>
          <w:szCs w:val="24"/>
        </w:rPr>
        <w:t>rufina</w:t>
      </w:r>
      <w:r w:rsidR="003B4401">
        <w:rPr>
          <w:rFonts w:ascii="Calibri" w:hAnsi="Calibri"/>
          <w:color w:val="000000"/>
          <w:sz w:val="24"/>
          <w:szCs w:val="24"/>
        </w:rPr>
        <w:t xml:space="preserve">mide, tiagabine, topiramate, </w:t>
      </w:r>
      <w:r w:rsidR="003B4401" w:rsidRPr="003B4401">
        <w:rPr>
          <w:rFonts w:ascii="Calibri" w:hAnsi="Calibri"/>
          <w:color w:val="000000"/>
          <w:sz w:val="24"/>
          <w:szCs w:val="24"/>
        </w:rPr>
        <w:t>valproate</w:t>
      </w:r>
      <w:r w:rsidR="003B4401">
        <w:rPr>
          <w:rFonts w:ascii="Calibri" w:hAnsi="Calibri"/>
          <w:color w:val="000000"/>
          <w:sz w:val="24"/>
          <w:szCs w:val="24"/>
        </w:rPr>
        <w:t xml:space="preserve">, </w:t>
      </w:r>
      <w:r w:rsidR="003B4401" w:rsidRPr="003B4401">
        <w:rPr>
          <w:rFonts w:ascii="Calibri" w:hAnsi="Calibri"/>
          <w:color w:val="000000"/>
          <w:sz w:val="24"/>
          <w:szCs w:val="24"/>
        </w:rPr>
        <w:t>va</w:t>
      </w:r>
      <w:r w:rsidR="003B4401">
        <w:rPr>
          <w:rFonts w:ascii="Calibri" w:hAnsi="Calibri"/>
          <w:color w:val="000000"/>
          <w:sz w:val="24"/>
          <w:szCs w:val="24"/>
        </w:rPr>
        <w:t>lproic, vigabatrin, zonisamide</w:t>
      </w:r>
      <w:r w:rsidR="003B4401" w:rsidRPr="003B4401">
        <w:rPr>
          <w:rFonts w:ascii="Calibri" w:hAnsi="Calibri"/>
          <w:color w:val="000000"/>
          <w:sz w:val="24"/>
          <w:szCs w:val="24"/>
        </w:rPr>
        <w:t xml:space="preserve">.  </w:t>
      </w:r>
    </w:p>
    <w:p w14:paraId="18CFDB2C" w14:textId="77777777" w:rsidR="003B4401" w:rsidRPr="003B4401" w:rsidRDefault="003B4401" w:rsidP="005B72F7">
      <w:pPr>
        <w:pStyle w:val="Heading1"/>
        <w:jc w:val="both"/>
        <w:rPr>
          <w:rFonts w:ascii="Calibri" w:hAnsi="Calibri"/>
          <w:color w:val="000000"/>
          <w:sz w:val="24"/>
          <w:szCs w:val="24"/>
        </w:rPr>
      </w:pPr>
    </w:p>
    <w:p w14:paraId="7917DD74" w14:textId="77777777" w:rsidR="003B4401" w:rsidRDefault="003B4401" w:rsidP="005B72F7">
      <w:pPr>
        <w:pStyle w:val="Heading1"/>
        <w:jc w:val="both"/>
      </w:pPr>
      <w:r>
        <w:t>NeLM</w:t>
      </w:r>
    </w:p>
    <w:p w14:paraId="2397AD5E" w14:textId="77777777" w:rsidR="003B4401" w:rsidRPr="003B4401" w:rsidRDefault="003B4401" w:rsidP="005B72F7">
      <w:pPr>
        <w:pStyle w:val="Heading1"/>
        <w:jc w:val="both"/>
        <w:rPr>
          <w:rFonts w:ascii="Calibri" w:hAnsi="Calibri"/>
          <w:color w:val="000000"/>
          <w:sz w:val="24"/>
          <w:szCs w:val="24"/>
        </w:rPr>
      </w:pPr>
      <w:r>
        <w:rPr>
          <w:rFonts w:ascii="Calibri" w:hAnsi="Calibri"/>
          <w:color w:val="000000"/>
          <w:sz w:val="24"/>
          <w:szCs w:val="24"/>
        </w:rPr>
        <w:t xml:space="preserve">A search of NeLM was carried out using simple </w:t>
      </w:r>
      <w:r w:rsidR="00B234C7">
        <w:rPr>
          <w:rFonts w:ascii="Calibri" w:hAnsi="Calibri"/>
          <w:color w:val="000000"/>
          <w:sz w:val="24"/>
          <w:szCs w:val="24"/>
        </w:rPr>
        <w:t xml:space="preserve">search </w:t>
      </w:r>
      <w:r>
        <w:rPr>
          <w:rFonts w:ascii="Calibri" w:hAnsi="Calibri"/>
          <w:color w:val="000000"/>
          <w:sz w:val="24"/>
          <w:szCs w:val="24"/>
        </w:rPr>
        <w:t>terms:</w:t>
      </w:r>
    </w:p>
    <w:p w14:paraId="0CE2BD4D" w14:textId="77777777" w:rsidR="003B4401" w:rsidRDefault="00B234C7" w:rsidP="005B72F7">
      <w:pPr>
        <w:pStyle w:val="Heading1"/>
        <w:jc w:val="both"/>
        <w:rPr>
          <w:rFonts w:ascii="Calibri" w:hAnsi="Calibri"/>
          <w:color w:val="000000"/>
          <w:sz w:val="24"/>
          <w:szCs w:val="24"/>
        </w:rPr>
      </w:pPr>
      <w:r>
        <w:rPr>
          <w:rFonts w:ascii="Calibri" w:hAnsi="Calibri"/>
          <w:color w:val="000000"/>
          <w:sz w:val="24"/>
          <w:szCs w:val="24"/>
        </w:rPr>
        <w:t xml:space="preserve">anticonvulsive </w:t>
      </w:r>
      <w:r w:rsidR="003B4401">
        <w:rPr>
          <w:rFonts w:ascii="Calibri" w:hAnsi="Calibri"/>
          <w:color w:val="000000"/>
          <w:sz w:val="24"/>
          <w:szCs w:val="24"/>
        </w:rPr>
        <w:t xml:space="preserve">, anticonvulsant, </w:t>
      </w:r>
      <w:r>
        <w:rPr>
          <w:rFonts w:ascii="Calibri" w:hAnsi="Calibri"/>
          <w:color w:val="000000"/>
          <w:sz w:val="24"/>
          <w:szCs w:val="24"/>
        </w:rPr>
        <w:t xml:space="preserve">anti-epileptic, </w:t>
      </w:r>
      <w:r w:rsidR="003B4401">
        <w:rPr>
          <w:rFonts w:ascii="Calibri" w:hAnsi="Calibri"/>
          <w:color w:val="000000"/>
          <w:sz w:val="24"/>
          <w:szCs w:val="24"/>
        </w:rPr>
        <w:t>generic, carbamazepine, clobazam, clonazepam, eslicarbazepine, ethosuximide, etiracetam,  gabapentin, harkoseride</w:t>
      </w:r>
      <w:r w:rsidR="003B4401" w:rsidRPr="003B4401">
        <w:rPr>
          <w:rFonts w:ascii="Calibri" w:hAnsi="Calibri"/>
          <w:color w:val="000000"/>
          <w:sz w:val="24"/>
          <w:szCs w:val="24"/>
        </w:rPr>
        <w:t xml:space="preserve">, </w:t>
      </w:r>
      <w:r w:rsidR="003B4401">
        <w:rPr>
          <w:rFonts w:ascii="Calibri" w:hAnsi="Calibri"/>
          <w:color w:val="000000"/>
          <w:sz w:val="24"/>
          <w:szCs w:val="24"/>
        </w:rPr>
        <w:t xml:space="preserve">lacosamide, lamotrigine, levetiracetam, oxcarbazepine, phenobarbital, phenytoin, pregabalin, primidone, </w:t>
      </w:r>
      <w:r w:rsidR="003B4401" w:rsidRPr="003B4401">
        <w:rPr>
          <w:rFonts w:ascii="Calibri" w:hAnsi="Calibri"/>
          <w:color w:val="000000"/>
          <w:sz w:val="24"/>
          <w:szCs w:val="24"/>
        </w:rPr>
        <w:t>rufina</w:t>
      </w:r>
      <w:r w:rsidR="003B4401">
        <w:rPr>
          <w:rFonts w:ascii="Calibri" w:hAnsi="Calibri"/>
          <w:color w:val="000000"/>
          <w:sz w:val="24"/>
          <w:szCs w:val="24"/>
        </w:rPr>
        <w:t xml:space="preserve">mide, tiagabine, topiramate, </w:t>
      </w:r>
      <w:r w:rsidR="003B4401" w:rsidRPr="003B4401">
        <w:rPr>
          <w:rFonts w:ascii="Calibri" w:hAnsi="Calibri"/>
          <w:color w:val="000000"/>
          <w:sz w:val="24"/>
          <w:szCs w:val="24"/>
        </w:rPr>
        <w:t>valproate</w:t>
      </w:r>
      <w:r w:rsidR="003B4401">
        <w:rPr>
          <w:rFonts w:ascii="Calibri" w:hAnsi="Calibri"/>
          <w:color w:val="000000"/>
          <w:sz w:val="24"/>
          <w:szCs w:val="24"/>
        </w:rPr>
        <w:t xml:space="preserve">, </w:t>
      </w:r>
      <w:r w:rsidR="003B4401" w:rsidRPr="003B4401">
        <w:rPr>
          <w:rFonts w:ascii="Calibri" w:hAnsi="Calibri"/>
          <w:color w:val="000000"/>
          <w:sz w:val="24"/>
          <w:szCs w:val="24"/>
        </w:rPr>
        <w:t>va</w:t>
      </w:r>
      <w:r w:rsidR="003B4401">
        <w:rPr>
          <w:rFonts w:ascii="Calibri" w:hAnsi="Calibri"/>
          <w:color w:val="000000"/>
          <w:sz w:val="24"/>
          <w:szCs w:val="24"/>
        </w:rPr>
        <w:t>lproic, vigabatrin, zonisamide</w:t>
      </w:r>
      <w:r w:rsidR="003B4401" w:rsidRPr="003B4401">
        <w:rPr>
          <w:rFonts w:ascii="Calibri" w:hAnsi="Calibri"/>
          <w:color w:val="000000"/>
          <w:sz w:val="24"/>
          <w:szCs w:val="24"/>
        </w:rPr>
        <w:t xml:space="preserve">.  </w:t>
      </w:r>
    </w:p>
    <w:p w14:paraId="7184F7C1" w14:textId="77777777" w:rsidR="001C6F7B" w:rsidRPr="001C6F7B" w:rsidRDefault="001C6F7B" w:rsidP="005B72F7">
      <w:pPr>
        <w:pStyle w:val="Heading1"/>
        <w:jc w:val="both"/>
        <w:rPr>
          <w:rFonts w:ascii="Calibri" w:hAnsi="Calibri"/>
          <w:color w:val="000000"/>
          <w:sz w:val="24"/>
          <w:szCs w:val="24"/>
        </w:rPr>
      </w:pPr>
    </w:p>
    <w:p w14:paraId="15219D94" w14:textId="77777777" w:rsidR="003B4401" w:rsidRDefault="003B4401" w:rsidP="005B72F7">
      <w:pPr>
        <w:pStyle w:val="Heading1"/>
        <w:jc w:val="both"/>
      </w:pPr>
      <w:r>
        <w:t>NHS Evidence</w:t>
      </w:r>
    </w:p>
    <w:p w14:paraId="45A6F0FC" w14:textId="77777777" w:rsidR="003B4401" w:rsidRPr="003B4401" w:rsidRDefault="003B4401" w:rsidP="005B72F7">
      <w:pPr>
        <w:pStyle w:val="Heading1"/>
        <w:jc w:val="both"/>
        <w:rPr>
          <w:rFonts w:ascii="Calibri" w:hAnsi="Calibri"/>
          <w:color w:val="000000"/>
          <w:sz w:val="24"/>
          <w:szCs w:val="24"/>
        </w:rPr>
      </w:pPr>
      <w:r>
        <w:rPr>
          <w:rFonts w:ascii="Calibri" w:hAnsi="Calibri"/>
          <w:color w:val="000000"/>
          <w:sz w:val="24"/>
          <w:szCs w:val="24"/>
        </w:rPr>
        <w:t xml:space="preserve">A search of NHS Evidence was carried out using simple </w:t>
      </w:r>
      <w:r w:rsidR="00B234C7">
        <w:rPr>
          <w:rFonts w:ascii="Calibri" w:hAnsi="Calibri"/>
          <w:color w:val="000000"/>
          <w:sz w:val="24"/>
          <w:szCs w:val="24"/>
        </w:rPr>
        <w:t xml:space="preserve">search </w:t>
      </w:r>
      <w:r>
        <w:rPr>
          <w:rFonts w:ascii="Calibri" w:hAnsi="Calibri"/>
          <w:color w:val="000000"/>
          <w:sz w:val="24"/>
          <w:szCs w:val="24"/>
        </w:rPr>
        <w:t>terms:</w:t>
      </w:r>
    </w:p>
    <w:p w14:paraId="3077D28F" w14:textId="77777777" w:rsidR="003B4401" w:rsidRPr="003B4401" w:rsidRDefault="00B234C7" w:rsidP="005B72F7">
      <w:pPr>
        <w:pStyle w:val="Heading1"/>
        <w:jc w:val="both"/>
        <w:rPr>
          <w:rFonts w:ascii="Calibri" w:hAnsi="Calibri"/>
          <w:color w:val="000000"/>
          <w:sz w:val="24"/>
          <w:szCs w:val="24"/>
        </w:rPr>
      </w:pPr>
      <w:r>
        <w:rPr>
          <w:rFonts w:ascii="Calibri" w:hAnsi="Calibri"/>
          <w:color w:val="000000"/>
          <w:sz w:val="24"/>
          <w:szCs w:val="24"/>
        </w:rPr>
        <w:t>anticonvulsive</w:t>
      </w:r>
      <w:r w:rsidR="003B4401">
        <w:rPr>
          <w:rFonts w:ascii="Calibri" w:hAnsi="Calibri"/>
          <w:color w:val="000000"/>
          <w:sz w:val="24"/>
          <w:szCs w:val="24"/>
        </w:rPr>
        <w:t>, anticonvulsant,</w:t>
      </w:r>
      <w:r>
        <w:rPr>
          <w:rFonts w:ascii="Calibri" w:hAnsi="Calibri"/>
          <w:color w:val="000000"/>
          <w:sz w:val="24"/>
          <w:szCs w:val="24"/>
        </w:rPr>
        <w:t xml:space="preserve"> anti-epileptic,</w:t>
      </w:r>
      <w:r w:rsidR="003B4401">
        <w:rPr>
          <w:rFonts w:ascii="Calibri" w:hAnsi="Calibri"/>
          <w:color w:val="000000"/>
          <w:sz w:val="24"/>
          <w:szCs w:val="24"/>
        </w:rPr>
        <w:t xml:space="preserve"> generic, carbamazepine, clobazam, clonazepam, eslicarbazepine, ethosuximide, etiracetam,  gabapentin, harkoseride</w:t>
      </w:r>
      <w:r w:rsidR="003B4401" w:rsidRPr="003B4401">
        <w:rPr>
          <w:rFonts w:ascii="Calibri" w:hAnsi="Calibri"/>
          <w:color w:val="000000"/>
          <w:sz w:val="24"/>
          <w:szCs w:val="24"/>
        </w:rPr>
        <w:t xml:space="preserve">, </w:t>
      </w:r>
      <w:r w:rsidR="003B4401">
        <w:rPr>
          <w:rFonts w:ascii="Calibri" w:hAnsi="Calibri"/>
          <w:color w:val="000000"/>
          <w:sz w:val="24"/>
          <w:szCs w:val="24"/>
        </w:rPr>
        <w:t xml:space="preserve">lacosamide, lamotrigine, levetiracetam, oxcarbazepine, phenobarbital, phenytoin, pregabalin, primidone, </w:t>
      </w:r>
      <w:r w:rsidR="003B4401" w:rsidRPr="003B4401">
        <w:rPr>
          <w:rFonts w:ascii="Calibri" w:hAnsi="Calibri"/>
          <w:color w:val="000000"/>
          <w:sz w:val="24"/>
          <w:szCs w:val="24"/>
        </w:rPr>
        <w:t>rufina</w:t>
      </w:r>
      <w:r w:rsidR="003B4401">
        <w:rPr>
          <w:rFonts w:ascii="Calibri" w:hAnsi="Calibri"/>
          <w:color w:val="000000"/>
          <w:sz w:val="24"/>
          <w:szCs w:val="24"/>
        </w:rPr>
        <w:t xml:space="preserve">mide, tiagabine, topiramate, </w:t>
      </w:r>
      <w:r w:rsidR="003B4401" w:rsidRPr="003B4401">
        <w:rPr>
          <w:rFonts w:ascii="Calibri" w:hAnsi="Calibri"/>
          <w:color w:val="000000"/>
          <w:sz w:val="24"/>
          <w:szCs w:val="24"/>
        </w:rPr>
        <w:t>valproate</w:t>
      </w:r>
      <w:r w:rsidR="003B4401">
        <w:rPr>
          <w:rFonts w:ascii="Calibri" w:hAnsi="Calibri"/>
          <w:color w:val="000000"/>
          <w:sz w:val="24"/>
          <w:szCs w:val="24"/>
        </w:rPr>
        <w:t xml:space="preserve">, </w:t>
      </w:r>
      <w:r w:rsidR="003B4401" w:rsidRPr="003B4401">
        <w:rPr>
          <w:rFonts w:ascii="Calibri" w:hAnsi="Calibri"/>
          <w:color w:val="000000"/>
          <w:sz w:val="24"/>
          <w:szCs w:val="24"/>
        </w:rPr>
        <w:t>va</w:t>
      </w:r>
      <w:r w:rsidR="003B4401">
        <w:rPr>
          <w:rFonts w:ascii="Calibri" w:hAnsi="Calibri"/>
          <w:color w:val="000000"/>
          <w:sz w:val="24"/>
          <w:szCs w:val="24"/>
        </w:rPr>
        <w:t>lproic, vigabatrin, zonisamide</w:t>
      </w:r>
      <w:r w:rsidR="003B4401" w:rsidRPr="003B4401">
        <w:rPr>
          <w:rFonts w:ascii="Calibri" w:hAnsi="Calibri"/>
          <w:color w:val="000000"/>
          <w:sz w:val="24"/>
          <w:szCs w:val="24"/>
        </w:rPr>
        <w:t xml:space="preserve">.  </w:t>
      </w:r>
    </w:p>
    <w:p w14:paraId="7FD577B6" w14:textId="77777777" w:rsidR="0051628D" w:rsidRDefault="0051628D" w:rsidP="005B72F7">
      <w:pPr>
        <w:jc w:val="both"/>
        <w:rPr>
          <w:rFonts w:ascii="Calibri" w:hAnsi="Calibri"/>
          <w:b/>
          <w:color w:val="000000"/>
          <w:u w:val="single"/>
        </w:rPr>
      </w:pPr>
    </w:p>
    <w:p w14:paraId="312434AD" w14:textId="0B67F62B" w:rsidR="001C6F7B" w:rsidRDefault="001C6F7B" w:rsidP="005B72F7">
      <w:pPr>
        <w:jc w:val="both"/>
        <w:rPr>
          <w:rFonts w:ascii="Calibri" w:hAnsi="Calibri"/>
          <w:color w:val="000000"/>
        </w:rPr>
      </w:pPr>
      <w:r w:rsidRPr="001C6F7B">
        <w:rPr>
          <w:rFonts w:ascii="Calibri" w:hAnsi="Calibri"/>
          <w:color w:val="000000"/>
        </w:rPr>
        <w:t xml:space="preserve">No date </w:t>
      </w:r>
      <w:r>
        <w:rPr>
          <w:rFonts w:ascii="Calibri" w:hAnsi="Calibri"/>
          <w:color w:val="000000"/>
        </w:rPr>
        <w:t xml:space="preserve">or language limits were applied to the literature searches, although </w:t>
      </w:r>
      <w:r w:rsidR="00A01FE8">
        <w:rPr>
          <w:rFonts w:ascii="Calibri" w:hAnsi="Calibri"/>
          <w:color w:val="000000"/>
        </w:rPr>
        <w:t xml:space="preserve">limited </w:t>
      </w:r>
      <w:r>
        <w:rPr>
          <w:rFonts w:ascii="Calibri" w:hAnsi="Calibri"/>
          <w:color w:val="000000"/>
        </w:rPr>
        <w:t xml:space="preserve">availability of full-text papers in other languages </w:t>
      </w:r>
      <w:r w:rsidR="00A01FE8">
        <w:rPr>
          <w:rFonts w:ascii="Calibri" w:hAnsi="Calibri"/>
          <w:color w:val="000000"/>
        </w:rPr>
        <w:t>precluded their use.</w:t>
      </w:r>
    </w:p>
    <w:p w14:paraId="2E5B819A" w14:textId="0334C289" w:rsidR="00F96FD8" w:rsidRDefault="00F96FD8" w:rsidP="005B72F7">
      <w:pPr>
        <w:jc w:val="both"/>
        <w:rPr>
          <w:rFonts w:ascii="Calibri" w:hAnsi="Calibri"/>
          <w:color w:val="000000"/>
        </w:rPr>
      </w:pPr>
    </w:p>
    <w:p w14:paraId="1A17A178" w14:textId="77777777" w:rsidR="00D02DC3" w:rsidRDefault="00D02DC3" w:rsidP="005B72F7">
      <w:pPr>
        <w:jc w:val="both"/>
        <w:rPr>
          <w:rFonts w:ascii="Calibri" w:hAnsi="Calibri"/>
          <w:color w:val="000000"/>
        </w:rPr>
      </w:pPr>
    </w:p>
    <w:p w14:paraId="411B3DA5" w14:textId="73E8309A" w:rsidR="00D02DC3" w:rsidRDefault="00D02DC3" w:rsidP="00D02DC3">
      <w:pPr>
        <w:pStyle w:val="Heading1"/>
        <w:jc w:val="both"/>
      </w:pPr>
      <w:r>
        <w:t>Search Strategy – Update 2020</w:t>
      </w:r>
    </w:p>
    <w:p w14:paraId="510AD9F0" w14:textId="77777777" w:rsidR="00D02DC3" w:rsidRDefault="00D02DC3" w:rsidP="00D316D6">
      <w:pPr>
        <w:pStyle w:val="Heading1"/>
        <w:jc w:val="both"/>
      </w:pPr>
    </w:p>
    <w:p w14:paraId="75D8BDD1" w14:textId="32826FE1" w:rsidR="00D316D6" w:rsidRDefault="00D316D6" w:rsidP="00D316D6">
      <w:pPr>
        <w:pStyle w:val="Heading1"/>
        <w:jc w:val="both"/>
      </w:pPr>
      <w:r>
        <w:t xml:space="preserve">Embase </w:t>
      </w:r>
    </w:p>
    <w:p w14:paraId="16F6E45A" w14:textId="68DE5824" w:rsidR="00D316D6" w:rsidRPr="001C6F7B" w:rsidRDefault="00D316D6" w:rsidP="00D316D6">
      <w:pPr>
        <w:jc w:val="both"/>
        <w:rPr>
          <w:rFonts w:ascii="Calibri" w:hAnsi="Calibri"/>
        </w:rPr>
      </w:pPr>
      <w:r w:rsidRPr="001C6F7B">
        <w:rPr>
          <w:rFonts w:ascii="Calibri" w:hAnsi="Calibri"/>
        </w:rPr>
        <w:t>A literature search of Embase was carried out using the search terms: ‘anticonvulsive agent’, ‘generic drug’.  The bibliographies of key articles obtained from the search were used to identify additional sources.</w:t>
      </w:r>
    </w:p>
    <w:p w14:paraId="197120C5" w14:textId="77777777" w:rsidR="00842022" w:rsidRDefault="00842022" w:rsidP="005B72F7">
      <w:pPr>
        <w:jc w:val="both"/>
        <w:rPr>
          <w:rFonts w:ascii="Calibri" w:hAnsi="Calibri"/>
          <w:b/>
          <w:color w:val="000000"/>
          <w:u w:val="single"/>
        </w:rPr>
      </w:pPr>
    </w:p>
    <w:p w14:paraId="2312BAFC" w14:textId="77777777" w:rsidR="00661DB4" w:rsidRDefault="00661DB4" w:rsidP="00661DB4">
      <w:pPr>
        <w:pStyle w:val="Heading1"/>
        <w:jc w:val="both"/>
      </w:pPr>
      <w:r>
        <w:t>Cochrane</w:t>
      </w:r>
    </w:p>
    <w:p w14:paraId="209C13F7" w14:textId="77777777" w:rsidR="00661DB4" w:rsidRPr="003B4401" w:rsidRDefault="00661DB4" w:rsidP="00661DB4">
      <w:pPr>
        <w:pStyle w:val="Heading1"/>
        <w:jc w:val="both"/>
        <w:rPr>
          <w:rFonts w:ascii="Calibri" w:hAnsi="Calibri"/>
          <w:color w:val="000000"/>
          <w:sz w:val="24"/>
          <w:szCs w:val="24"/>
        </w:rPr>
      </w:pPr>
      <w:r>
        <w:rPr>
          <w:rFonts w:ascii="Calibri" w:hAnsi="Calibri"/>
          <w:color w:val="000000"/>
          <w:sz w:val="24"/>
          <w:szCs w:val="24"/>
        </w:rPr>
        <w:t>A search of Cochrane database was carried out using simple search terms:</w:t>
      </w:r>
    </w:p>
    <w:p w14:paraId="55059DB9" w14:textId="509D2CD8" w:rsidR="001C6F7B" w:rsidRDefault="00661DB4" w:rsidP="00661DB4">
      <w:pPr>
        <w:jc w:val="both"/>
        <w:rPr>
          <w:rFonts w:ascii="Calibri" w:hAnsi="Calibri"/>
          <w:color w:val="000000"/>
          <w:lang w:val="it-IT"/>
        </w:rPr>
      </w:pPr>
      <w:r w:rsidRPr="00D316D6">
        <w:rPr>
          <w:rFonts w:ascii="Calibri" w:hAnsi="Calibri"/>
          <w:color w:val="000000"/>
          <w:lang w:val="it-IT"/>
        </w:rPr>
        <w:t>anticonvulsive, anticonvulsant, anti-epileptic, generic</w:t>
      </w:r>
      <w:r w:rsidR="00D316D6" w:rsidRPr="00D316D6">
        <w:rPr>
          <w:rFonts w:ascii="Calibri" w:hAnsi="Calibri"/>
          <w:color w:val="000000"/>
          <w:lang w:val="it-IT"/>
        </w:rPr>
        <w:t>.</w:t>
      </w:r>
    </w:p>
    <w:p w14:paraId="38CE4D2F" w14:textId="5D73E16F" w:rsidR="00D316D6" w:rsidRDefault="00D316D6" w:rsidP="00661DB4">
      <w:pPr>
        <w:jc w:val="both"/>
        <w:rPr>
          <w:rFonts w:ascii="Calibri" w:hAnsi="Calibri"/>
          <w:color w:val="000000"/>
          <w:lang w:val="it-IT"/>
        </w:rPr>
      </w:pPr>
    </w:p>
    <w:p w14:paraId="6C8F0C16" w14:textId="42DCCE52" w:rsidR="00FC026A" w:rsidRDefault="00FC026A" w:rsidP="00FC026A">
      <w:pPr>
        <w:pStyle w:val="Heading1"/>
        <w:jc w:val="both"/>
      </w:pPr>
      <w:r>
        <w:t>Specialist Pharmacy Service</w:t>
      </w:r>
    </w:p>
    <w:p w14:paraId="46CFA2A6" w14:textId="0194D06F" w:rsidR="00FC026A" w:rsidRPr="003B4401" w:rsidRDefault="00FC026A" w:rsidP="00FC026A">
      <w:pPr>
        <w:pStyle w:val="Heading1"/>
        <w:jc w:val="both"/>
        <w:rPr>
          <w:rFonts w:ascii="Calibri" w:hAnsi="Calibri"/>
          <w:color w:val="000000"/>
          <w:sz w:val="24"/>
          <w:szCs w:val="24"/>
        </w:rPr>
      </w:pPr>
      <w:r>
        <w:rPr>
          <w:rFonts w:ascii="Calibri" w:hAnsi="Calibri"/>
          <w:color w:val="000000"/>
          <w:sz w:val="24"/>
          <w:szCs w:val="24"/>
        </w:rPr>
        <w:t>A search of SPS was carried out using simple search terms: ‘antiepileptic’, ‘epileptic’, ‘epilepsy’, ‘anticonvulsant’, ‘</w:t>
      </w:r>
      <w:r w:rsidR="004E006D">
        <w:rPr>
          <w:rFonts w:ascii="Calibri" w:hAnsi="Calibri"/>
          <w:color w:val="000000"/>
          <w:sz w:val="24"/>
          <w:szCs w:val="24"/>
        </w:rPr>
        <w:t>generic’.</w:t>
      </w:r>
    </w:p>
    <w:p w14:paraId="419C459A" w14:textId="179A25B5" w:rsidR="00D316D6" w:rsidRDefault="00D316D6" w:rsidP="00661DB4">
      <w:pPr>
        <w:jc w:val="both"/>
        <w:rPr>
          <w:rFonts w:ascii="Calibri" w:hAnsi="Calibri"/>
          <w:b/>
          <w:color w:val="000000"/>
          <w:u w:val="single"/>
        </w:rPr>
      </w:pPr>
    </w:p>
    <w:p w14:paraId="0FA54236" w14:textId="51E9C099" w:rsidR="00D02DC3" w:rsidRDefault="00D02DC3" w:rsidP="00661DB4">
      <w:pPr>
        <w:jc w:val="both"/>
        <w:rPr>
          <w:rFonts w:ascii="Calibri" w:hAnsi="Calibri"/>
          <w:b/>
          <w:color w:val="000000"/>
          <w:u w:val="single"/>
        </w:rPr>
      </w:pPr>
    </w:p>
    <w:p w14:paraId="0F8E8327" w14:textId="694A3347" w:rsidR="00D02DC3" w:rsidRDefault="00D02DC3" w:rsidP="00661DB4">
      <w:pPr>
        <w:jc w:val="both"/>
        <w:rPr>
          <w:rFonts w:ascii="Calibri" w:hAnsi="Calibri"/>
          <w:b/>
          <w:color w:val="000000"/>
          <w:u w:val="single"/>
        </w:rPr>
      </w:pPr>
    </w:p>
    <w:p w14:paraId="5E9E08E7" w14:textId="6FC86526" w:rsidR="00D02DC3" w:rsidRDefault="00D02DC3" w:rsidP="00661DB4">
      <w:pPr>
        <w:jc w:val="both"/>
        <w:rPr>
          <w:rFonts w:ascii="Calibri" w:hAnsi="Calibri"/>
          <w:b/>
          <w:color w:val="000000"/>
          <w:u w:val="single"/>
        </w:rPr>
      </w:pPr>
    </w:p>
    <w:p w14:paraId="75DD5DD6" w14:textId="4865BE79" w:rsidR="00D02DC3" w:rsidRDefault="00D02DC3" w:rsidP="00661DB4">
      <w:pPr>
        <w:jc w:val="both"/>
        <w:rPr>
          <w:rFonts w:ascii="Calibri" w:hAnsi="Calibri"/>
          <w:b/>
          <w:color w:val="000000"/>
          <w:u w:val="single"/>
        </w:rPr>
      </w:pPr>
    </w:p>
    <w:p w14:paraId="0248F8CF" w14:textId="447DD04D" w:rsidR="00D02DC3" w:rsidRDefault="00D02DC3" w:rsidP="00661DB4">
      <w:pPr>
        <w:jc w:val="both"/>
        <w:rPr>
          <w:rFonts w:ascii="Calibri" w:hAnsi="Calibri"/>
          <w:b/>
          <w:color w:val="000000"/>
          <w:u w:val="single"/>
        </w:rPr>
      </w:pPr>
    </w:p>
    <w:p w14:paraId="29ACEF2C" w14:textId="6A602341" w:rsidR="00D02DC3" w:rsidRDefault="00D02DC3" w:rsidP="00661DB4">
      <w:pPr>
        <w:jc w:val="both"/>
        <w:rPr>
          <w:rFonts w:ascii="Calibri" w:hAnsi="Calibri"/>
          <w:b/>
          <w:color w:val="000000"/>
          <w:u w:val="single"/>
        </w:rPr>
      </w:pPr>
    </w:p>
    <w:p w14:paraId="05355E44" w14:textId="6B6E0E86" w:rsidR="00D02DC3" w:rsidRDefault="00D02DC3" w:rsidP="00661DB4">
      <w:pPr>
        <w:jc w:val="both"/>
        <w:rPr>
          <w:rFonts w:ascii="Calibri" w:hAnsi="Calibri"/>
          <w:b/>
          <w:color w:val="000000"/>
          <w:u w:val="single"/>
        </w:rPr>
      </w:pPr>
    </w:p>
    <w:p w14:paraId="783010E1" w14:textId="67047EA6" w:rsidR="00D02DC3" w:rsidRDefault="00D02DC3" w:rsidP="00661DB4">
      <w:pPr>
        <w:jc w:val="both"/>
        <w:rPr>
          <w:rFonts w:ascii="Calibri" w:hAnsi="Calibri"/>
          <w:b/>
          <w:color w:val="000000"/>
          <w:u w:val="single"/>
        </w:rPr>
      </w:pPr>
    </w:p>
    <w:p w14:paraId="327B8A56" w14:textId="4876CB86" w:rsidR="00D02DC3" w:rsidRDefault="00D02DC3" w:rsidP="00661DB4">
      <w:pPr>
        <w:jc w:val="both"/>
        <w:rPr>
          <w:rFonts w:ascii="Calibri" w:hAnsi="Calibri"/>
          <w:b/>
          <w:color w:val="000000"/>
          <w:u w:val="single"/>
        </w:rPr>
      </w:pPr>
    </w:p>
    <w:p w14:paraId="106ABC0F" w14:textId="69BD3FE6" w:rsidR="00D02DC3" w:rsidRDefault="00D02DC3" w:rsidP="00661DB4">
      <w:pPr>
        <w:jc w:val="both"/>
        <w:rPr>
          <w:rFonts w:ascii="Calibri" w:hAnsi="Calibri"/>
          <w:b/>
          <w:color w:val="000000"/>
          <w:u w:val="single"/>
        </w:rPr>
      </w:pPr>
    </w:p>
    <w:p w14:paraId="1C493A17" w14:textId="40464E89" w:rsidR="00D02DC3" w:rsidRDefault="00D02DC3" w:rsidP="00661DB4">
      <w:pPr>
        <w:jc w:val="both"/>
        <w:rPr>
          <w:rFonts w:ascii="Calibri" w:hAnsi="Calibri"/>
          <w:b/>
          <w:color w:val="000000"/>
          <w:u w:val="single"/>
        </w:rPr>
      </w:pPr>
    </w:p>
    <w:p w14:paraId="643FB0DD" w14:textId="7A70F8FB" w:rsidR="00D02DC3" w:rsidRDefault="00D02DC3" w:rsidP="00661DB4">
      <w:pPr>
        <w:jc w:val="both"/>
        <w:rPr>
          <w:rFonts w:ascii="Calibri" w:hAnsi="Calibri"/>
          <w:b/>
          <w:color w:val="000000"/>
          <w:u w:val="single"/>
        </w:rPr>
      </w:pPr>
    </w:p>
    <w:p w14:paraId="5B0CA832" w14:textId="0F9D7F7A" w:rsidR="00D02DC3" w:rsidRDefault="00D02DC3" w:rsidP="00661DB4">
      <w:pPr>
        <w:jc w:val="both"/>
        <w:rPr>
          <w:rFonts w:ascii="Calibri" w:hAnsi="Calibri"/>
          <w:b/>
          <w:color w:val="000000"/>
          <w:u w:val="single"/>
        </w:rPr>
      </w:pPr>
    </w:p>
    <w:p w14:paraId="283021B8" w14:textId="598A64BC" w:rsidR="00D02DC3" w:rsidRDefault="00D02DC3" w:rsidP="00661DB4">
      <w:pPr>
        <w:jc w:val="both"/>
        <w:rPr>
          <w:rFonts w:ascii="Calibri" w:hAnsi="Calibri"/>
          <w:b/>
          <w:color w:val="000000"/>
          <w:u w:val="single"/>
        </w:rPr>
      </w:pPr>
    </w:p>
    <w:p w14:paraId="2D4778C8" w14:textId="29F16D7E" w:rsidR="00D02DC3" w:rsidRDefault="00D02DC3" w:rsidP="00661DB4">
      <w:pPr>
        <w:jc w:val="both"/>
        <w:rPr>
          <w:rFonts w:ascii="Calibri" w:hAnsi="Calibri"/>
          <w:b/>
          <w:color w:val="000000"/>
          <w:u w:val="single"/>
        </w:rPr>
      </w:pPr>
    </w:p>
    <w:p w14:paraId="2E0256A3" w14:textId="2AC27938" w:rsidR="00D02DC3" w:rsidRDefault="00D02DC3" w:rsidP="00661DB4">
      <w:pPr>
        <w:jc w:val="both"/>
        <w:rPr>
          <w:rFonts w:ascii="Calibri" w:hAnsi="Calibri"/>
          <w:b/>
          <w:color w:val="000000"/>
          <w:u w:val="single"/>
        </w:rPr>
      </w:pPr>
    </w:p>
    <w:p w14:paraId="01B11032" w14:textId="00C70025" w:rsidR="00D02DC3" w:rsidRDefault="00D02DC3" w:rsidP="00661DB4">
      <w:pPr>
        <w:jc w:val="both"/>
        <w:rPr>
          <w:rFonts w:ascii="Calibri" w:hAnsi="Calibri"/>
          <w:b/>
          <w:color w:val="000000"/>
          <w:u w:val="single"/>
        </w:rPr>
      </w:pPr>
    </w:p>
    <w:p w14:paraId="6D5D44D6" w14:textId="2E26BBD3" w:rsidR="00D02DC3" w:rsidRDefault="00D02DC3" w:rsidP="00661DB4">
      <w:pPr>
        <w:jc w:val="both"/>
        <w:rPr>
          <w:rFonts w:ascii="Calibri" w:hAnsi="Calibri"/>
          <w:b/>
          <w:color w:val="000000"/>
          <w:u w:val="single"/>
        </w:rPr>
      </w:pPr>
    </w:p>
    <w:p w14:paraId="1F005EA7" w14:textId="6C3BEDB4" w:rsidR="00D02DC3" w:rsidRDefault="00D02DC3" w:rsidP="00661DB4">
      <w:pPr>
        <w:jc w:val="both"/>
        <w:rPr>
          <w:rFonts w:ascii="Calibri" w:hAnsi="Calibri"/>
          <w:b/>
          <w:color w:val="000000"/>
          <w:u w:val="single"/>
        </w:rPr>
      </w:pPr>
    </w:p>
    <w:p w14:paraId="521B05B4" w14:textId="71B6B935" w:rsidR="00D02DC3" w:rsidRDefault="00D02DC3" w:rsidP="00661DB4">
      <w:pPr>
        <w:jc w:val="both"/>
        <w:rPr>
          <w:rFonts w:ascii="Calibri" w:hAnsi="Calibri"/>
          <w:b/>
          <w:color w:val="000000"/>
          <w:u w:val="single"/>
        </w:rPr>
      </w:pPr>
    </w:p>
    <w:p w14:paraId="09EC18E6" w14:textId="4183DFBC" w:rsidR="00D02DC3" w:rsidRDefault="00D02DC3" w:rsidP="00661DB4">
      <w:pPr>
        <w:jc w:val="both"/>
        <w:rPr>
          <w:rFonts w:ascii="Calibri" w:hAnsi="Calibri"/>
          <w:b/>
          <w:color w:val="000000"/>
          <w:u w:val="single"/>
        </w:rPr>
      </w:pPr>
    </w:p>
    <w:p w14:paraId="7B2B0144" w14:textId="3BDC82F7" w:rsidR="00D02DC3" w:rsidRDefault="00D02DC3" w:rsidP="00661DB4">
      <w:pPr>
        <w:jc w:val="both"/>
        <w:rPr>
          <w:rFonts w:ascii="Calibri" w:hAnsi="Calibri"/>
          <w:b/>
          <w:color w:val="000000"/>
          <w:u w:val="single"/>
        </w:rPr>
      </w:pPr>
    </w:p>
    <w:p w14:paraId="159921EA" w14:textId="2EB6BBDE" w:rsidR="00D02DC3" w:rsidRDefault="00D02DC3" w:rsidP="00661DB4">
      <w:pPr>
        <w:jc w:val="both"/>
        <w:rPr>
          <w:rFonts w:ascii="Calibri" w:hAnsi="Calibri"/>
          <w:b/>
          <w:color w:val="000000"/>
          <w:u w:val="single"/>
        </w:rPr>
      </w:pPr>
    </w:p>
    <w:p w14:paraId="3351ED6B" w14:textId="690DFD6E" w:rsidR="00D02DC3" w:rsidRDefault="00D02DC3" w:rsidP="00661DB4">
      <w:pPr>
        <w:jc w:val="both"/>
        <w:rPr>
          <w:rFonts w:ascii="Calibri" w:hAnsi="Calibri"/>
          <w:b/>
          <w:color w:val="000000"/>
          <w:u w:val="single"/>
        </w:rPr>
      </w:pPr>
    </w:p>
    <w:p w14:paraId="58C063D0" w14:textId="67C21041" w:rsidR="00D02DC3" w:rsidRDefault="00D02DC3" w:rsidP="00661DB4">
      <w:pPr>
        <w:jc w:val="both"/>
        <w:rPr>
          <w:rFonts w:ascii="Calibri" w:hAnsi="Calibri"/>
          <w:b/>
          <w:color w:val="000000"/>
          <w:u w:val="single"/>
        </w:rPr>
      </w:pPr>
    </w:p>
    <w:p w14:paraId="1AF68AD2" w14:textId="7F3861C4" w:rsidR="00D02DC3" w:rsidRDefault="00D02DC3" w:rsidP="00661DB4">
      <w:pPr>
        <w:jc w:val="both"/>
        <w:rPr>
          <w:rFonts w:ascii="Calibri" w:hAnsi="Calibri"/>
          <w:b/>
          <w:color w:val="000000"/>
          <w:u w:val="single"/>
        </w:rPr>
      </w:pPr>
    </w:p>
    <w:p w14:paraId="310BA759" w14:textId="271FC0A6" w:rsidR="00D02DC3" w:rsidRDefault="00D02DC3" w:rsidP="00661DB4">
      <w:pPr>
        <w:jc w:val="both"/>
        <w:rPr>
          <w:rFonts w:ascii="Calibri" w:hAnsi="Calibri"/>
          <w:b/>
          <w:color w:val="000000"/>
          <w:u w:val="single"/>
        </w:rPr>
      </w:pPr>
    </w:p>
    <w:p w14:paraId="082E6671" w14:textId="771CB11F" w:rsidR="00D02DC3" w:rsidRDefault="00D02DC3" w:rsidP="00661DB4">
      <w:pPr>
        <w:jc w:val="both"/>
        <w:rPr>
          <w:rFonts w:ascii="Calibri" w:hAnsi="Calibri"/>
          <w:b/>
          <w:color w:val="000000"/>
          <w:u w:val="single"/>
        </w:rPr>
      </w:pPr>
    </w:p>
    <w:p w14:paraId="5380A9FB" w14:textId="77777777" w:rsidR="0051628D" w:rsidRDefault="0051628D" w:rsidP="005B72F7">
      <w:pPr>
        <w:pStyle w:val="Heading1"/>
        <w:jc w:val="both"/>
        <w:rPr>
          <w:rFonts w:ascii="Calibri" w:hAnsi="Calibri"/>
        </w:rPr>
      </w:pPr>
      <w:bookmarkStart w:id="26" w:name="_Appendix_2"/>
      <w:bookmarkEnd w:id="26"/>
      <w:r>
        <w:rPr>
          <w:rFonts w:ascii="Calibri" w:hAnsi="Calibri"/>
        </w:rPr>
        <w:t>Appendix 2</w:t>
      </w:r>
    </w:p>
    <w:p w14:paraId="0A05F1FB" w14:textId="77777777" w:rsidR="0051628D" w:rsidRPr="003B4401" w:rsidRDefault="0051628D" w:rsidP="005B72F7">
      <w:pPr>
        <w:pStyle w:val="Heading1"/>
        <w:jc w:val="both"/>
        <w:rPr>
          <w:rFonts w:ascii="Calibri" w:hAnsi="Calibri"/>
          <w:sz w:val="24"/>
          <w:szCs w:val="24"/>
        </w:rPr>
      </w:pPr>
    </w:p>
    <w:p w14:paraId="2120DDF6" w14:textId="77777777" w:rsidR="00383F85" w:rsidRDefault="00383F85" w:rsidP="005B72F7">
      <w:pPr>
        <w:pStyle w:val="Heading1"/>
        <w:jc w:val="both"/>
        <w:rPr>
          <w:rFonts w:ascii="Calibri" w:hAnsi="Calibri"/>
        </w:rPr>
      </w:pPr>
      <w:r>
        <w:rPr>
          <w:rFonts w:ascii="Calibri" w:hAnsi="Calibri"/>
        </w:rPr>
        <w:t>Review of the evidence for carbamazepine</w:t>
      </w:r>
    </w:p>
    <w:p w14:paraId="04EFED8E" w14:textId="77777777" w:rsidR="00383F85" w:rsidRDefault="00383F85" w:rsidP="005B72F7">
      <w:pPr>
        <w:jc w:val="both"/>
      </w:pPr>
    </w:p>
    <w:p w14:paraId="03790322" w14:textId="77777777" w:rsidR="00383F85" w:rsidRPr="003B4401" w:rsidRDefault="00383F85" w:rsidP="005B72F7">
      <w:pPr>
        <w:jc w:val="both"/>
        <w:rPr>
          <w:rFonts w:ascii="Calibri" w:hAnsi="Calibri"/>
          <w:color w:val="000000"/>
        </w:rPr>
      </w:pPr>
      <w:r w:rsidRPr="003B4401">
        <w:rPr>
          <w:rFonts w:ascii="Calibri" w:hAnsi="Calibri"/>
          <w:color w:val="000000"/>
        </w:rPr>
        <w:t xml:space="preserve">A non-blinded intra-individual bioequivalence study in Germany included 14 patients aged 18 – 52 years with focal epilepsy between May 1996 and February 1997. Patients were taking sustained release branded carbamazepine (Timonil 300 Retard) as monotherapy for uncontrolled epilepsy and were switched to generic carbamazepine sustained release (Fokalepsin 300 Retard).  One patient dropped out because of ADRs with generic carbamazepine.  For the remaining 13 patients:  AUC was 111.5% (90% CI 105.6 – 117.8%), peak trough fluctuation (PTF) was 90.9% (90% CI 73.4 – 112.8%), Cmax was 110.1% (90% CI 100.4 – 117.0%).  In 8 patients there were adverse effects such as dizziness, nausea, ataxia, diplopia and nystagmus.  Bioequivalence standards at this time were 90% CI for AUC 80 – 125% and Cmax and </w:t>
      </w:r>
      <w:r w:rsidR="00B234C7">
        <w:rPr>
          <w:rFonts w:ascii="Calibri" w:hAnsi="Calibri"/>
          <w:color w:val="000000"/>
        </w:rPr>
        <w:t xml:space="preserve"> </w:t>
      </w:r>
      <w:r w:rsidRPr="003B4401">
        <w:rPr>
          <w:rFonts w:ascii="Calibri" w:hAnsi="Calibri"/>
          <w:color w:val="000000"/>
        </w:rPr>
        <w:t>PTF 70 – 143%.  This meant that generic carbamazepine met the bioequivalence standards.   In this study the follow-up period was very short and the patients already had uncontrolled epilepsy before their switch therefore seizure frequency was not measured. (Mayer 1999)</w:t>
      </w:r>
    </w:p>
    <w:p w14:paraId="5479D8B6" w14:textId="77777777" w:rsidR="00383F85" w:rsidRPr="003B4401" w:rsidRDefault="00383F85" w:rsidP="005B72F7">
      <w:pPr>
        <w:jc w:val="both"/>
        <w:rPr>
          <w:rFonts w:ascii="Calibri" w:hAnsi="Calibri"/>
        </w:rPr>
      </w:pPr>
    </w:p>
    <w:p w14:paraId="617BA225" w14:textId="77777777" w:rsidR="00383F85" w:rsidRPr="003B4401" w:rsidRDefault="00383F85" w:rsidP="005B72F7">
      <w:pPr>
        <w:jc w:val="both"/>
        <w:rPr>
          <w:rFonts w:ascii="Calibri" w:hAnsi="Calibri"/>
          <w:color w:val="000000"/>
        </w:rPr>
      </w:pPr>
      <w:r w:rsidRPr="003B4401">
        <w:rPr>
          <w:rFonts w:ascii="Calibri" w:hAnsi="Calibri"/>
          <w:color w:val="000000"/>
        </w:rPr>
        <w:t xml:space="preserve">A prospective, randomised, double-blind, crossover bioequivalence study in the US compared generic (Epitol) for 90 days with brand (Tegretol) carbamazepine for 90 days in 40 epileptic patients (&gt;13years old). </w:t>
      </w:r>
    </w:p>
    <w:p w14:paraId="5F085216" w14:textId="77777777" w:rsidR="00383F85" w:rsidRPr="003B4401" w:rsidRDefault="00383F85" w:rsidP="005B72F7">
      <w:pPr>
        <w:jc w:val="both"/>
        <w:rPr>
          <w:rFonts w:ascii="Calibri" w:hAnsi="Calibri"/>
          <w:color w:val="000000"/>
        </w:rPr>
      </w:pPr>
    </w:p>
    <w:p w14:paraId="5D41FE5E" w14:textId="77777777" w:rsidR="00383F85" w:rsidRPr="003B4401" w:rsidRDefault="00383F85" w:rsidP="005B72F7">
      <w:pPr>
        <w:jc w:val="both"/>
        <w:rPr>
          <w:rFonts w:ascii="Calibri" w:hAnsi="Calibri"/>
          <w:color w:val="000000"/>
        </w:rPr>
      </w:pPr>
      <w:r w:rsidRPr="003B4401">
        <w:rPr>
          <w:rFonts w:ascii="Calibri" w:hAnsi="Calibri"/>
          <w:color w:val="000000"/>
        </w:rPr>
        <w:t>There were 20 patients in Group A who were seizure-free (between 5 months and 2 years) and 20 in group B who had refractory seizures (approx 2 per month for previous 3 months).  The average Epitol to Tegretol ratio of AUCs was 1.04 (SD 0.28) in Group A and 1.05 (SD 0.13) in Group B.</w:t>
      </w:r>
    </w:p>
    <w:p w14:paraId="47C836F6" w14:textId="77777777" w:rsidR="00383F85" w:rsidRPr="003B4401" w:rsidRDefault="00383F85" w:rsidP="005B72F7">
      <w:pPr>
        <w:jc w:val="both"/>
        <w:rPr>
          <w:rFonts w:ascii="Calibri" w:hAnsi="Calibri"/>
          <w:color w:val="000000"/>
        </w:rPr>
      </w:pPr>
    </w:p>
    <w:p w14:paraId="66F15AE6" w14:textId="77777777" w:rsidR="00383F85" w:rsidRPr="003B4401" w:rsidRDefault="00383F85" w:rsidP="005B72F7">
      <w:pPr>
        <w:jc w:val="both"/>
        <w:rPr>
          <w:rFonts w:ascii="Calibri" w:hAnsi="Calibri"/>
          <w:color w:val="000000"/>
        </w:rPr>
      </w:pPr>
      <w:r w:rsidRPr="003B4401">
        <w:rPr>
          <w:rFonts w:ascii="Calibri" w:hAnsi="Calibri"/>
          <w:color w:val="000000"/>
        </w:rPr>
        <w:t>The frequencies of breakthrough seizures in each group were similar between regimens.  Group A had 1 patient drop out due to seizures; one patient had seizures during both arms of the study and two had seizures while on Tegretol.  Two of these patients had a decrease in AUC &gt;20%.  Group B had 4 patients drop out due to seizures (2 on Epitol and 2 on Tegretol).  The average seizure frequency was 0.25 on Epitol [SD 0.14] and 0</w:t>
      </w:r>
      <w:r w:rsidR="00B234C7">
        <w:rPr>
          <w:rFonts w:ascii="Calibri" w:hAnsi="Calibri"/>
          <w:color w:val="000000"/>
        </w:rPr>
        <w:t>.22 on Tegretol [SD 0.2].  Side-</w:t>
      </w:r>
      <w:r w:rsidRPr="003B4401">
        <w:rPr>
          <w:rFonts w:ascii="Calibri" w:hAnsi="Calibri"/>
          <w:color w:val="000000"/>
        </w:rPr>
        <w:t>effects were similar in frequency and severity.  Nine of 36 assessable patients had AUCs at steady state that varied by greater than 20%, 7 while on Epitol and 2 on Tegretol but did not have increased seizures.  (Oles 1992)</w:t>
      </w:r>
    </w:p>
    <w:p w14:paraId="54391A19" w14:textId="77777777" w:rsidR="00383F85" w:rsidRPr="003B4401" w:rsidRDefault="00383F85" w:rsidP="005B72F7">
      <w:pPr>
        <w:jc w:val="both"/>
        <w:rPr>
          <w:rFonts w:ascii="Calibri" w:hAnsi="Calibri"/>
          <w:color w:val="000000"/>
        </w:rPr>
      </w:pPr>
    </w:p>
    <w:p w14:paraId="2DAB042E"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 xml:space="preserve">A </w:t>
      </w:r>
      <w:r w:rsidR="00B234C7">
        <w:rPr>
          <w:rFonts w:ascii="Calibri" w:hAnsi="Calibri"/>
          <w:color w:val="000000"/>
        </w:rPr>
        <w:t>randomised, double-blind, cross</w:t>
      </w:r>
      <w:r w:rsidRPr="003B4401">
        <w:rPr>
          <w:rFonts w:ascii="Calibri" w:hAnsi="Calibri"/>
          <w:color w:val="000000"/>
        </w:rPr>
        <w:t xml:space="preserve">over bioequivalence study was carried out in 10 male patients, aged </w:t>
      </w:r>
      <w:r w:rsidRPr="003B4401">
        <w:rPr>
          <w:rFonts w:ascii="Calibri" w:hAnsi="Calibri"/>
          <w:bCs/>
          <w:color w:val="000000"/>
        </w:rPr>
        <w:t xml:space="preserve">34 </w:t>
      </w:r>
      <w:r w:rsidRPr="003B4401">
        <w:rPr>
          <w:rFonts w:ascii="Calibri" w:hAnsi="Calibri"/>
          <w:color w:val="000000"/>
        </w:rPr>
        <w:t>to 70 years with uncontrolled epilepsy in the US. Patients took either the brand (Tegretol, Geigy Pharmaceuticals) or a generic (Parke-Davis) for 5 weeks then crossed over to the other formulation.  The mean blood level for generic carbamazepine was 9.6 (SD</w:t>
      </w:r>
      <w:r w:rsidRPr="003B4401">
        <w:rPr>
          <w:bCs/>
          <w:color w:val="000000"/>
        </w:rPr>
        <w:t>±</w:t>
      </w:r>
      <w:r w:rsidRPr="003B4401">
        <w:rPr>
          <w:rFonts w:ascii="Calibri" w:hAnsi="Calibri"/>
          <w:bCs/>
          <w:color w:val="000000"/>
        </w:rPr>
        <w:t xml:space="preserve"> </w:t>
      </w:r>
      <w:r w:rsidRPr="003B4401">
        <w:rPr>
          <w:rFonts w:ascii="Calibri" w:hAnsi="Calibri"/>
          <w:color w:val="000000"/>
        </w:rPr>
        <w:t xml:space="preserve">3.6); which was not significantly different from the brand </w:t>
      </w:r>
      <w:r w:rsidRPr="003B4401">
        <w:rPr>
          <w:rFonts w:ascii="Calibri" w:hAnsi="Calibri"/>
          <w:bCs/>
          <w:color w:val="000000"/>
        </w:rPr>
        <w:t>10.1 (SD</w:t>
      </w:r>
      <w:r w:rsidRPr="003B4401">
        <w:rPr>
          <w:bCs/>
          <w:color w:val="000000"/>
        </w:rPr>
        <w:t>±</w:t>
      </w:r>
      <w:r w:rsidRPr="003B4401">
        <w:rPr>
          <w:rFonts w:ascii="Calibri" w:hAnsi="Calibri"/>
          <w:color w:val="000000"/>
        </w:rPr>
        <w:t xml:space="preserve"> </w:t>
      </w:r>
      <w:r w:rsidRPr="003B4401">
        <w:rPr>
          <w:rFonts w:ascii="Calibri" w:hAnsi="Calibri"/>
          <w:bCs/>
          <w:color w:val="000000"/>
        </w:rPr>
        <w:t xml:space="preserve">4.0). </w:t>
      </w:r>
      <w:r w:rsidRPr="003B4401">
        <w:rPr>
          <w:rFonts w:ascii="Calibri" w:hAnsi="Calibri"/>
          <w:color w:val="000000"/>
        </w:rPr>
        <w:t xml:space="preserve">The mean seizure frequency of patients with generic carbamazepine was </w:t>
      </w:r>
      <w:r w:rsidRPr="003B4401">
        <w:rPr>
          <w:rFonts w:ascii="Calibri" w:hAnsi="Calibri"/>
          <w:bCs/>
          <w:color w:val="000000"/>
        </w:rPr>
        <w:t xml:space="preserve">4.9 </w:t>
      </w:r>
      <w:r w:rsidRPr="003B4401">
        <w:rPr>
          <w:bCs/>
          <w:color w:val="000000"/>
        </w:rPr>
        <w:t>±</w:t>
      </w:r>
      <w:r w:rsidRPr="003B4401">
        <w:rPr>
          <w:rFonts w:ascii="Calibri" w:hAnsi="Calibri"/>
          <w:i/>
          <w:iCs/>
          <w:color w:val="000000"/>
        </w:rPr>
        <w:t xml:space="preserve"> </w:t>
      </w:r>
      <w:r w:rsidRPr="003B4401">
        <w:rPr>
          <w:rFonts w:ascii="Calibri" w:hAnsi="Calibri"/>
          <w:bCs/>
          <w:color w:val="000000"/>
        </w:rPr>
        <w:t xml:space="preserve">9.2, </w:t>
      </w:r>
      <w:r w:rsidRPr="003B4401">
        <w:rPr>
          <w:rFonts w:ascii="Calibri" w:hAnsi="Calibri"/>
          <w:color w:val="000000"/>
        </w:rPr>
        <w:t xml:space="preserve">which was not significantly different to the brand preparation 6.1 </w:t>
      </w:r>
      <w:r w:rsidRPr="003B4401">
        <w:rPr>
          <w:bCs/>
          <w:color w:val="000000"/>
        </w:rPr>
        <w:t>±</w:t>
      </w:r>
      <w:r w:rsidRPr="003B4401">
        <w:rPr>
          <w:rFonts w:ascii="Calibri" w:hAnsi="Calibri"/>
          <w:bCs/>
          <w:color w:val="000000"/>
        </w:rPr>
        <w:t xml:space="preserve"> </w:t>
      </w:r>
      <w:r w:rsidRPr="003B4401">
        <w:rPr>
          <w:rFonts w:ascii="Calibri" w:hAnsi="Calibri"/>
          <w:color w:val="000000"/>
        </w:rPr>
        <w:t xml:space="preserve">12.  There was no statistical difference in seizure frequency in the patient population comparing the monthly average during the study and for </w:t>
      </w:r>
      <w:r w:rsidRPr="003B4401">
        <w:rPr>
          <w:rFonts w:ascii="Calibri" w:hAnsi="Calibri"/>
          <w:bCs/>
          <w:color w:val="000000"/>
        </w:rPr>
        <w:t xml:space="preserve">1 </w:t>
      </w:r>
      <w:r w:rsidRPr="003B4401">
        <w:rPr>
          <w:rFonts w:ascii="Calibri" w:hAnsi="Calibri"/>
          <w:color w:val="000000"/>
        </w:rPr>
        <w:t xml:space="preserve">year prior </w:t>
      </w:r>
      <w:r w:rsidRPr="003B4401">
        <w:rPr>
          <w:rFonts w:ascii="Calibri" w:hAnsi="Calibri"/>
          <w:bCs/>
          <w:color w:val="000000"/>
        </w:rPr>
        <w:t xml:space="preserve">to </w:t>
      </w:r>
      <w:r w:rsidRPr="003B4401">
        <w:rPr>
          <w:rFonts w:ascii="Calibri" w:hAnsi="Calibri"/>
          <w:color w:val="000000"/>
        </w:rPr>
        <w:t>the s</w:t>
      </w:r>
      <w:r w:rsidR="00B234C7">
        <w:rPr>
          <w:rFonts w:ascii="Calibri" w:hAnsi="Calibri"/>
          <w:color w:val="000000"/>
        </w:rPr>
        <w:t>tudy. Analysis of clinical side-</w:t>
      </w:r>
      <w:r w:rsidRPr="003B4401">
        <w:rPr>
          <w:rFonts w:ascii="Calibri" w:hAnsi="Calibri"/>
          <w:color w:val="000000"/>
        </w:rPr>
        <w:t xml:space="preserve">effects, </w:t>
      </w:r>
      <w:r w:rsidR="002A7E3D">
        <w:rPr>
          <w:rFonts w:ascii="Calibri" w:hAnsi="Calibri"/>
          <w:color w:val="000000"/>
        </w:rPr>
        <w:t>total blood count</w:t>
      </w:r>
      <w:r w:rsidRPr="003B4401">
        <w:rPr>
          <w:rFonts w:ascii="Calibri" w:hAnsi="Calibri"/>
          <w:color w:val="000000"/>
        </w:rPr>
        <w:t>, and liver function tests showed no significant difference between the two formulations. This was a small study of 10 patients with follow-up for one month which is unlikely to be long enough to truly compare the seizure rates and adverse effects. (Jumao-as 1989)</w:t>
      </w:r>
    </w:p>
    <w:p w14:paraId="14CC1D0C" w14:textId="77777777" w:rsidR="00383F85" w:rsidRPr="003B4401" w:rsidRDefault="00383F85" w:rsidP="005B72F7">
      <w:pPr>
        <w:autoSpaceDE w:val="0"/>
        <w:autoSpaceDN w:val="0"/>
        <w:adjustRightInd w:val="0"/>
        <w:jc w:val="both"/>
        <w:rPr>
          <w:rFonts w:ascii="Calibri" w:hAnsi="Calibri"/>
          <w:color w:val="000000"/>
        </w:rPr>
      </w:pPr>
    </w:p>
    <w:p w14:paraId="75832202"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A single-dose, crossover, bioequivalence study in the US assessed 3 generic carbamazepine products (by Inwood, Sidmak, Purepac) and Tegretol brand (by Ciba Geigy).  18 healthy subjects (15 males, 3 females), aged 22 to 35 years, randomly received a single-dose (200mg) of the four formulations of carbamazepine in different orders each separated by 21 day washout periods.  There were statistically significant differences (&lt;0.05) in plasma concentrations among the 4 products at sampling times between 0.5 and 25 hours however plasma concentrations were essentially identical among the 4 products from 49 hours to 169 hours.  Mean concentrations ranged from 1.2 - 1.28 mcg/ml at 49 hours and 0.16 – 0.17 mcg/ml at 169 hours.  Relatively small intersubject variabilities were observed for each of the 4 products with relative standard deviations (CVs) of 21% or less for Cmax and AUC.  The upper confidence limit for Cmax for the Purepak product (126%) was slightly outside the FDA acceptance range of 80 – 125%. When the 3 generic drugs were compared, the CI for Cmax and AUC were all well within the range 80 – 125%.  The mean time of maximum plasma concentration was 6 – 7 hours sooner for the generics (p&lt;0.001) suggesting more rapid absorption of the 3 generic products.  The authors suggested (following analysis) that when the single dose data was projected to steady state the Cmax difference between the 4 products would decrease (i.e. with multiple dosing). The authors concluded that the products were comparable.</w:t>
      </w:r>
    </w:p>
    <w:p w14:paraId="42BC9FF6"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(Meyer 1998)</w:t>
      </w:r>
    </w:p>
    <w:p w14:paraId="5951764F" w14:textId="77777777" w:rsidR="00383F85" w:rsidRPr="003B4401" w:rsidRDefault="00383F85" w:rsidP="005B72F7">
      <w:pPr>
        <w:autoSpaceDE w:val="0"/>
        <w:autoSpaceDN w:val="0"/>
        <w:adjustRightInd w:val="0"/>
        <w:jc w:val="both"/>
        <w:rPr>
          <w:rFonts w:ascii="Calibri" w:hAnsi="Calibri"/>
          <w:color w:val="000000"/>
        </w:rPr>
      </w:pPr>
    </w:p>
    <w:p w14:paraId="25349BA7"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bCs/>
          <w:color w:val="000000"/>
        </w:rPr>
        <w:t xml:space="preserve">A single-centre, multiple-dose, randomised, open-label, 2-way crossover bioequivalence study was conducted in fasting volunteers at steady state in Canada. 28 subjects received the test (generic by Taro Pharmaceutical Industries Ltd) and reference product (Tegretol) as a 200 mg carbamazepine tablet 3 times a day for 8 days in a crossover fashion. </w:t>
      </w:r>
      <w:r w:rsidRPr="003B4401">
        <w:rPr>
          <w:rFonts w:ascii="Calibri" w:hAnsi="Calibri"/>
          <w:color w:val="000000"/>
        </w:rPr>
        <w:t>The values for carbamazepine parameters AUC, Cmax, Cmin, and Cavg at steady state had coefficient of variations of less than 15% for the test and reference formulations and had</w:t>
      </w:r>
      <w:r w:rsidRPr="003B4401">
        <w:rPr>
          <w:rFonts w:ascii="Calibri" w:hAnsi="Calibri"/>
          <w:bCs/>
          <w:color w:val="000000"/>
        </w:rPr>
        <w:t xml:space="preserve"> 90% to 95% confidence intervals falling within 90% and 110%.  </w:t>
      </w:r>
      <w:r w:rsidRPr="003B4401">
        <w:rPr>
          <w:rFonts w:ascii="Calibri" w:hAnsi="Calibri"/>
          <w:color w:val="000000"/>
        </w:rPr>
        <w:t xml:space="preserve">Measures of pre-dose concentrations (Cmin) during the first and second dosing period showed average fluctuations of 1.3% and 4.8% respectively for the test product and 3.2% and 2.7% respectively for the reference product. Similar adverse events were observed in both the pre-treatment and treatment phases.  The authors concluded that bioequivalence of the two carbamazepine products was confirmed. </w:t>
      </w:r>
      <w:r w:rsidRPr="003B4401">
        <w:rPr>
          <w:rFonts w:ascii="Calibri" w:hAnsi="Calibri" w:cs="Galliard-Bold"/>
          <w:bCs/>
          <w:color w:val="000000"/>
        </w:rPr>
        <w:t xml:space="preserve">(Yacobi </w:t>
      </w:r>
      <w:r w:rsidRPr="003B4401">
        <w:rPr>
          <w:rFonts w:ascii="Calibri" w:hAnsi="Calibri"/>
          <w:color w:val="000000"/>
        </w:rPr>
        <w:t>1999)</w:t>
      </w:r>
    </w:p>
    <w:p w14:paraId="6E441F2C" w14:textId="77777777" w:rsidR="00383F85" w:rsidRPr="003B4401" w:rsidRDefault="00383F85" w:rsidP="005B72F7">
      <w:pPr>
        <w:autoSpaceDE w:val="0"/>
        <w:autoSpaceDN w:val="0"/>
        <w:adjustRightInd w:val="0"/>
        <w:jc w:val="both"/>
        <w:rPr>
          <w:rFonts w:ascii="Calibri" w:hAnsi="Calibri"/>
          <w:color w:val="000000"/>
        </w:rPr>
      </w:pPr>
    </w:p>
    <w:p w14:paraId="466CBC17"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 xml:space="preserve">One paper describes two bioequivalence studies which were used to test some new parameters for assessing the rate of absorption and bioequivalence of sustained-release carbamazepine products. Tegretol CR Divitab was used as the reference product and Teril 400 CR as the test product. The first study was a single-dose, randomised, crossover study in 30 male volunteers (non-smokers), aged 24 to 53 years, with a mean weight of 75 </w:t>
      </w:r>
      <w:r w:rsidRPr="003B4401">
        <w:rPr>
          <w:rFonts w:ascii="Calibri" w:hAnsi="Calibri"/>
          <w:bCs/>
          <w:color w:val="000000"/>
        </w:rPr>
        <w:t>±</w:t>
      </w:r>
      <w:r w:rsidRPr="003B4401">
        <w:rPr>
          <w:rFonts w:ascii="Calibri" w:hAnsi="Calibri"/>
          <w:color w:val="000000"/>
        </w:rPr>
        <w:t xml:space="preserve"> 7 kg, who received a single dose (400mg) of the two carbamazepine brands separated by 3 weeks.  The second study was a multiple dose, two-way randomised crossover bioequivalence study in 22 subjects (non-smokers), aged 18 to </w:t>
      </w:r>
      <w:r w:rsidRPr="003B4401">
        <w:rPr>
          <w:rFonts w:ascii="Calibri" w:hAnsi="Calibri"/>
          <w:iCs/>
          <w:color w:val="000000"/>
        </w:rPr>
        <w:t>55</w:t>
      </w:r>
      <w:r w:rsidRPr="003B4401">
        <w:rPr>
          <w:rFonts w:ascii="Calibri" w:hAnsi="Calibri"/>
          <w:color w:val="000000"/>
        </w:rPr>
        <w:t xml:space="preserve"> years, who were given Tegretol CR Divitab or Teril 400 CR repeatedly (400mg bd) for two crossover period of 8 days.  </w:t>
      </w:r>
    </w:p>
    <w:p w14:paraId="5478A7C7" w14:textId="77777777" w:rsidR="00383F85" w:rsidRPr="003B4401" w:rsidRDefault="00383F85" w:rsidP="005B72F7">
      <w:pPr>
        <w:autoSpaceDE w:val="0"/>
        <w:autoSpaceDN w:val="0"/>
        <w:adjustRightInd w:val="0"/>
        <w:jc w:val="both"/>
        <w:rPr>
          <w:rFonts w:ascii="Calibri" w:hAnsi="Calibri"/>
          <w:color w:val="000000"/>
        </w:rPr>
      </w:pPr>
    </w:p>
    <w:p w14:paraId="33C96CF0"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 xml:space="preserve">In addition to the traditional bioequivalence parameters (AUC, Cmax and Tmax), the following  measures were also taken: mean residence time (MRT), mean absorption time (MAT), Cmax/AUC, plateau time or POT (the time span associated with the concentrations within </w:t>
      </w:r>
      <w:r w:rsidRPr="003B4401">
        <w:rPr>
          <w:rFonts w:ascii="Calibri" w:hAnsi="Calibri"/>
          <w:bCs/>
          <w:color w:val="000000"/>
        </w:rPr>
        <w:t xml:space="preserve">25% </w:t>
      </w:r>
      <w:r w:rsidRPr="003B4401">
        <w:rPr>
          <w:rFonts w:ascii="Calibri" w:hAnsi="Calibri"/>
          <w:color w:val="000000"/>
        </w:rPr>
        <w:t>of Cmax), tapical, and Capita, (the arithmetic mean of the POT times and concentrations within 25% of Cmax, respectively) and %Co-efficient of Variance (CV) of the steady state concentration (Css) values.  These are not single-point parameters, and therefore, may provide a better assessment of the superimposability of the plasma concentration curve than do Cmax and tmax</w:t>
      </w:r>
      <w:r w:rsidRPr="003B4401">
        <w:rPr>
          <w:rFonts w:ascii="Calibri" w:hAnsi="Calibri"/>
          <w:bCs/>
          <w:color w:val="000000"/>
        </w:rPr>
        <w:t xml:space="preserve"> </w:t>
      </w:r>
      <w:r w:rsidRPr="003B4401">
        <w:rPr>
          <w:rFonts w:ascii="Calibri" w:hAnsi="Calibri"/>
          <w:color w:val="000000"/>
        </w:rPr>
        <w:t xml:space="preserve">alone. </w:t>
      </w:r>
    </w:p>
    <w:p w14:paraId="5164FF64" w14:textId="77777777" w:rsidR="00383F85" w:rsidRPr="003B4401" w:rsidRDefault="00383F85" w:rsidP="005B72F7">
      <w:pPr>
        <w:autoSpaceDE w:val="0"/>
        <w:autoSpaceDN w:val="0"/>
        <w:adjustRightInd w:val="0"/>
        <w:jc w:val="both"/>
        <w:rPr>
          <w:rFonts w:ascii="Calibri" w:hAnsi="Calibri"/>
          <w:color w:val="000000"/>
        </w:rPr>
      </w:pPr>
    </w:p>
    <w:p w14:paraId="2AA66EC1"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 xml:space="preserve">The mean values of these parameters were almost identical for both the test and reference formulations, after both the single- and multiple-dose studies. </w:t>
      </w:r>
    </w:p>
    <w:p w14:paraId="4DF3AA45" w14:textId="77777777" w:rsidR="00383F85" w:rsidRPr="003B4401" w:rsidRDefault="00383F85" w:rsidP="005B72F7">
      <w:pPr>
        <w:autoSpaceDE w:val="0"/>
        <w:autoSpaceDN w:val="0"/>
        <w:adjustRightInd w:val="0"/>
        <w:jc w:val="both"/>
        <w:rPr>
          <w:rFonts w:ascii="Calibri" w:hAnsi="Calibri"/>
          <w:bCs/>
          <w:color w:val="000000"/>
        </w:rPr>
      </w:pPr>
      <w:r w:rsidRPr="003B4401">
        <w:rPr>
          <w:rFonts w:ascii="Calibri" w:hAnsi="Calibri"/>
          <w:color w:val="000000"/>
        </w:rPr>
        <w:t xml:space="preserve">The products were within the acceptable confidence intervals for both the single and multiple dose studies and for the new and traditional bioequivalence parameters so the authors concluded these results further substantiate the therapeutic equivalence between the two formulations.  (Bialer </w:t>
      </w:r>
      <w:r w:rsidRPr="003B4401">
        <w:rPr>
          <w:rFonts w:ascii="Calibri" w:hAnsi="Calibri"/>
          <w:bCs/>
          <w:iCs/>
          <w:color w:val="000000"/>
        </w:rPr>
        <w:t xml:space="preserve">Epilepsia </w:t>
      </w:r>
      <w:r w:rsidRPr="003B4401">
        <w:rPr>
          <w:rFonts w:ascii="Calibri" w:hAnsi="Calibri"/>
          <w:bCs/>
          <w:color w:val="000000"/>
        </w:rPr>
        <w:t xml:space="preserve">1998) </w:t>
      </w:r>
    </w:p>
    <w:p w14:paraId="17D7EFD6" w14:textId="77777777" w:rsidR="00383F85" w:rsidRPr="003B4401" w:rsidRDefault="00383F85" w:rsidP="005B72F7">
      <w:pPr>
        <w:autoSpaceDE w:val="0"/>
        <w:autoSpaceDN w:val="0"/>
        <w:adjustRightInd w:val="0"/>
        <w:jc w:val="both"/>
        <w:rPr>
          <w:rFonts w:ascii="Calibri" w:hAnsi="Calibri"/>
          <w:color w:val="008000"/>
        </w:rPr>
      </w:pPr>
    </w:p>
    <w:p w14:paraId="5218A541"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A randomised open-label, observer-blind, crossover bioequivalence study in the Netherlands compared 3 different formulations of carbamazepine (Tegretol and two generics by Pharmachemie and Pharbita).  12 epilepsy patients aged 18 – 60 years on carbamazepine as monotherapy were given one of the three formulations for 3 days then crossed over to the other formulations (baseline periods allowed patients to reach steady state).  Most (9/12) patients were seizure-free during the 6 months before the trial. Three patients had between 1 seizure per 2 months to 2 seizures per month. All patients except one remained seizure-free during the study period. One patient reported two seizures during the study. Therefore the authors concluded that seizure frequency did not constitute a major interfering factor in this study.</w:t>
      </w:r>
    </w:p>
    <w:p w14:paraId="16889784" w14:textId="77777777" w:rsidR="00383F85" w:rsidRPr="003B4401" w:rsidRDefault="00383F85" w:rsidP="005B72F7">
      <w:pPr>
        <w:autoSpaceDE w:val="0"/>
        <w:autoSpaceDN w:val="0"/>
        <w:adjustRightInd w:val="0"/>
        <w:jc w:val="both"/>
        <w:rPr>
          <w:rFonts w:ascii="Calibri" w:hAnsi="Calibri"/>
          <w:color w:val="000000"/>
        </w:rPr>
      </w:pPr>
    </w:p>
    <w:p w14:paraId="112961D2"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Mean AUC for Tegretol was 87.98 mg/l; Pharbita was 92.90 mg/l; Pharmachemie was 87.52 mg/l (p = 0.89).  Mean Cmax for Tegretol was 8.28 mg/l; Pharbita was 8.67 mg/l; Pharmachemie was 8.17 mg/l (p = 0.90).  There were no statistically significant differences found between the three products for AUC, peak and trough concentrations (Cmax and Cmin), peak time (tmax) and range.  No differences were found between the three carbamazepine formulations during the day for cognitive test scores (p = 0.43).  The authors concluded that the three carbamazepine formulations could generally be considered equivalent.  However this was a small study with short follow-up periods.  (Aldenkamp 1998)</w:t>
      </w:r>
    </w:p>
    <w:p w14:paraId="7B9A77F9" w14:textId="77777777" w:rsidR="00383F85" w:rsidRPr="003B4401" w:rsidRDefault="00383F85" w:rsidP="005B72F7">
      <w:pPr>
        <w:jc w:val="both"/>
        <w:rPr>
          <w:rFonts w:ascii="Calibri" w:hAnsi="Calibri"/>
          <w:color w:val="FF00FF"/>
        </w:rPr>
      </w:pPr>
    </w:p>
    <w:p w14:paraId="6FF97E9F" w14:textId="77777777" w:rsidR="00383F85" w:rsidRPr="003B4401" w:rsidRDefault="00383F85" w:rsidP="005B72F7">
      <w:pPr>
        <w:jc w:val="both"/>
        <w:rPr>
          <w:rFonts w:ascii="Calibri" w:hAnsi="Calibri"/>
          <w:color w:val="000000"/>
        </w:rPr>
      </w:pPr>
      <w:r w:rsidRPr="003B4401">
        <w:rPr>
          <w:rFonts w:ascii="Calibri" w:hAnsi="Calibri"/>
          <w:color w:val="000000"/>
        </w:rPr>
        <w:t xml:space="preserve">A four-way, randomised, crossover, bioequivalence study measured the rate of absorption and extent of bioavailability for 4 carbamazepine products in the Netherlands.  16 healthy volunteers, aged 20 – 38 years, took single doses of the brand Tegretol and three generic products (manufactured by Pharmachemie, Centrafarm and Pharbita) separated by 2 week wash out periods.  The three generic products were chosen because of large differences in </w:t>
      </w:r>
      <w:r w:rsidR="00FB2237">
        <w:rPr>
          <w:rFonts w:ascii="Calibri" w:hAnsi="Calibri"/>
          <w:iCs/>
          <w:color w:val="000000"/>
        </w:rPr>
        <w:t>in-</w:t>
      </w:r>
      <w:r w:rsidRPr="003B4401">
        <w:rPr>
          <w:rFonts w:ascii="Calibri" w:hAnsi="Calibri"/>
          <w:iCs/>
          <w:color w:val="000000"/>
        </w:rPr>
        <w:t>vitro</w:t>
      </w:r>
      <w:r w:rsidRPr="003B4401">
        <w:rPr>
          <w:rFonts w:ascii="Calibri" w:hAnsi="Calibri"/>
          <w:i/>
          <w:iCs/>
          <w:color w:val="000000"/>
        </w:rPr>
        <w:t xml:space="preserve"> </w:t>
      </w:r>
      <w:r w:rsidRPr="003B4401">
        <w:rPr>
          <w:rFonts w:ascii="Calibri" w:hAnsi="Calibri"/>
          <w:color w:val="000000"/>
        </w:rPr>
        <w:t>dissolution times compared to the brand Tegretol.</w:t>
      </w:r>
    </w:p>
    <w:p w14:paraId="517B7AA5" w14:textId="77777777" w:rsidR="00383F85" w:rsidRPr="003B4401" w:rsidRDefault="00383F85" w:rsidP="005B72F7">
      <w:pPr>
        <w:jc w:val="both"/>
        <w:rPr>
          <w:rFonts w:ascii="Calibri" w:hAnsi="Calibri"/>
          <w:color w:val="000000"/>
        </w:rPr>
      </w:pPr>
    </w:p>
    <w:p w14:paraId="091CE08A"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s="Palatino-Roman"/>
        </w:rPr>
        <w:t>The variability in the plasma concentration–time curves after administration of the products was fairly small.  However, o</w:t>
      </w:r>
      <w:r w:rsidRPr="003B4401">
        <w:rPr>
          <w:rFonts w:ascii="Calibri" w:hAnsi="Calibri"/>
          <w:color w:val="000000"/>
        </w:rPr>
        <w:t>ne subject had higher plasma levels in all four cases. One subject had very low plasma levels after the Centrafarm product. The Pharmachemie product’s pharmacokinetics were statistically significantly different (</w:t>
      </w:r>
      <w:r w:rsidRPr="003B4401">
        <w:rPr>
          <w:rFonts w:ascii="Calibri" w:hAnsi="Calibri"/>
          <w:iCs/>
          <w:color w:val="000000"/>
        </w:rPr>
        <w:t>p</w:t>
      </w:r>
      <w:r w:rsidRPr="003B4401">
        <w:rPr>
          <w:rFonts w:ascii="Calibri" w:hAnsi="Calibri"/>
          <w:color w:val="000000"/>
        </w:rPr>
        <w:t>&lt;0.05) from the brand Tegretol. The Centrafarm product did not show any significant difference from Tegretol.  The Pharbita product had similar AUC but all other pharmacokinetics were significantly different (</w:t>
      </w:r>
      <w:r w:rsidRPr="003B4401">
        <w:rPr>
          <w:rFonts w:ascii="Calibri" w:hAnsi="Calibri"/>
          <w:iCs/>
          <w:color w:val="000000"/>
        </w:rPr>
        <w:t>p&lt;</w:t>
      </w:r>
      <w:r w:rsidRPr="003B4401">
        <w:rPr>
          <w:rFonts w:ascii="Calibri" w:hAnsi="Calibri"/>
          <w:color w:val="000000"/>
        </w:rPr>
        <w:t xml:space="preserve">0.05) from Tegretol.  The Pharmachemie product was not bioequivalent with the reference product Tegretol.  The Centrafarm and Pharbita products were equivalent with respect to the extent of absorption. For </w:t>
      </w:r>
      <w:r w:rsidRPr="003B4401">
        <w:rPr>
          <w:rFonts w:ascii="Calibri" w:hAnsi="Calibri"/>
          <w:i/>
          <w:iCs/>
          <w:color w:val="000000"/>
        </w:rPr>
        <w:t>C</w:t>
      </w:r>
      <w:r w:rsidRPr="003B4401">
        <w:rPr>
          <w:rFonts w:ascii="Calibri" w:hAnsi="Calibri"/>
          <w:color w:val="000000"/>
        </w:rPr>
        <w:t xml:space="preserve">max none of the products were bioequivalent with Tegretol. </w:t>
      </w:r>
    </w:p>
    <w:p w14:paraId="33DEC462" w14:textId="77777777" w:rsidR="00383F85" w:rsidRPr="003B4401" w:rsidRDefault="00383F85" w:rsidP="005B72F7">
      <w:pPr>
        <w:autoSpaceDE w:val="0"/>
        <w:autoSpaceDN w:val="0"/>
        <w:adjustRightInd w:val="0"/>
        <w:jc w:val="both"/>
        <w:rPr>
          <w:rFonts w:ascii="Calibri" w:hAnsi="Calibri"/>
          <w:color w:val="000000"/>
        </w:rPr>
      </w:pPr>
    </w:p>
    <w:p w14:paraId="0420AA90"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 xml:space="preserve">The authors concluded: the qualitative differences in the </w:t>
      </w:r>
      <w:r w:rsidR="00FB2237">
        <w:rPr>
          <w:rFonts w:ascii="Calibri" w:hAnsi="Calibri"/>
          <w:iCs/>
          <w:color w:val="000000"/>
        </w:rPr>
        <w:t>in-</w:t>
      </w:r>
      <w:r w:rsidRPr="003B4401">
        <w:rPr>
          <w:rFonts w:ascii="Calibri" w:hAnsi="Calibri"/>
          <w:iCs/>
          <w:color w:val="000000"/>
        </w:rPr>
        <w:t>vitro</w:t>
      </w:r>
      <w:r w:rsidRPr="003B4401">
        <w:rPr>
          <w:rFonts w:ascii="Calibri" w:hAnsi="Calibri"/>
          <w:i/>
          <w:iCs/>
          <w:color w:val="000000"/>
        </w:rPr>
        <w:t xml:space="preserve"> </w:t>
      </w:r>
      <w:r w:rsidRPr="003B4401">
        <w:rPr>
          <w:rFonts w:ascii="Calibri" w:hAnsi="Calibri"/>
          <w:color w:val="000000"/>
        </w:rPr>
        <w:t xml:space="preserve">dissolution rates of the four products investigated were in the same order as the </w:t>
      </w:r>
      <w:r w:rsidR="00FB2237">
        <w:rPr>
          <w:rFonts w:ascii="Calibri" w:hAnsi="Calibri"/>
          <w:iCs/>
          <w:color w:val="000000"/>
        </w:rPr>
        <w:t>in-</w:t>
      </w:r>
      <w:r w:rsidRPr="003B4401">
        <w:rPr>
          <w:rFonts w:ascii="Calibri" w:hAnsi="Calibri"/>
          <w:iCs/>
          <w:color w:val="000000"/>
        </w:rPr>
        <w:t>vivo</w:t>
      </w:r>
      <w:r w:rsidRPr="003B4401">
        <w:rPr>
          <w:rFonts w:ascii="Calibri" w:hAnsi="Calibri"/>
          <w:i/>
          <w:iCs/>
          <w:color w:val="000000"/>
        </w:rPr>
        <w:t xml:space="preserve"> </w:t>
      </w:r>
      <w:r w:rsidRPr="003B4401">
        <w:rPr>
          <w:rFonts w:ascii="Calibri" w:hAnsi="Calibri"/>
          <w:color w:val="000000"/>
        </w:rPr>
        <w:t xml:space="preserve">absorption rates after administration of the products to healthy volunteers.  </w:t>
      </w:r>
      <w:r w:rsidRPr="003B4401">
        <w:rPr>
          <w:rFonts w:ascii="Calibri" w:hAnsi="Calibri"/>
          <w:bCs/>
          <w:color w:val="000000"/>
        </w:rPr>
        <w:t xml:space="preserve">(Olling </w:t>
      </w:r>
      <w:r w:rsidRPr="003B4401">
        <w:rPr>
          <w:rFonts w:ascii="Calibri" w:hAnsi="Calibri"/>
          <w:color w:val="000000"/>
        </w:rPr>
        <w:t xml:space="preserve">1999) </w:t>
      </w:r>
    </w:p>
    <w:p w14:paraId="743C0A4F" w14:textId="77777777" w:rsidR="00383F85" w:rsidRPr="003B4401" w:rsidRDefault="00383F85" w:rsidP="005B72F7">
      <w:pPr>
        <w:jc w:val="both"/>
      </w:pPr>
    </w:p>
    <w:p w14:paraId="3E647B26" w14:textId="77777777" w:rsidR="00383F85" w:rsidRPr="003B4401" w:rsidRDefault="00383F85" w:rsidP="005B72F7">
      <w:pPr>
        <w:autoSpaceDE w:val="0"/>
        <w:autoSpaceDN w:val="0"/>
        <w:adjustRightInd w:val="0"/>
        <w:jc w:val="both"/>
        <w:rPr>
          <w:rFonts w:ascii="Calibri" w:eastAsia="MinionPro-Regular" w:hAnsi="Calibri"/>
        </w:rPr>
      </w:pPr>
      <w:r w:rsidRPr="003B4401">
        <w:rPr>
          <w:rFonts w:ascii="Calibri" w:hAnsi="Calibri"/>
          <w:color w:val="000000"/>
        </w:rPr>
        <w:t xml:space="preserve">A survey of physicians in the US found that </w:t>
      </w:r>
      <w:r w:rsidRPr="003B4401">
        <w:rPr>
          <w:rFonts w:ascii="Calibri" w:hAnsi="Calibri"/>
        </w:rPr>
        <w:t>293 (65%) out of 451 neurologists who completed the online survey had a patient who experienced a loss of seizure control caused by either a switch from a brand to a generic AED or from uncontrolled switching between generic forms of an AED.   50/293 cases were chosen randomly for further review.  There were 7</w:t>
      </w:r>
      <w:r w:rsidRPr="003B4401">
        <w:rPr>
          <w:rFonts w:ascii="Calibri" w:eastAsia="MinionPro-Regular" w:hAnsi="Calibri"/>
        </w:rPr>
        <w:t xml:space="preserve"> patients on carbamazepine in the random sample</w:t>
      </w:r>
      <w:r w:rsidRPr="003B4401">
        <w:rPr>
          <w:rFonts w:ascii="Calibri" w:hAnsi="Calibri"/>
        </w:rPr>
        <w:t xml:space="preserve">, who were well-controlled on the brand AED, and who subsequently experienced a breakthrough seizure or increased seizure frequency after switching to a generic without other provoking factors. [Two patients were on a combination of two AEDs, both of which were switched to generics (unknown which AEDs)]. The blood levels of patients who were switched to generic carbamazepine decreased by an average of 20% which was less of a decline than those switched to phenytoin (40%) or valproic acid (34%). 3 patients had blood levels after switching back to brand and levels returned to near the original baseline level.  (Berg </w:t>
      </w:r>
      <w:r w:rsidRPr="003B4401">
        <w:rPr>
          <w:rFonts w:ascii="Calibri" w:eastAsia="MinionPro-Regular" w:hAnsi="Calibri"/>
        </w:rPr>
        <w:t>2008)</w:t>
      </w:r>
    </w:p>
    <w:p w14:paraId="2FD543C9" w14:textId="77777777" w:rsidR="00383F85" w:rsidRPr="003B4401" w:rsidRDefault="00383F85" w:rsidP="005B72F7">
      <w:pPr>
        <w:jc w:val="both"/>
      </w:pPr>
    </w:p>
    <w:p w14:paraId="23964DD6" w14:textId="77777777" w:rsidR="00383F85" w:rsidRPr="003B4401" w:rsidRDefault="00383F85" w:rsidP="005B72F7">
      <w:pPr>
        <w:jc w:val="both"/>
        <w:rPr>
          <w:rFonts w:ascii="Calibri" w:hAnsi="Calibri"/>
        </w:rPr>
      </w:pPr>
      <w:r w:rsidRPr="003B4401">
        <w:rPr>
          <w:rFonts w:ascii="Calibri" w:hAnsi="Calibri"/>
        </w:rPr>
        <w:t>In a study in 2006 claims from a US pharmacy claims database (Thomson Healthcare MarketScan) were analysed.  This was a time period shortly after the introduction of generic zonisamide.  It was found that patients who had received emergency care for epilepsy-related events (cases) were more likely to have been switched between brand and generic AED (84/757, 11.1%) compared to epileptic patients who were seen in outpatients (controls) during the same period (147/2271, 6.5%).  The odds of emergency treated epilepsy-related event was 1.78 (95% CI 1.35 – 2.36) for those who experienced a switch.  The majority of switches in both cases and controls involved 1 of 4 AEDs, including carbamazepine.  The highest number of switches among cases occurred with zonisamide (n = 23), clonazepam (n = 21), and phenytoin (n = 19) and carbamazepine had 5.  The most switches among controls involved phenytoin (n = 41), zonisamide (n = 40), and carbamazepine (n = 19).  There was no breakdown of the number of patients on carbamazepine in the control group and case group to determine or compare incidence. (Hansen 2009)</w:t>
      </w:r>
    </w:p>
    <w:p w14:paraId="5834E016" w14:textId="77777777" w:rsidR="00383F85" w:rsidRPr="003B4401" w:rsidRDefault="00383F85" w:rsidP="005B72F7">
      <w:pPr>
        <w:jc w:val="both"/>
        <w:rPr>
          <w:rFonts w:ascii="Calibri" w:hAnsi="Calibri"/>
          <w:color w:val="000000"/>
        </w:rPr>
      </w:pPr>
    </w:p>
    <w:p w14:paraId="7F85818F" w14:textId="77777777" w:rsidR="00383F85" w:rsidRPr="003B4401" w:rsidRDefault="00383F85" w:rsidP="005B72F7">
      <w:pPr>
        <w:autoSpaceDE w:val="0"/>
        <w:autoSpaceDN w:val="0"/>
        <w:adjustRightInd w:val="0"/>
        <w:jc w:val="both"/>
        <w:rPr>
          <w:rFonts w:ascii="Calibri" w:eastAsia="MinionPro-Regular" w:hAnsi="Calibri"/>
        </w:rPr>
      </w:pPr>
      <w:r w:rsidRPr="003B4401">
        <w:rPr>
          <w:rFonts w:ascii="Calibri" w:eastAsia="MinionPro-Regular" w:hAnsi="Calibri"/>
        </w:rPr>
        <w:t>A US study used claims data from PharMetrics Database between January 2000 and October 2007. 33625 patients were taking 1 of 5 AEDs (carbamazepine, gabapentin, phenytoin, primidone, zonisamide) and the mean observation period was 4 years.</w:t>
      </w:r>
    </w:p>
    <w:p w14:paraId="3FC8356C" w14:textId="77777777" w:rsidR="00383F85" w:rsidRPr="003B4401" w:rsidRDefault="00383F85" w:rsidP="005B72F7">
      <w:pPr>
        <w:autoSpaceDE w:val="0"/>
        <w:autoSpaceDN w:val="0"/>
        <w:adjustRightInd w:val="0"/>
        <w:jc w:val="both"/>
        <w:rPr>
          <w:rFonts w:ascii="Calibri" w:hAnsi="Calibri"/>
        </w:rPr>
      </w:pPr>
      <w:r w:rsidRPr="003B4401">
        <w:rPr>
          <w:rFonts w:ascii="Calibri" w:hAnsi="Calibri"/>
          <w:bCs/>
        </w:rPr>
        <w:t>There were 9928 patients on carbamazepine of which 3871 (39%) were on polytherapy and 5247 (52.9%) had stable epilepsy (</w:t>
      </w:r>
      <w:r w:rsidRPr="003B4401">
        <w:rPr>
          <w:rFonts w:ascii="Calibri" w:hAnsi="Calibri"/>
        </w:rPr>
        <w:t xml:space="preserve">defined as patients with ≤2 outpatient services per year on average throughout the observation period and no </w:t>
      </w:r>
      <w:r w:rsidR="00FB2237">
        <w:rPr>
          <w:rFonts w:ascii="Calibri" w:hAnsi="Calibri"/>
        </w:rPr>
        <w:t>emergency department</w:t>
      </w:r>
      <w:r w:rsidRPr="003B4401">
        <w:rPr>
          <w:rFonts w:ascii="Calibri" w:hAnsi="Calibri"/>
        </w:rPr>
        <w:t xml:space="preserve"> visit</w:t>
      </w:r>
      <w:r w:rsidR="00FB2237">
        <w:rPr>
          <w:rFonts w:ascii="Calibri" w:hAnsi="Calibri"/>
        </w:rPr>
        <w:t>s</w:t>
      </w:r>
      <w:r w:rsidRPr="003B4401">
        <w:rPr>
          <w:rFonts w:ascii="Calibri" w:hAnsi="Calibri"/>
        </w:rPr>
        <w:t xml:space="preserve"> associated with epilepsy or non-febrile convulsions).  3939 (39.7%) only used branded carbamazepine, 4770 (48%) used generic only and 1219 (12.3%) used brand and generic. 4312 (72%) received only one generic version during the study period while 1076 (18%) received two and 601 (10%) received three versions.</w:t>
      </w:r>
    </w:p>
    <w:p w14:paraId="7EB64E6A" w14:textId="77777777" w:rsidR="00383F85" w:rsidRPr="003B4401" w:rsidRDefault="00383F85" w:rsidP="005B72F7">
      <w:pPr>
        <w:autoSpaceDE w:val="0"/>
        <w:autoSpaceDN w:val="0"/>
        <w:adjustRightInd w:val="0"/>
        <w:jc w:val="both"/>
        <w:rPr>
          <w:rFonts w:ascii="Calibri" w:hAnsi="Calibri"/>
        </w:rPr>
      </w:pPr>
      <w:r w:rsidRPr="003B4401">
        <w:rPr>
          <w:rFonts w:ascii="Calibri" w:hAnsi="Calibri"/>
        </w:rPr>
        <w:t>After one year 818 (10.3%) had switched from brand to generic, of which 283 (31.5%) switched back to brand.  Rates of healthcare utilisation were not reported for individual AEDs and neither were reasons for switchback. (Labiner 2010)</w:t>
      </w:r>
    </w:p>
    <w:p w14:paraId="32EB4513" w14:textId="77777777" w:rsidR="00383F85" w:rsidRPr="003B4401" w:rsidRDefault="00383F85" w:rsidP="005B72F7">
      <w:pPr>
        <w:jc w:val="both"/>
        <w:rPr>
          <w:rFonts w:ascii="Calibri" w:hAnsi="Calibri"/>
          <w:color w:val="000000"/>
        </w:rPr>
      </w:pPr>
    </w:p>
    <w:p w14:paraId="06C5BA74" w14:textId="77777777" w:rsidR="00383F85" w:rsidRPr="003B4401" w:rsidRDefault="00383F85" w:rsidP="005B72F7">
      <w:pPr>
        <w:jc w:val="both"/>
        <w:rPr>
          <w:rFonts w:ascii="Calibri" w:hAnsi="Calibri"/>
          <w:color w:val="000000"/>
        </w:rPr>
      </w:pPr>
      <w:r w:rsidRPr="003B4401">
        <w:rPr>
          <w:rFonts w:ascii="Calibri" w:hAnsi="Calibri"/>
        </w:rPr>
        <w:t xml:space="preserve">A Canadian study used medical and pharmacy claims data from Re´gie de l’Assurance Maladie du Que´bec database between April 1998 and July 2006. The study was analysing lamotrigine and compared the switch back to brand rates with those of 3 other AEDs and 3 non-AEDs.  There were 851 patients on carbamazepine CR, of which 441 (51.8%) were on polytherapy.  More than 82.7% of patients on lamotrigine, clobazam and gabapentin were on polytherapy.  In contrast, polytherapy users represented 2.2% to 3.0% of patients for non-AED study populations (simvastatin, fosinopril, carvedilol).  72.3% of the carbamazepine patients switched to generic and 20.8% switched back to brand.  This compared to lamotrigine 27.9% switched and 27.5% switched back; clobazam 18.9% switched and 44.1% switched back; gabapentin 45% switched and 30.9% switched back.  For non-AED 40.8 to 90.2% switched and 7.7 – 9.1% switched back. </w:t>
      </w:r>
      <w:r w:rsidRPr="003B4401">
        <w:rPr>
          <w:rFonts w:ascii="Calibri" w:hAnsi="Calibri"/>
          <w:color w:val="000000"/>
        </w:rPr>
        <w:t>There were no results reported for the reasons for these switches or rates of seizures in carbamazepine patients. (LeLorier Neurology 2008)</w:t>
      </w:r>
    </w:p>
    <w:p w14:paraId="6A8EB1BB" w14:textId="77777777" w:rsidR="00383F85" w:rsidRPr="003B4401" w:rsidRDefault="00383F85" w:rsidP="005B72F7">
      <w:pPr>
        <w:jc w:val="both"/>
      </w:pPr>
    </w:p>
    <w:p w14:paraId="7F45389C" w14:textId="77777777" w:rsidR="00383F85" w:rsidRPr="003B4401" w:rsidRDefault="00383F85" w:rsidP="005B72F7">
      <w:pPr>
        <w:jc w:val="both"/>
        <w:rPr>
          <w:rFonts w:ascii="Calibri" w:hAnsi="Calibri"/>
          <w:color w:val="000000"/>
        </w:rPr>
      </w:pPr>
      <w:r w:rsidRPr="003B4401">
        <w:rPr>
          <w:rFonts w:ascii="Calibri" w:hAnsi="Calibri"/>
          <w:color w:val="000000"/>
        </w:rPr>
        <w:t>One reference describes 2 case reports in the US of carbamazepine toxicity after a switch from Tegretol to Epitol generic.  Both were 6 year old boys on Tegretol who had controlled seizures and who experienced adverse effects (behavioural, lethargy and slurred speech in one, and nystagmus in the other) after a switch to generic carbamazepine.  One patient’s symptoms resolved upon switchback to brand but recurred when rechallenged with the generic.  The other patient’s symptoms resolved after a dose adjustment when serum levels confirmed a raised level with generic carbamazepine from 4.6 mcg/ml trough level to 7.3 mcg/ml. (Gilman 1993)</w:t>
      </w:r>
    </w:p>
    <w:p w14:paraId="1D99A52C" w14:textId="77777777" w:rsidR="00383F85" w:rsidRPr="003B4401" w:rsidRDefault="00383F85" w:rsidP="005B72F7">
      <w:pPr>
        <w:jc w:val="both"/>
        <w:rPr>
          <w:rFonts w:ascii="Calibri" w:hAnsi="Calibri"/>
          <w:color w:val="000000"/>
        </w:rPr>
      </w:pPr>
    </w:p>
    <w:p w14:paraId="2A623D10" w14:textId="77777777" w:rsidR="00383F85" w:rsidRPr="003B4401" w:rsidRDefault="00383F85" w:rsidP="005B72F7">
      <w:pPr>
        <w:jc w:val="both"/>
        <w:rPr>
          <w:rFonts w:ascii="Calibri" w:hAnsi="Calibri"/>
        </w:rPr>
      </w:pPr>
      <w:r w:rsidRPr="003B4401">
        <w:rPr>
          <w:rFonts w:ascii="Calibri" w:hAnsi="Calibri"/>
        </w:rPr>
        <w:t>A case report in the US described a 30-year-old woman with partial complex seizures, well-controlled on carbamazepine (Tegretol) therapy, with stable pre-dose anticonvulsant levels.  Following initiation of generic (Goldline) carbamazepine therapy, increased seizure activity was noted and serum carbamazepine level was unmeasurabley low.  After Tegretol was reinstated her level increased to her usual baseline after 72 hours. (Koch 1987)</w:t>
      </w:r>
    </w:p>
    <w:p w14:paraId="15CD4B82" w14:textId="77777777" w:rsidR="00383F85" w:rsidRPr="003B4401" w:rsidRDefault="00383F85" w:rsidP="005B72F7">
      <w:pPr>
        <w:jc w:val="both"/>
        <w:rPr>
          <w:rFonts w:ascii="Calibri" w:hAnsi="Calibri"/>
          <w:color w:val="000000"/>
        </w:rPr>
      </w:pPr>
    </w:p>
    <w:p w14:paraId="7FD672A5" w14:textId="77777777" w:rsidR="00383F85" w:rsidRPr="003B4401" w:rsidRDefault="00383F85" w:rsidP="005B72F7">
      <w:pPr>
        <w:jc w:val="both"/>
        <w:rPr>
          <w:rFonts w:ascii="Calibri" w:hAnsi="Calibri"/>
          <w:color w:val="000000"/>
        </w:rPr>
      </w:pPr>
      <w:r w:rsidRPr="003B4401">
        <w:rPr>
          <w:rFonts w:ascii="Calibri" w:hAnsi="Calibri"/>
          <w:color w:val="000000"/>
        </w:rPr>
        <w:t xml:space="preserve">A reference described 3 case reports in the US.  </w:t>
      </w:r>
    </w:p>
    <w:p w14:paraId="60F91B86" w14:textId="77777777" w:rsidR="00383F85" w:rsidRPr="003B4401" w:rsidRDefault="00383F85" w:rsidP="005B72F7">
      <w:pPr>
        <w:jc w:val="both"/>
        <w:rPr>
          <w:rFonts w:ascii="Calibri" w:hAnsi="Calibri"/>
          <w:color w:val="000000"/>
        </w:rPr>
      </w:pPr>
      <w:r w:rsidRPr="003B4401">
        <w:rPr>
          <w:rFonts w:ascii="Calibri" w:hAnsi="Calibri"/>
          <w:color w:val="000000"/>
        </w:rPr>
        <w:t>1)  A patient with partial complex seizures was seizure-free for 9 months on phenytoin and Tegretol and had seizures within 5 days of switching to generic carbamazepine. After 6 seizures in 3 weeks he regained seizure control after switching back to Tegretol.</w:t>
      </w:r>
    </w:p>
    <w:p w14:paraId="4FA1DFFC" w14:textId="77777777" w:rsidR="00383F85" w:rsidRPr="003B4401" w:rsidRDefault="00383F85" w:rsidP="005B72F7">
      <w:pPr>
        <w:jc w:val="both"/>
        <w:rPr>
          <w:rFonts w:ascii="Calibri" w:hAnsi="Calibri"/>
          <w:color w:val="000000"/>
        </w:rPr>
      </w:pPr>
      <w:r w:rsidRPr="003B4401">
        <w:rPr>
          <w:rFonts w:ascii="Calibri" w:hAnsi="Calibri"/>
          <w:color w:val="000000"/>
        </w:rPr>
        <w:t xml:space="preserve">2)  A patient with partial complex generalised tonic-clonic convulsions was seizure-free for 3 months while on Tegretol. She had breakthrough seizures on generic carbamazepine but has been seizure-free for almost a year after switching back to brand. </w:t>
      </w:r>
    </w:p>
    <w:p w14:paraId="101AAD80" w14:textId="77777777" w:rsidR="00383F85" w:rsidRPr="003B4401" w:rsidRDefault="00383F85" w:rsidP="005B72F7">
      <w:pPr>
        <w:autoSpaceDE w:val="0"/>
        <w:autoSpaceDN w:val="0"/>
        <w:adjustRightInd w:val="0"/>
        <w:jc w:val="both"/>
        <w:rPr>
          <w:rFonts w:ascii="Calibri" w:hAnsi="Calibri"/>
          <w:color w:val="000000"/>
        </w:rPr>
      </w:pPr>
      <w:r w:rsidRPr="003B4401">
        <w:rPr>
          <w:rFonts w:ascii="Calibri" w:hAnsi="Calibri"/>
          <w:color w:val="000000"/>
        </w:rPr>
        <w:t>3) A patient with partial seizures had been seizure-free on Tegretol for a year. She had 4 seizures in 4 days after switching to generic and had a rash on her face, arms, and hands.  Switchback to Tegretol cleared her rash and she has been seizure-free for 6 months. (Sachdeo 1987)</w:t>
      </w:r>
    </w:p>
    <w:p w14:paraId="6A7ED101" w14:textId="77777777" w:rsidR="00383F85" w:rsidRPr="003B4401" w:rsidRDefault="00383F85" w:rsidP="005B72F7">
      <w:pPr>
        <w:jc w:val="both"/>
      </w:pPr>
    </w:p>
    <w:p w14:paraId="1E24F479" w14:textId="77777777" w:rsidR="006C0699" w:rsidRPr="003B4401" w:rsidRDefault="006C0699" w:rsidP="005B72F7">
      <w:pPr>
        <w:autoSpaceDE w:val="0"/>
        <w:autoSpaceDN w:val="0"/>
        <w:adjustRightInd w:val="0"/>
        <w:jc w:val="both"/>
        <w:rPr>
          <w:rFonts w:ascii="Calibri" w:hAnsi="Calibri"/>
        </w:rPr>
      </w:pPr>
      <w:r w:rsidRPr="003B4401">
        <w:rPr>
          <w:rFonts w:ascii="Calibri" w:hAnsi="Calibri"/>
          <w:color w:val="000000"/>
        </w:rPr>
        <w:t xml:space="preserve">Crawford et al carried out a systematic review of studies looking at potential problems with generic substitution of AEDs.  (Crawford 2006)  </w:t>
      </w:r>
    </w:p>
    <w:p w14:paraId="0AC38905" w14:textId="77777777" w:rsidR="006C0699" w:rsidRPr="003B4401" w:rsidRDefault="006C0699" w:rsidP="005B72F7">
      <w:pPr>
        <w:jc w:val="both"/>
        <w:rPr>
          <w:rFonts w:ascii="Calibri" w:hAnsi="Calibri"/>
          <w:color w:val="000000"/>
        </w:rPr>
      </w:pPr>
      <w:r w:rsidRPr="003B4401">
        <w:rPr>
          <w:rFonts w:ascii="Calibri" w:hAnsi="Calibri"/>
          <w:color w:val="000000"/>
        </w:rPr>
        <w:t>A systematic review mentioned 12 additional studies that have not been appraised in detail for this monograph.  The extra studies are briefly summarised below as they appear in this paper:</w:t>
      </w:r>
    </w:p>
    <w:p w14:paraId="0A6C4E1A" w14:textId="77777777" w:rsidR="006C0699" w:rsidRPr="003B4401" w:rsidRDefault="006C0699" w:rsidP="005B72F7">
      <w:pPr>
        <w:jc w:val="both"/>
        <w:rPr>
          <w:rFonts w:ascii="Calibri" w:hAnsi="Calibri"/>
          <w:color w:val="000000"/>
        </w:rPr>
      </w:pPr>
    </w:p>
    <w:p w14:paraId="77FCE148"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 xml:space="preserve">Glende 1983 </w:t>
      </w:r>
    </w:p>
    <w:p w14:paraId="3B5B7CF2"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Single dose (8 volunteers)/multiple dose (5 patients):  Increased rate of absorption of generic product though overall extent of absorption similar.</w:t>
      </w:r>
    </w:p>
    <w:p w14:paraId="3FD51812" w14:textId="77777777" w:rsidR="006C0699" w:rsidRPr="003B4401" w:rsidRDefault="006C0699" w:rsidP="005B72F7">
      <w:pPr>
        <w:autoSpaceDE w:val="0"/>
        <w:autoSpaceDN w:val="0"/>
        <w:adjustRightInd w:val="0"/>
        <w:jc w:val="both"/>
        <w:rPr>
          <w:rFonts w:ascii="Calibri" w:hAnsi="Calibri"/>
        </w:rPr>
      </w:pPr>
    </w:p>
    <w:p w14:paraId="6D09414E"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 xml:space="preserve">Neuvonen 1985 </w:t>
      </w:r>
    </w:p>
    <w:p w14:paraId="171B3437"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Crossover study in 9 healthy volunteers. Five carbamazepine tablets compared.</w:t>
      </w:r>
    </w:p>
    <w:p w14:paraId="09AEE498"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Seven-fold differences in total bioavailability. Central side effects (dizziness, ataxia) significantly more common with products showing rapid absorption.</w:t>
      </w:r>
    </w:p>
    <w:p w14:paraId="1584610E" w14:textId="77777777" w:rsidR="006C0699" w:rsidRPr="003B4401" w:rsidRDefault="006C0699" w:rsidP="005B72F7">
      <w:pPr>
        <w:autoSpaceDE w:val="0"/>
        <w:autoSpaceDN w:val="0"/>
        <w:adjustRightInd w:val="0"/>
        <w:jc w:val="both"/>
        <w:rPr>
          <w:rFonts w:ascii="Calibri" w:hAnsi="Calibri"/>
        </w:rPr>
      </w:pPr>
    </w:p>
    <w:p w14:paraId="128C14A7" w14:textId="77777777" w:rsidR="006C0699" w:rsidRPr="003B4401" w:rsidRDefault="006C0699" w:rsidP="005B72F7">
      <w:pPr>
        <w:jc w:val="both"/>
        <w:rPr>
          <w:rFonts w:ascii="Calibri" w:hAnsi="Calibri"/>
        </w:rPr>
      </w:pPr>
      <w:r w:rsidRPr="003B4401">
        <w:rPr>
          <w:rFonts w:ascii="Calibri" w:hAnsi="Calibri"/>
        </w:rPr>
        <w:t xml:space="preserve">Hartley 1990  </w:t>
      </w:r>
    </w:p>
    <w:p w14:paraId="230117D9"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Double blind crossover study in 23 children. Data analysed from 19 children treated with Tegretol and generic carbamazepine for 6 weeks. No significant differences in seizure control. Significantly more neurological side-effects with the generic, though no apparent differences in serum levels.</w:t>
      </w:r>
    </w:p>
    <w:p w14:paraId="7BFC96C0" w14:textId="77777777" w:rsidR="006C0699" w:rsidRPr="003B4401" w:rsidRDefault="006C0699" w:rsidP="005B72F7">
      <w:pPr>
        <w:autoSpaceDE w:val="0"/>
        <w:autoSpaceDN w:val="0"/>
        <w:adjustRightInd w:val="0"/>
        <w:jc w:val="both"/>
        <w:rPr>
          <w:rFonts w:ascii="Calibri" w:hAnsi="Calibri"/>
        </w:rPr>
      </w:pPr>
    </w:p>
    <w:p w14:paraId="2430496D"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 xml:space="preserve">Reunanen 1992 </w:t>
      </w:r>
    </w:p>
    <w:p w14:paraId="6B7D8FDF"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Crossover study in 21 patients. Compared multiple dose biovailability of slow-release products. Significant differences in bioavailability (generic 11% higher than Tegretol Retard). More seizures with branded, though the difference was not significant.</w:t>
      </w:r>
    </w:p>
    <w:p w14:paraId="4B053D78" w14:textId="77777777" w:rsidR="006C0699" w:rsidRPr="003B4401" w:rsidRDefault="006C0699" w:rsidP="005B72F7">
      <w:pPr>
        <w:autoSpaceDE w:val="0"/>
        <w:autoSpaceDN w:val="0"/>
        <w:adjustRightInd w:val="0"/>
        <w:jc w:val="both"/>
        <w:rPr>
          <w:rFonts w:ascii="Calibri" w:hAnsi="Calibri"/>
        </w:rPr>
      </w:pPr>
    </w:p>
    <w:p w14:paraId="23140E52"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 xml:space="preserve">Wolf 1992    </w:t>
      </w:r>
    </w:p>
    <w:p w14:paraId="53761E94" w14:textId="77777777" w:rsidR="006C0699" w:rsidRPr="003B4401" w:rsidRDefault="006C0699" w:rsidP="005B72F7">
      <w:pPr>
        <w:autoSpaceDE w:val="0"/>
        <w:autoSpaceDN w:val="0"/>
        <w:adjustRightInd w:val="0"/>
        <w:jc w:val="both"/>
        <w:rPr>
          <w:rFonts w:ascii="Calibri" w:hAnsi="Calibri"/>
          <w:color w:val="000000"/>
        </w:rPr>
      </w:pPr>
      <w:r w:rsidRPr="003B4401">
        <w:rPr>
          <w:rFonts w:ascii="Calibri" w:hAnsi="Calibri"/>
          <w:color w:val="000000"/>
        </w:rPr>
        <w:t>Crossover study in 10 patients. Three formulations compared in patients already on carbamazepine monotherapy. Little difference in mean values of pharmacokinetic parameters, but differences between individuals. With one preparation, a patient showed reduction in seizure frequency but increased toxicity.</w:t>
      </w:r>
    </w:p>
    <w:p w14:paraId="757FF5D8" w14:textId="77777777" w:rsidR="006C0699" w:rsidRPr="003B4401" w:rsidRDefault="006C0699" w:rsidP="005B72F7">
      <w:pPr>
        <w:autoSpaceDE w:val="0"/>
        <w:autoSpaceDN w:val="0"/>
        <w:adjustRightInd w:val="0"/>
        <w:jc w:val="both"/>
        <w:rPr>
          <w:rFonts w:ascii="Calibri" w:hAnsi="Calibri"/>
          <w:color w:val="000000"/>
        </w:rPr>
      </w:pPr>
    </w:p>
    <w:p w14:paraId="490756C1" w14:textId="77777777" w:rsidR="006C0699" w:rsidRPr="003B4401" w:rsidRDefault="006C0699" w:rsidP="005B72F7">
      <w:pPr>
        <w:jc w:val="both"/>
        <w:rPr>
          <w:rFonts w:ascii="Calibri" w:hAnsi="Calibri"/>
        </w:rPr>
      </w:pPr>
      <w:r w:rsidRPr="003B4401">
        <w:rPr>
          <w:rFonts w:ascii="Calibri" w:hAnsi="Calibri"/>
        </w:rPr>
        <w:t xml:space="preserve">Meyer 1992   </w:t>
      </w:r>
    </w:p>
    <w:p w14:paraId="39980A8C" w14:textId="77777777" w:rsidR="006C0699" w:rsidRPr="003B4401" w:rsidRDefault="006C0699" w:rsidP="005B72F7">
      <w:pPr>
        <w:autoSpaceDE w:val="0"/>
        <w:autoSpaceDN w:val="0"/>
        <w:adjustRightInd w:val="0"/>
        <w:jc w:val="both"/>
        <w:rPr>
          <w:rFonts w:ascii="Calibri" w:hAnsi="Calibri"/>
          <w:color w:val="000000"/>
        </w:rPr>
      </w:pPr>
      <w:r w:rsidRPr="003B4401">
        <w:rPr>
          <w:rFonts w:ascii="Calibri" w:hAnsi="Calibri"/>
          <w:color w:val="000000"/>
        </w:rPr>
        <w:t>Crossover study in 24 healthy volunteer. Wide range of bioavailability found in three generic formulations that had been withdrawn from use because of reports of clinical failure. Compared with Tegretol, mean Cmax 61—74% in two generics and 142% in one. Mean AUC varied from 60—113% of Tegretol.</w:t>
      </w:r>
    </w:p>
    <w:p w14:paraId="18D96DEF" w14:textId="77777777" w:rsidR="006C0699" w:rsidRPr="003B4401" w:rsidRDefault="006C0699" w:rsidP="005B72F7">
      <w:pPr>
        <w:autoSpaceDE w:val="0"/>
        <w:autoSpaceDN w:val="0"/>
        <w:adjustRightInd w:val="0"/>
        <w:jc w:val="both"/>
        <w:rPr>
          <w:rFonts w:ascii="Calibri" w:hAnsi="Calibri"/>
          <w:color w:val="000000"/>
        </w:rPr>
      </w:pPr>
    </w:p>
    <w:p w14:paraId="685B31D4" w14:textId="77777777" w:rsidR="006C0699" w:rsidRPr="003B4401" w:rsidRDefault="006C0699" w:rsidP="005B72F7">
      <w:pPr>
        <w:jc w:val="both"/>
        <w:rPr>
          <w:rFonts w:ascii="Calibri" w:hAnsi="Calibri"/>
          <w:bCs/>
          <w:color w:val="CC99FF"/>
        </w:rPr>
      </w:pPr>
      <w:r w:rsidRPr="003B4401">
        <w:rPr>
          <w:rFonts w:ascii="Calibri" w:hAnsi="Calibri"/>
        </w:rPr>
        <w:t xml:space="preserve">Bialer 1998   </w:t>
      </w:r>
    </w:p>
    <w:p w14:paraId="0D938136" w14:textId="77777777" w:rsidR="006C0699" w:rsidRPr="003B4401" w:rsidRDefault="006C0699" w:rsidP="005B72F7">
      <w:pPr>
        <w:autoSpaceDE w:val="0"/>
        <w:autoSpaceDN w:val="0"/>
        <w:adjustRightInd w:val="0"/>
        <w:jc w:val="both"/>
        <w:rPr>
          <w:rFonts w:ascii="Calibri" w:hAnsi="Calibri"/>
          <w:color w:val="000000"/>
        </w:rPr>
      </w:pPr>
      <w:r w:rsidRPr="003B4401">
        <w:rPr>
          <w:rFonts w:ascii="Calibri" w:hAnsi="Calibri"/>
          <w:color w:val="000000"/>
        </w:rPr>
        <w:t>Study in healthy volunteers. Investigated criteria for assessment of bioequivalence of controlled release carbamazepine. Found rate of absorption important to assess.</w:t>
      </w:r>
    </w:p>
    <w:p w14:paraId="6ED0BD5F" w14:textId="77777777" w:rsidR="006C0699" w:rsidRPr="003B4401" w:rsidRDefault="006C0699" w:rsidP="005B72F7">
      <w:pPr>
        <w:autoSpaceDE w:val="0"/>
        <w:autoSpaceDN w:val="0"/>
        <w:adjustRightInd w:val="0"/>
        <w:jc w:val="both"/>
        <w:rPr>
          <w:rFonts w:ascii="Calibri" w:hAnsi="Calibri"/>
          <w:color w:val="000000"/>
        </w:rPr>
      </w:pPr>
    </w:p>
    <w:p w14:paraId="58FDCDA9" w14:textId="77777777" w:rsidR="006C0699" w:rsidRPr="003B4401" w:rsidRDefault="006C0699" w:rsidP="005B72F7">
      <w:pPr>
        <w:jc w:val="both"/>
        <w:rPr>
          <w:rFonts w:ascii="Calibri" w:hAnsi="Calibri"/>
        </w:rPr>
      </w:pPr>
      <w:r w:rsidRPr="003B4401">
        <w:rPr>
          <w:rFonts w:ascii="Calibri" w:hAnsi="Calibri"/>
        </w:rPr>
        <w:t xml:space="preserve">Wangemann 1998      </w:t>
      </w:r>
    </w:p>
    <w:p w14:paraId="1BC7B8D1" w14:textId="77777777" w:rsidR="006C0699" w:rsidRPr="003B4401" w:rsidRDefault="006C0699" w:rsidP="005B72F7">
      <w:pPr>
        <w:autoSpaceDE w:val="0"/>
        <w:autoSpaceDN w:val="0"/>
        <w:adjustRightInd w:val="0"/>
        <w:jc w:val="both"/>
        <w:rPr>
          <w:rFonts w:ascii="Calibri" w:hAnsi="Calibri"/>
          <w:color w:val="000000"/>
        </w:rPr>
      </w:pPr>
      <w:r w:rsidRPr="003B4401">
        <w:rPr>
          <w:rFonts w:ascii="Calibri" w:hAnsi="Calibri"/>
          <w:color w:val="000000"/>
        </w:rPr>
        <w:t>Crossover study in 21 volunteers. No differences in rate or extent of absorption of two sustained-release formulations of carabamazepine.</w:t>
      </w:r>
    </w:p>
    <w:p w14:paraId="5809FD65" w14:textId="77777777" w:rsidR="006C0699" w:rsidRPr="003B4401" w:rsidRDefault="006C0699" w:rsidP="005B72F7">
      <w:pPr>
        <w:autoSpaceDE w:val="0"/>
        <w:autoSpaceDN w:val="0"/>
        <w:adjustRightInd w:val="0"/>
        <w:jc w:val="both"/>
        <w:rPr>
          <w:rFonts w:ascii="Calibri" w:hAnsi="Calibri"/>
          <w:color w:val="000000"/>
        </w:rPr>
      </w:pPr>
    </w:p>
    <w:p w14:paraId="124AF2DF"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 xml:space="preserve">Pedersen 1985   </w:t>
      </w:r>
    </w:p>
    <w:p w14:paraId="60540D0E"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Case report of 16-year old boy. Boy with partial epilepsy caused by cerebral hemi-atrophy stable on Tegretol experienced convulsions when switched to the generic.</w:t>
      </w:r>
    </w:p>
    <w:p w14:paraId="1385CD32" w14:textId="77777777" w:rsidR="006C0699" w:rsidRPr="003B4401" w:rsidRDefault="006C0699" w:rsidP="005B72F7">
      <w:pPr>
        <w:autoSpaceDE w:val="0"/>
        <w:autoSpaceDN w:val="0"/>
        <w:adjustRightInd w:val="0"/>
        <w:jc w:val="both"/>
        <w:rPr>
          <w:rFonts w:ascii="Calibri" w:hAnsi="Calibri"/>
        </w:rPr>
      </w:pPr>
    </w:p>
    <w:p w14:paraId="0F1DBB5A" w14:textId="77777777" w:rsidR="006C0699" w:rsidRPr="003B4401" w:rsidRDefault="006C0699" w:rsidP="005B72F7">
      <w:pPr>
        <w:jc w:val="both"/>
      </w:pPr>
      <w:r w:rsidRPr="003B4401">
        <w:rPr>
          <w:rFonts w:ascii="Calibri" w:hAnsi="Calibri"/>
        </w:rPr>
        <w:t>Hartley 1991</w:t>
      </w:r>
    </w:p>
    <w:p w14:paraId="02A92A6A" w14:textId="77777777" w:rsidR="006C0699" w:rsidRPr="003B4401" w:rsidRDefault="00144C98" w:rsidP="005B72F7">
      <w:pPr>
        <w:autoSpaceDE w:val="0"/>
        <w:autoSpaceDN w:val="0"/>
        <w:adjustRightInd w:val="0"/>
        <w:jc w:val="both"/>
        <w:rPr>
          <w:rFonts w:ascii="Calibri" w:hAnsi="Calibri"/>
        </w:rPr>
      </w:pPr>
      <w:r w:rsidRPr="003B4401">
        <w:rPr>
          <w:rFonts w:ascii="Calibri" w:hAnsi="Calibri"/>
        </w:rPr>
        <w:t>T</w:t>
      </w:r>
      <w:r w:rsidR="006C0699" w:rsidRPr="003B4401">
        <w:rPr>
          <w:rFonts w:ascii="Calibri" w:hAnsi="Calibri"/>
        </w:rPr>
        <w:t>he in-vitro dissolution profiles of two carbamazepine formulations (Tegretol and a generic carbamazepine) have been assessed and the bioavailability of carbamazepine compared in 12 epileptic children at steady state.  Dissolution from the generic formulation (100 and 200mg tablets) tended to be greater than for the proprietary tablets.  However, the bioavailability and pharmacokinetics of carbamazepine when assessed at steady were similar for the two formulations.  It appears, therefore, that the breakthrough seizures and higher incidence of neurological side-effects observed when children were given generic carbamazepine in place of the proprietary formulation cannot be accounted for by differences in bioavailability or pharmacokinetics.</w:t>
      </w:r>
    </w:p>
    <w:p w14:paraId="2ECCD942" w14:textId="77777777" w:rsidR="006C0699" w:rsidRPr="003B4401" w:rsidRDefault="006C0699" w:rsidP="005B72F7">
      <w:pPr>
        <w:autoSpaceDE w:val="0"/>
        <w:autoSpaceDN w:val="0"/>
        <w:adjustRightInd w:val="0"/>
        <w:jc w:val="both"/>
        <w:rPr>
          <w:rFonts w:ascii="Calibri" w:hAnsi="Calibri"/>
        </w:rPr>
      </w:pPr>
    </w:p>
    <w:p w14:paraId="03B78E07"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Welty 1992</w:t>
      </w:r>
    </w:p>
    <w:p w14:paraId="33D04CE1" w14:textId="77777777" w:rsidR="006C0699" w:rsidRPr="003B4401" w:rsidRDefault="006C0699" w:rsidP="005B72F7">
      <w:pPr>
        <w:autoSpaceDE w:val="0"/>
        <w:autoSpaceDN w:val="0"/>
        <w:adjustRightInd w:val="0"/>
        <w:jc w:val="both"/>
        <w:rPr>
          <w:rFonts w:ascii="Calibri" w:hAnsi="Calibri"/>
        </w:rPr>
      </w:pPr>
      <w:r w:rsidRPr="003B4401">
        <w:rPr>
          <w:rFonts w:ascii="Calibri" w:hAnsi="Calibri"/>
        </w:rPr>
        <w:t>Case report of two patients. Breakthrough seizures associated with drop in serum levels of carbamazepine following switch from Tegretol to generic.</w:t>
      </w:r>
    </w:p>
    <w:p w14:paraId="59221F44" w14:textId="77777777" w:rsidR="006C0699" w:rsidRPr="003B4401" w:rsidRDefault="006C0699" w:rsidP="005B72F7">
      <w:pPr>
        <w:jc w:val="both"/>
        <w:rPr>
          <w:rFonts w:ascii="Calibri" w:hAnsi="Calibri"/>
        </w:rPr>
      </w:pPr>
    </w:p>
    <w:p w14:paraId="0D165124" w14:textId="77777777" w:rsidR="006C0699" w:rsidRPr="003B4401" w:rsidRDefault="006C0699" w:rsidP="005B72F7">
      <w:pPr>
        <w:autoSpaceDE w:val="0"/>
        <w:autoSpaceDN w:val="0"/>
        <w:adjustRightInd w:val="0"/>
        <w:jc w:val="both"/>
        <w:rPr>
          <w:rFonts w:ascii="Calibri" w:hAnsi="Calibri" w:cs="TimesNewRomanPS"/>
        </w:rPr>
      </w:pPr>
      <w:r w:rsidRPr="003B4401">
        <w:rPr>
          <w:rFonts w:ascii="Calibri" w:hAnsi="Calibri" w:cs="TimesNewRomanPS"/>
        </w:rPr>
        <w:t>Silpakit 1997.</w:t>
      </w:r>
    </w:p>
    <w:p w14:paraId="2C3398F6" w14:textId="77777777" w:rsidR="006C0699" w:rsidRPr="003B4401" w:rsidRDefault="006C0699" w:rsidP="005B72F7">
      <w:pPr>
        <w:autoSpaceDE w:val="0"/>
        <w:autoSpaceDN w:val="0"/>
        <w:adjustRightInd w:val="0"/>
        <w:jc w:val="both"/>
        <w:rPr>
          <w:rFonts w:ascii="Calibri" w:hAnsi="Calibri" w:cs="AdvTTc9c3bd71"/>
        </w:rPr>
      </w:pPr>
      <w:r w:rsidRPr="003B4401">
        <w:rPr>
          <w:rFonts w:ascii="Calibri" w:hAnsi="Calibri" w:cs="AdvTTc9c3bd71"/>
        </w:rPr>
        <w:t>Crossover study in 18 patients.  Pharmacokinetic parameters for three generic formulations compared with Tegretol. One generic not bioequivalent (90% CI for AUC not within 80—120% of Tegretol).</w:t>
      </w:r>
    </w:p>
    <w:p w14:paraId="527FE8C3" w14:textId="77777777" w:rsidR="006C0699" w:rsidRPr="003B4401" w:rsidRDefault="006C0699" w:rsidP="005B72F7">
      <w:pPr>
        <w:jc w:val="both"/>
        <w:rPr>
          <w:rFonts w:ascii="Calibri" w:hAnsi="Calibri"/>
        </w:rPr>
      </w:pPr>
    </w:p>
    <w:p w14:paraId="1011610D" w14:textId="77777777" w:rsidR="00846DE7" w:rsidRDefault="0076504A" w:rsidP="005B72F7">
      <w:pPr>
        <w:pStyle w:val="Heading1"/>
        <w:jc w:val="both"/>
        <w:rPr>
          <w:rFonts w:ascii="Calibri" w:hAnsi="Calibri"/>
        </w:rPr>
      </w:pPr>
      <w:bookmarkStart w:id="27" w:name="_Appendix_3"/>
      <w:bookmarkEnd w:id="27"/>
      <w:r w:rsidRPr="003B4401">
        <w:br w:type="page"/>
      </w:r>
      <w:r w:rsidR="00846DE7">
        <w:rPr>
          <w:rFonts w:ascii="Calibri" w:hAnsi="Calibri"/>
        </w:rPr>
        <w:t xml:space="preserve">Appendix </w:t>
      </w:r>
      <w:r w:rsidR="008B6367">
        <w:rPr>
          <w:rFonts w:ascii="Calibri" w:hAnsi="Calibri"/>
        </w:rPr>
        <w:t>3</w:t>
      </w:r>
    </w:p>
    <w:p w14:paraId="05C4EBE5" w14:textId="77777777" w:rsidR="00846DE7" w:rsidRPr="008B6367" w:rsidRDefault="00846DE7" w:rsidP="005B72F7">
      <w:pPr>
        <w:pStyle w:val="Heading1"/>
        <w:jc w:val="both"/>
        <w:rPr>
          <w:rFonts w:ascii="Calibri" w:hAnsi="Calibri"/>
          <w:sz w:val="24"/>
          <w:szCs w:val="24"/>
        </w:rPr>
      </w:pPr>
    </w:p>
    <w:p w14:paraId="6E9A5E32" w14:textId="77777777" w:rsidR="00846DE7" w:rsidRDefault="00846DE7" w:rsidP="005B72F7">
      <w:pPr>
        <w:pStyle w:val="Heading1"/>
        <w:jc w:val="both"/>
        <w:rPr>
          <w:rFonts w:ascii="Calibri" w:hAnsi="Calibri"/>
        </w:rPr>
      </w:pPr>
      <w:r>
        <w:rPr>
          <w:rFonts w:ascii="Calibri" w:hAnsi="Calibri"/>
        </w:rPr>
        <w:t>Review of the evidence for gabapentin</w:t>
      </w:r>
    </w:p>
    <w:p w14:paraId="331C923C" w14:textId="77777777" w:rsidR="00846DE7" w:rsidRDefault="00846DE7" w:rsidP="005B72F7">
      <w:pPr>
        <w:jc w:val="both"/>
      </w:pPr>
    </w:p>
    <w:p w14:paraId="6A22DB31" w14:textId="77777777" w:rsidR="00C05D19" w:rsidRPr="008B6367" w:rsidRDefault="00C05D19" w:rsidP="005B72F7">
      <w:pPr>
        <w:jc w:val="both"/>
        <w:rPr>
          <w:rFonts w:ascii="Calibri" w:hAnsi="Calibri"/>
        </w:rPr>
      </w:pPr>
      <w:r w:rsidRPr="008B6367">
        <w:rPr>
          <w:rFonts w:ascii="Calibri" w:hAnsi="Calibri"/>
          <w:color w:val="241F20"/>
        </w:rPr>
        <w:t xml:space="preserve">A study used bioequivalence data for approved generic AED formulations in the US provided by the FDA Centre for Drug Evaluation and Research, Office of Generic Drugs.  A total of 141 generic AED products were evaluated in 258 bioequivalence studies.  Gabapentin (and oxcarbazine and divalproex) had greater proportions of bioequivalence studies in which Cmax varied by 15 to 25% between fasting and fed states of different generic products, compared to other AEDs.  </w:t>
      </w:r>
      <w:r w:rsidRPr="008B6367">
        <w:rPr>
          <w:rFonts w:ascii="Calibri" w:hAnsi="Calibri"/>
          <w:color w:val="000000"/>
        </w:rPr>
        <w:t>(Krauss 2011)</w:t>
      </w:r>
    </w:p>
    <w:p w14:paraId="563FC702" w14:textId="77777777" w:rsidR="00C05D19" w:rsidRPr="008B6367" w:rsidRDefault="00C05D19" w:rsidP="005B72F7">
      <w:pPr>
        <w:jc w:val="both"/>
        <w:rPr>
          <w:rFonts w:ascii="Calibri" w:hAnsi="Calibri"/>
        </w:rPr>
      </w:pPr>
    </w:p>
    <w:p w14:paraId="67C27A41" w14:textId="77777777" w:rsidR="00C05D19" w:rsidRPr="008B6367" w:rsidRDefault="00C05D19" w:rsidP="005B72F7">
      <w:pPr>
        <w:autoSpaceDE w:val="0"/>
        <w:autoSpaceDN w:val="0"/>
        <w:adjustRightInd w:val="0"/>
        <w:jc w:val="both"/>
        <w:rPr>
          <w:rFonts w:ascii="Calibri" w:hAnsi="Calibri"/>
          <w:color w:val="131413"/>
        </w:rPr>
      </w:pPr>
      <w:r w:rsidRPr="008B6367">
        <w:rPr>
          <w:rFonts w:ascii="Calibri" w:hAnsi="Calibri"/>
          <w:color w:val="000000"/>
        </w:rPr>
        <w:t xml:space="preserve">A Dutch study looked at bioequivalence data in 2008 from submissions to the Dutch Medicines Evaluation Board for generic AEDs. </w:t>
      </w:r>
      <w:r w:rsidRPr="008B6367">
        <w:rPr>
          <w:rFonts w:ascii="Calibri" w:hAnsi="Calibri"/>
          <w:color w:val="131413"/>
        </w:rPr>
        <w:t>Gabapentin has non-linear pharmacokinetics so separate bioequivalence studies for each strength were submitted for the 400, 600 and 800mg strengths in support of generic applications. In this study gabapentin generics were compared with eight 400mg, five 600mg generics, and five 800mg generics.</w:t>
      </w:r>
    </w:p>
    <w:p w14:paraId="2AD90A59" w14:textId="77777777" w:rsidR="00C05D19" w:rsidRPr="00A30C43" w:rsidRDefault="00C05D19" w:rsidP="005B72F7">
      <w:pPr>
        <w:autoSpaceDE w:val="0"/>
        <w:autoSpaceDN w:val="0"/>
        <w:adjustRightInd w:val="0"/>
        <w:jc w:val="both"/>
        <w:rPr>
          <w:rFonts w:ascii="Calibri" w:hAnsi="Calibri"/>
          <w:color w:val="000000"/>
          <w:lang w:val="en-US"/>
        </w:rPr>
      </w:pPr>
      <w:r w:rsidRPr="008B6367">
        <w:rPr>
          <w:rFonts w:ascii="Calibri" w:hAnsi="Calibri"/>
          <w:color w:val="000000"/>
        </w:rPr>
        <w:t xml:space="preserve">Interstudy comparison </w:t>
      </w:r>
      <w:r w:rsidRPr="008B6367">
        <w:rPr>
          <w:rFonts w:ascii="Calibri" w:hAnsi="Calibri"/>
          <w:color w:val="131413"/>
        </w:rPr>
        <w:t>found</w:t>
      </w:r>
      <w:r w:rsidRPr="008B6367">
        <w:rPr>
          <w:rFonts w:ascii="Calibri" w:hAnsi="Calibri"/>
          <w:color w:val="000000"/>
        </w:rPr>
        <w:t xml:space="preserve"> </w:t>
      </w:r>
      <w:r w:rsidRPr="008B6367">
        <w:rPr>
          <w:rFonts w:ascii="Calibri" w:hAnsi="Calibri"/>
          <w:color w:val="131413"/>
        </w:rPr>
        <w:t xml:space="preserve">mean AUCs </w:t>
      </w:r>
      <w:r w:rsidRPr="008B6367">
        <w:rPr>
          <w:rFonts w:ascii="Calibri" w:hAnsi="Calibri"/>
          <w:color w:val="000000"/>
        </w:rPr>
        <w:t>of</w:t>
      </w:r>
      <w:r w:rsidRPr="008B6367">
        <w:rPr>
          <w:rFonts w:ascii="Calibri" w:hAnsi="Calibri"/>
          <w:color w:val="131413"/>
        </w:rPr>
        <w:t xml:space="preserve"> 25.9 to 33.8 mcg/ml and Cmax 1.00 to 1.15 mcg/ml for 400mg strength, mean AUCs of 41.3 to 47.6 mcg/ml and Cmax 1.36 to 1.58 mcg/ml for 600mg strength, and mean AUCs 37.0 to 56.9 mcg/ml and Cmax 1.28 to 1.77 mcg/ml for 800mg strength. The average of the mean AUC and Cmax of all brand arms was calculated and the study with the closest to average value was used as a reference standard. </w:t>
      </w:r>
      <w:r w:rsidRPr="008B6367">
        <w:rPr>
          <w:rFonts w:ascii="Calibri" w:hAnsi="Calibri"/>
          <w:color w:val="000000"/>
        </w:rPr>
        <w:t>The absolute AUC and Cmax of each generic were corrected</w:t>
      </w:r>
      <w:r w:rsidRPr="008B6367">
        <w:rPr>
          <w:rFonts w:ascii="Calibri" w:hAnsi="Calibri"/>
          <w:color w:val="131413"/>
        </w:rPr>
        <w:t xml:space="preserve"> using the ratio of the reference standard vs the brand AUC and Cmax of the bioequivalence study in question.  After this normalisation, the 90% confidence intervals were estimated.  The mean point estimates for the AUC ratios for all evaluated 400, 600 and 800mg studies were 100.2%, 102.7%, and 100.2% respectively, and 100.6%, 103.6%, and 97.7% for the Cmax ratios respectively.  In the vast majority of cases 90% confidence intervals were within the 80–125% margin for bioequivalence, except one Cmax ratio at the lower end of the 90% confidence interval of 79.03%, two Cmax ratios were at the high end of the 90% confidence interval of 125.45% and 125.75%, and one AUC ratio was at the high end of the 90% confidence interval of 127.62%.  Comparison of the absolute, not-normalised AUC and Cmax yielded a number of 90% confidence intervals for many generic–generic comparisons outside the 80–125% range for bioequivalence. However, a similar pattern of 90% confidence intervals was noted with generic–generic exchange and brand–brand exchange despite the fact that the identical brand (Neurontin) was used in all studies. (</w:t>
      </w:r>
      <w:r w:rsidRPr="00A30C43">
        <w:rPr>
          <w:rFonts w:ascii="Calibri" w:hAnsi="Calibri"/>
          <w:color w:val="131413"/>
          <w:lang w:val="en-US"/>
        </w:rPr>
        <w:t>Maliepaard 2011)</w:t>
      </w:r>
    </w:p>
    <w:p w14:paraId="636EC009" w14:textId="77777777" w:rsidR="00C05D19" w:rsidRPr="008B6367" w:rsidRDefault="00C05D19" w:rsidP="005B72F7">
      <w:pPr>
        <w:jc w:val="both"/>
        <w:rPr>
          <w:rFonts w:ascii="Calibri" w:hAnsi="Calibri"/>
        </w:rPr>
      </w:pPr>
    </w:p>
    <w:p w14:paraId="2ACA12F4" w14:textId="77777777" w:rsidR="00C05D19" w:rsidRPr="008B6367" w:rsidRDefault="00C05D19" w:rsidP="005B72F7">
      <w:pPr>
        <w:autoSpaceDE w:val="0"/>
        <w:autoSpaceDN w:val="0"/>
        <w:adjustRightInd w:val="0"/>
        <w:jc w:val="both"/>
        <w:rPr>
          <w:rFonts w:ascii="Calibri" w:eastAsia="MinionPro-Regular" w:hAnsi="Calibri"/>
        </w:rPr>
      </w:pPr>
      <w:r w:rsidRPr="008B6367">
        <w:rPr>
          <w:rFonts w:ascii="Calibri" w:hAnsi="Calibri"/>
          <w:color w:val="000000"/>
        </w:rPr>
        <w:t xml:space="preserve">A survey of physicians in the US found that </w:t>
      </w:r>
      <w:r w:rsidRPr="008B6367">
        <w:rPr>
          <w:rFonts w:ascii="Calibri" w:hAnsi="Calibri"/>
        </w:rPr>
        <w:t>293 (65%) out of 451 neurologists who completed the online survey had a patient who experienced a loss of seizure control caused by either a switch from a brand to a generic AED or from uncontrolled switching between generic forms of an AED.   50/293 cases were chosen randomly for further review.  There were 8</w:t>
      </w:r>
      <w:r w:rsidRPr="008B6367">
        <w:rPr>
          <w:rFonts w:ascii="Calibri" w:eastAsia="MinionPro-Regular" w:hAnsi="Calibri"/>
        </w:rPr>
        <w:t xml:space="preserve"> patients on gabapentin in the random sample</w:t>
      </w:r>
      <w:r w:rsidRPr="008B6367">
        <w:rPr>
          <w:rFonts w:ascii="Calibri" w:hAnsi="Calibri"/>
        </w:rPr>
        <w:t xml:space="preserve">, who were well-controlled on the brand AED, and who subsequently experienced a breakthrough seizure or increased seizure frequency after switching to a generic without other provoking factors. [Two patients were on a combination of two AEDs, both of which were switched to generics (unknown which AEDs)]. There were no blood levels for patients who were switched to generic gabapentin. (Berg </w:t>
      </w:r>
      <w:r w:rsidRPr="008B6367">
        <w:rPr>
          <w:rFonts w:ascii="Calibri" w:eastAsia="MinionPro-Regular" w:hAnsi="Calibri"/>
        </w:rPr>
        <w:t>2008)</w:t>
      </w:r>
    </w:p>
    <w:p w14:paraId="2545F3E2" w14:textId="77777777" w:rsidR="00C05D19" w:rsidRPr="008B6367" w:rsidRDefault="00C05D19" w:rsidP="005B72F7">
      <w:pPr>
        <w:jc w:val="both"/>
        <w:rPr>
          <w:rFonts w:ascii="Calibri" w:hAnsi="Calibri"/>
        </w:rPr>
      </w:pPr>
    </w:p>
    <w:p w14:paraId="07A9E565" w14:textId="77777777" w:rsidR="00C05D19" w:rsidRPr="008B6367" w:rsidRDefault="00C05D19" w:rsidP="005B72F7">
      <w:pPr>
        <w:autoSpaceDE w:val="0"/>
        <w:autoSpaceDN w:val="0"/>
        <w:adjustRightInd w:val="0"/>
        <w:jc w:val="both"/>
        <w:rPr>
          <w:rFonts w:ascii="Calibri" w:hAnsi="Calibri"/>
          <w:color w:val="000000"/>
        </w:rPr>
      </w:pPr>
      <w:r w:rsidRPr="008B6367">
        <w:rPr>
          <w:rFonts w:ascii="Calibri" w:hAnsi="Calibri"/>
          <w:color w:val="000000"/>
        </w:rPr>
        <w:t xml:space="preserve">A US retrospective case-control analysis identified claims from the Ingenix LabRx Database between 7/1/2006 and 12/31/2006. This time period was shortly after the introduction of generic zonisamide to the market in the US.  Epileptic patients who had received emergency care for epilepsy related events (cases) were more likely to have been switched between brand and generic AEDs (47/416, 11.3%), than epileptic patients seen in outpatients (controls) during the same period (81/1248, 6.5%).  </w:t>
      </w:r>
    </w:p>
    <w:p w14:paraId="1BD20153" w14:textId="77777777" w:rsidR="00C05D19" w:rsidRPr="008B6367" w:rsidRDefault="00C05D19" w:rsidP="005B72F7">
      <w:pPr>
        <w:autoSpaceDE w:val="0"/>
        <w:autoSpaceDN w:val="0"/>
        <w:adjustRightInd w:val="0"/>
        <w:jc w:val="both"/>
        <w:rPr>
          <w:rFonts w:ascii="Calibri" w:hAnsi="Calibri"/>
        </w:rPr>
      </w:pPr>
      <w:r w:rsidRPr="008B6367">
        <w:rPr>
          <w:rFonts w:ascii="Calibri" w:hAnsi="Calibri"/>
          <w:color w:val="000000"/>
        </w:rPr>
        <w:t xml:space="preserve">Gabapentin accounted for </w:t>
      </w:r>
      <w:r w:rsidRPr="008B6367">
        <w:rPr>
          <w:rFonts w:ascii="Calibri" w:hAnsi="Calibri"/>
        </w:rPr>
        <w:t>10</w:t>
      </w:r>
      <w:r w:rsidRPr="008B6367">
        <w:rPr>
          <w:rFonts w:ascii="Calibri" w:hAnsi="Calibri"/>
          <w:color w:val="000000"/>
        </w:rPr>
        <w:t xml:space="preserve">/47 cases and </w:t>
      </w:r>
      <w:r w:rsidRPr="008B6367">
        <w:rPr>
          <w:rFonts w:ascii="Calibri" w:hAnsi="Calibri"/>
        </w:rPr>
        <w:t>22</w:t>
      </w:r>
      <w:r w:rsidRPr="008B6367">
        <w:rPr>
          <w:rFonts w:ascii="Calibri" w:hAnsi="Calibri"/>
          <w:color w:val="000000"/>
        </w:rPr>
        <w:t>/81 controls</w:t>
      </w:r>
      <w:r w:rsidRPr="008B6367">
        <w:rPr>
          <w:rFonts w:ascii="Calibri" w:hAnsi="Calibri"/>
        </w:rPr>
        <w:t xml:space="preserve"> who had switched.  The majority of patients experiencing switches (70 of 128, 54.7%) across all AED matched cases and controls occurred within 2 months of the index date.  Cases (n = 416) had 81% greater odds of having had an AED formulation switch [odds ratio (OR) = 1.81; 95% confidence interval (CI) = 1.25 to 2.63] relative to controls (n = 1248). There were no significant differences between groups regarding demographics or diagnosis. (Zachry 2009) </w:t>
      </w:r>
    </w:p>
    <w:p w14:paraId="62899861" w14:textId="77777777" w:rsidR="00C05D19" w:rsidRPr="008B6367" w:rsidRDefault="00C05D19" w:rsidP="005B72F7">
      <w:pPr>
        <w:jc w:val="both"/>
        <w:rPr>
          <w:rFonts w:ascii="Calibri" w:hAnsi="Calibri"/>
        </w:rPr>
      </w:pPr>
    </w:p>
    <w:p w14:paraId="53A7A92A" w14:textId="77777777" w:rsidR="00C05D19" w:rsidRPr="008B6367" w:rsidRDefault="00C05D19" w:rsidP="005B72F7">
      <w:pPr>
        <w:autoSpaceDE w:val="0"/>
        <w:autoSpaceDN w:val="0"/>
        <w:adjustRightInd w:val="0"/>
        <w:jc w:val="both"/>
        <w:rPr>
          <w:rFonts w:ascii="Calibri" w:eastAsia="MinionPro-Regular" w:hAnsi="Calibri"/>
        </w:rPr>
      </w:pPr>
      <w:r w:rsidRPr="008B6367">
        <w:rPr>
          <w:rFonts w:ascii="Calibri" w:eastAsia="MinionPro-Regular" w:hAnsi="Calibri"/>
        </w:rPr>
        <w:t>A US study used claims data from PharMetrics Database between January 2000 and October 2007. 33625 patients were taking 1 of 5 AEDs (carbamazepine, gabapentin, phenytoin, primidone, zonisamide) and the mean observation period was 4 years.</w:t>
      </w:r>
    </w:p>
    <w:p w14:paraId="6211879F" w14:textId="77777777" w:rsidR="00C05D19" w:rsidRPr="008B6367" w:rsidRDefault="00C05D19" w:rsidP="005B72F7">
      <w:pPr>
        <w:autoSpaceDE w:val="0"/>
        <w:autoSpaceDN w:val="0"/>
        <w:adjustRightInd w:val="0"/>
        <w:jc w:val="both"/>
        <w:rPr>
          <w:rFonts w:ascii="Calibri" w:hAnsi="Calibri"/>
        </w:rPr>
      </w:pPr>
      <w:r w:rsidRPr="008B6367">
        <w:rPr>
          <w:rFonts w:ascii="Calibri" w:hAnsi="Calibri"/>
          <w:bCs/>
        </w:rPr>
        <w:t>There were 4076 patients on gabapentin of which all were on monotherapy and 3368 (82.6%) had stable epilepsy (</w:t>
      </w:r>
      <w:r w:rsidRPr="008B6367">
        <w:rPr>
          <w:rFonts w:ascii="Calibri" w:hAnsi="Calibri"/>
        </w:rPr>
        <w:t>defined as patients with ≤2 outpatient services per year on average throughout the observation period and no ER visit associated with epilepsy or non-febrile convulsions).  Gabapentin patients were excluded from the study if they were on polytherapy to ensure they were taking it for epilepsy.  Monotherapy patients were more likely to have stable epilepsy.  2271 (55.7%) only used branded gabapentin, 1186 (29.1%) used generic only and 619 (15.2%) used brand and generic. 1320 (73.1%) received only one generic version during the study period while 299 (16.6%) received two and 186 (10.3%) received three versions. After one year 1390 (19.4%) had switched from brand to generic, of which 64 (10.4%) switched back to brand.  Rates of healthcare utilisation were not reported for individual AEDs and neither were reasons for switchback.  (Labiner 2010)</w:t>
      </w:r>
    </w:p>
    <w:p w14:paraId="558CD705" w14:textId="77777777" w:rsidR="00C05D19" w:rsidRPr="008B6367" w:rsidRDefault="00C05D19" w:rsidP="005B72F7">
      <w:pPr>
        <w:jc w:val="both"/>
        <w:rPr>
          <w:rFonts w:ascii="Calibri" w:hAnsi="Calibri"/>
        </w:rPr>
      </w:pPr>
    </w:p>
    <w:p w14:paraId="1721C91D" w14:textId="77777777" w:rsidR="00C05D19" w:rsidRPr="008B6367" w:rsidRDefault="00C05D19" w:rsidP="005B72F7">
      <w:pPr>
        <w:jc w:val="both"/>
        <w:rPr>
          <w:rFonts w:ascii="Calibri" w:hAnsi="Calibri"/>
        </w:rPr>
      </w:pPr>
      <w:r w:rsidRPr="008B6367">
        <w:rPr>
          <w:rFonts w:ascii="Calibri" w:hAnsi="Calibri"/>
        </w:rPr>
        <w:t xml:space="preserve">A Canadian study used medical and pharmacy claims data from Re´gie de l’Assurance Maladie du Que´bec database between April 1998 and July 2006. The study was analysing lamotrigine and compared the switch back to brand rates with those of 3 other AEDs and 3 non-AEDs.  There were 202 patients on gabapentin, of which 168 (83.2%) were on polytherapy. Patients on lamotrigine, clobazam and carbamazepine had 51.8 – 93.9% on polytherapy.  In contrast, polytherapy users represented 2.2% to 3.0% of patients for non-AED study populations (simvastatin, fosinopril, carvedilol).  45% of gabapentin patients were switched to generic and 30.9% switched back to brand.  This compared to lamotrigine 27.9% switched and 27.5% switched back; clobazam 18.9% switched and 44.1% switched back; carbamazepine CR 72.3% switched and 20.8% switched back. For non-AED 40.8 to 90.2% switched and 7.7 – 9.1% switched back. </w:t>
      </w:r>
      <w:r w:rsidRPr="008B6367">
        <w:rPr>
          <w:rFonts w:ascii="Calibri" w:hAnsi="Calibri"/>
          <w:color w:val="000000"/>
        </w:rPr>
        <w:t>There were no results reported for the reasons for these switches or rates of seizures in gabapentin patients. (LeLorier Neurology 2008)</w:t>
      </w:r>
    </w:p>
    <w:p w14:paraId="062D1F67" w14:textId="77777777" w:rsidR="00C05D19" w:rsidRPr="008B6367" w:rsidRDefault="00C05D19" w:rsidP="005B72F7">
      <w:pPr>
        <w:jc w:val="both"/>
        <w:rPr>
          <w:rFonts w:ascii="Calibri" w:hAnsi="Calibri"/>
        </w:rPr>
      </w:pPr>
    </w:p>
    <w:p w14:paraId="0C1A58EF" w14:textId="77777777" w:rsidR="00C05D19" w:rsidRPr="008B6367" w:rsidRDefault="00C05D19" w:rsidP="005B72F7">
      <w:pPr>
        <w:jc w:val="both"/>
        <w:rPr>
          <w:rFonts w:ascii="Calibri" w:hAnsi="Calibri"/>
        </w:rPr>
      </w:pPr>
      <w:r w:rsidRPr="008B6367">
        <w:rPr>
          <w:rFonts w:ascii="Calibri" w:eastAsia="AdvPS_TIR" w:hAnsi="Calibri"/>
        </w:rPr>
        <w:t xml:space="preserve">A Polish study reviewed 646 drug-resistant epilepsy patients with partial seizures treated with 1–3 new generation AEDs.  Patients were switched from a brand to generic AED.  The group included 68 patients on two brand agents switched to generic drugs. There were 182 gabapentin patients, 284 on lamotrigine and 160 on topiramate.  The authors concluded that switching any of these drugs to generics did not increase seizure frequency (mean seizure frequency per month before and after a switch was 8.2 vs 8.0 for gabapentin. (6.7 vs 6.9 for lamotrigine and 9.9 vs 9.6 for topiramate).  The percentage of patients that needed to be switched back to the </w:t>
      </w:r>
      <w:r w:rsidR="005B72F7">
        <w:rPr>
          <w:rFonts w:ascii="Calibri" w:eastAsia="AdvPS_TIR" w:hAnsi="Calibri"/>
        </w:rPr>
        <w:t>original medication was between</w:t>
      </w:r>
      <w:r w:rsidRPr="008B6367">
        <w:rPr>
          <w:rFonts w:ascii="Calibri" w:eastAsia="AdvPS_TIR" w:hAnsi="Calibri"/>
        </w:rPr>
        <w:t xml:space="preserve"> 0 and 2.1%. (</w:t>
      </w:r>
      <w:r w:rsidRPr="008B6367">
        <w:rPr>
          <w:rFonts w:ascii="Calibri" w:eastAsia="AdvPS_TII" w:hAnsi="Calibri"/>
        </w:rPr>
        <w:t>Czapinski</w:t>
      </w:r>
      <w:r w:rsidRPr="008B6367">
        <w:rPr>
          <w:rFonts w:ascii="Calibri" w:hAnsi="Calibri"/>
        </w:rPr>
        <w:t xml:space="preserve"> 2009)</w:t>
      </w:r>
    </w:p>
    <w:p w14:paraId="69D28A3C" w14:textId="77777777" w:rsidR="00846DE7" w:rsidRPr="008B6367" w:rsidRDefault="00846DE7" w:rsidP="00846DE7">
      <w:pPr>
        <w:rPr>
          <w:rFonts w:ascii="Calibri" w:hAnsi="Calibri"/>
        </w:rPr>
      </w:pPr>
    </w:p>
    <w:p w14:paraId="4D0E0F97" w14:textId="77777777" w:rsidR="00846DE7" w:rsidRDefault="00846DE7" w:rsidP="00846DE7">
      <w:pPr>
        <w:rPr>
          <w:rFonts w:ascii="Calibri" w:hAnsi="Calibri"/>
        </w:rPr>
      </w:pPr>
    </w:p>
    <w:p w14:paraId="2F78EDFF" w14:textId="77777777" w:rsidR="00846DE7" w:rsidRDefault="00846DE7" w:rsidP="00846DE7">
      <w:pPr>
        <w:rPr>
          <w:rFonts w:ascii="Calibri" w:hAnsi="Calibri"/>
        </w:rPr>
      </w:pPr>
    </w:p>
    <w:p w14:paraId="4D4F16D1" w14:textId="77777777" w:rsidR="00846DE7" w:rsidRDefault="00846DE7" w:rsidP="00846DE7">
      <w:pPr>
        <w:rPr>
          <w:rFonts w:ascii="Calibri" w:hAnsi="Calibri"/>
        </w:rPr>
      </w:pPr>
    </w:p>
    <w:p w14:paraId="6E2B3F31" w14:textId="77777777" w:rsidR="00FC7FE2" w:rsidRDefault="00FC7FE2" w:rsidP="00846DE7">
      <w:pPr>
        <w:rPr>
          <w:rFonts w:ascii="Calibri" w:hAnsi="Calibri"/>
        </w:rPr>
      </w:pPr>
    </w:p>
    <w:p w14:paraId="0C2430E4" w14:textId="77777777" w:rsidR="00FC7FE2" w:rsidRDefault="00FC7FE2" w:rsidP="00846DE7">
      <w:pPr>
        <w:rPr>
          <w:rFonts w:ascii="Calibri" w:hAnsi="Calibri"/>
        </w:rPr>
      </w:pPr>
    </w:p>
    <w:p w14:paraId="6374587E" w14:textId="77777777" w:rsidR="00FC7FE2" w:rsidRDefault="00FC7FE2" w:rsidP="00846DE7">
      <w:pPr>
        <w:rPr>
          <w:rFonts w:ascii="Calibri" w:hAnsi="Calibri"/>
        </w:rPr>
      </w:pPr>
    </w:p>
    <w:p w14:paraId="0173C66C" w14:textId="77777777" w:rsidR="00FC7FE2" w:rsidRDefault="00FC7FE2" w:rsidP="00846DE7">
      <w:pPr>
        <w:rPr>
          <w:rFonts w:ascii="Calibri" w:hAnsi="Calibri"/>
        </w:rPr>
      </w:pPr>
    </w:p>
    <w:p w14:paraId="518FDF3F" w14:textId="77777777" w:rsidR="00FC7FE2" w:rsidRDefault="00FC7FE2" w:rsidP="00846DE7">
      <w:pPr>
        <w:rPr>
          <w:rFonts w:ascii="Calibri" w:hAnsi="Calibri"/>
        </w:rPr>
      </w:pPr>
    </w:p>
    <w:p w14:paraId="17744EB4" w14:textId="77777777" w:rsidR="00FC7FE2" w:rsidRDefault="00FC7FE2" w:rsidP="00846DE7">
      <w:pPr>
        <w:rPr>
          <w:rFonts w:ascii="Calibri" w:hAnsi="Calibri"/>
        </w:rPr>
      </w:pPr>
    </w:p>
    <w:p w14:paraId="63FC1406" w14:textId="77777777" w:rsidR="00FC7FE2" w:rsidRDefault="00FC7FE2" w:rsidP="00846DE7">
      <w:pPr>
        <w:rPr>
          <w:rFonts w:ascii="Calibri" w:hAnsi="Calibri"/>
        </w:rPr>
      </w:pPr>
    </w:p>
    <w:p w14:paraId="589912B4" w14:textId="77777777" w:rsidR="00FC7FE2" w:rsidRDefault="00FC7FE2" w:rsidP="00846DE7">
      <w:pPr>
        <w:rPr>
          <w:rFonts w:ascii="Calibri" w:hAnsi="Calibri"/>
        </w:rPr>
      </w:pPr>
    </w:p>
    <w:p w14:paraId="036F6C25" w14:textId="77777777" w:rsidR="00FC7FE2" w:rsidRDefault="00FC7FE2" w:rsidP="00846DE7">
      <w:pPr>
        <w:rPr>
          <w:rFonts w:ascii="Calibri" w:hAnsi="Calibri"/>
        </w:rPr>
      </w:pPr>
    </w:p>
    <w:p w14:paraId="6494785E" w14:textId="77777777" w:rsidR="00FC7FE2" w:rsidRDefault="00FC7FE2" w:rsidP="00846DE7">
      <w:pPr>
        <w:rPr>
          <w:rFonts w:ascii="Calibri" w:hAnsi="Calibri"/>
        </w:rPr>
      </w:pPr>
    </w:p>
    <w:p w14:paraId="2EDA9F71" w14:textId="77777777" w:rsidR="00FC7FE2" w:rsidRDefault="00FC7FE2" w:rsidP="00846DE7">
      <w:pPr>
        <w:rPr>
          <w:rFonts w:ascii="Calibri" w:hAnsi="Calibri"/>
        </w:rPr>
      </w:pPr>
    </w:p>
    <w:p w14:paraId="14237E1B" w14:textId="77777777" w:rsidR="00FC7FE2" w:rsidRDefault="00FC7FE2" w:rsidP="00846DE7">
      <w:pPr>
        <w:rPr>
          <w:rFonts w:ascii="Calibri" w:hAnsi="Calibri"/>
        </w:rPr>
      </w:pPr>
    </w:p>
    <w:p w14:paraId="30A9934C" w14:textId="77777777" w:rsidR="00FC7FE2" w:rsidRDefault="00FC7FE2" w:rsidP="00846DE7">
      <w:pPr>
        <w:rPr>
          <w:rFonts w:ascii="Calibri" w:hAnsi="Calibri"/>
        </w:rPr>
      </w:pPr>
    </w:p>
    <w:p w14:paraId="74849B01" w14:textId="77777777" w:rsidR="00FC7FE2" w:rsidRDefault="00FC7FE2" w:rsidP="00846DE7">
      <w:pPr>
        <w:rPr>
          <w:rFonts w:ascii="Calibri" w:hAnsi="Calibri"/>
        </w:rPr>
      </w:pPr>
    </w:p>
    <w:p w14:paraId="1E3B71BF" w14:textId="77777777" w:rsidR="00FC7FE2" w:rsidRDefault="00FC7FE2" w:rsidP="00846DE7">
      <w:pPr>
        <w:rPr>
          <w:rFonts w:ascii="Calibri" w:hAnsi="Calibri"/>
        </w:rPr>
      </w:pPr>
    </w:p>
    <w:p w14:paraId="698773F1" w14:textId="77777777" w:rsidR="00FC7FE2" w:rsidRDefault="00FC7FE2" w:rsidP="00846DE7">
      <w:pPr>
        <w:rPr>
          <w:rFonts w:ascii="Calibri" w:hAnsi="Calibri"/>
        </w:rPr>
      </w:pPr>
    </w:p>
    <w:p w14:paraId="0C77D04D" w14:textId="77777777" w:rsidR="00FC7FE2" w:rsidRDefault="00FC7FE2" w:rsidP="00846DE7">
      <w:pPr>
        <w:rPr>
          <w:rFonts w:ascii="Calibri" w:hAnsi="Calibri"/>
        </w:rPr>
      </w:pPr>
    </w:p>
    <w:p w14:paraId="6B7ED517" w14:textId="77777777" w:rsidR="00FC7FE2" w:rsidRDefault="00FC7FE2" w:rsidP="00846DE7">
      <w:pPr>
        <w:rPr>
          <w:rFonts w:ascii="Calibri" w:hAnsi="Calibri"/>
        </w:rPr>
      </w:pPr>
    </w:p>
    <w:p w14:paraId="7BC1B941" w14:textId="77777777" w:rsidR="00FC7FE2" w:rsidRDefault="00FC7FE2" w:rsidP="00846DE7">
      <w:pPr>
        <w:rPr>
          <w:rFonts w:ascii="Calibri" w:hAnsi="Calibri"/>
        </w:rPr>
      </w:pPr>
    </w:p>
    <w:p w14:paraId="51ECF404" w14:textId="77777777" w:rsidR="00FC7FE2" w:rsidRDefault="00FC7FE2" w:rsidP="00846DE7">
      <w:pPr>
        <w:rPr>
          <w:rFonts w:ascii="Calibri" w:hAnsi="Calibri"/>
        </w:rPr>
      </w:pPr>
    </w:p>
    <w:p w14:paraId="0A5A0B9B" w14:textId="77777777" w:rsidR="00FC7FE2" w:rsidRDefault="00FC7FE2" w:rsidP="00846DE7">
      <w:pPr>
        <w:rPr>
          <w:rFonts w:ascii="Calibri" w:hAnsi="Calibri"/>
        </w:rPr>
      </w:pPr>
    </w:p>
    <w:p w14:paraId="3B7BFE18" w14:textId="77777777" w:rsidR="008B6367" w:rsidRDefault="008B6367" w:rsidP="00846DE7">
      <w:pPr>
        <w:rPr>
          <w:rFonts w:ascii="Calibri" w:hAnsi="Calibri"/>
        </w:rPr>
      </w:pPr>
    </w:p>
    <w:p w14:paraId="1ECFAED2" w14:textId="77777777" w:rsidR="008B6367" w:rsidRDefault="008B6367" w:rsidP="00846DE7">
      <w:pPr>
        <w:rPr>
          <w:rFonts w:ascii="Calibri" w:hAnsi="Calibri"/>
        </w:rPr>
      </w:pPr>
    </w:p>
    <w:p w14:paraId="20726870" w14:textId="77777777" w:rsidR="008B6367" w:rsidRDefault="008B6367" w:rsidP="00846DE7">
      <w:pPr>
        <w:rPr>
          <w:rFonts w:ascii="Calibri" w:hAnsi="Calibri"/>
        </w:rPr>
      </w:pPr>
    </w:p>
    <w:p w14:paraId="601D425D" w14:textId="77777777" w:rsidR="008B6367" w:rsidRDefault="008B6367" w:rsidP="00846DE7">
      <w:pPr>
        <w:rPr>
          <w:rFonts w:ascii="Calibri" w:hAnsi="Calibri"/>
        </w:rPr>
      </w:pPr>
    </w:p>
    <w:p w14:paraId="5D87D408" w14:textId="77777777" w:rsidR="008B6367" w:rsidRDefault="008B6367" w:rsidP="00846DE7">
      <w:pPr>
        <w:rPr>
          <w:rFonts w:ascii="Calibri" w:hAnsi="Calibri"/>
        </w:rPr>
      </w:pPr>
    </w:p>
    <w:p w14:paraId="3EDE267A" w14:textId="77777777" w:rsidR="008B6367" w:rsidRDefault="008B6367" w:rsidP="00846DE7">
      <w:pPr>
        <w:rPr>
          <w:rFonts w:ascii="Calibri" w:hAnsi="Calibri"/>
        </w:rPr>
      </w:pPr>
    </w:p>
    <w:p w14:paraId="6B76DB8D" w14:textId="7D045E29" w:rsidR="008B6367" w:rsidRDefault="008B6367" w:rsidP="00846DE7">
      <w:pPr>
        <w:rPr>
          <w:rFonts w:ascii="Calibri" w:hAnsi="Calibri"/>
        </w:rPr>
      </w:pPr>
    </w:p>
    <w:p w14:paraId="2B9D46E7" w14:textId="4BB5D712" w:rsidR="003405F8" w:rsidRDefault="003405F8" w:rsidP="00846DE7">
      <w:pPr>
        <w:rPr>
          <w:rFonts w:ascii="Calibri" w:hAnsi="Calibri"/>
        </w:rPr>
      </w:pPr>
    </w:p>
    <w:p w14:paraId="1A08AE80" w14:textId="5A1B199F" w:rsidR="003405F8" w:rsidRDefault="003405F8" w:rsidP="00846DE7">
      <w:pPr>
        <w:rPr>
          <w:rFonts w:ascii="Calibri" w:hAnsi="Calibri"/>
        </w:rPr>
      </w:pPr>
    </w:p>
    <w:p w14:paraId="5CB2E0A5" w14:textId="55610BC2" w:rsidR="003405F8" w:rsidRDefault="003405F8" w:rsidP="00846DE7">
      <w:pPr>
        <w:rPr>
          <w:rFonts w:ascii="Calibri" w:hAnsi="Calibri"/>
        </w:rPr>
      </w:pPr>
    </w:p>
    <w:p w14:paraId="070CE7F3" w14:textId="152AF9EC" w:rsidR="003405F8" w:rsidRDefault="003405F8" w:rsidP="00846DE7">
      <w:pPr>
        <w:rPr>
          <w:rFonts w:ascii="Calibri" w:hAnsi="Calibri"/>
        </w:rPr>
      </w:pPr>
    </w:p>
    <w:p w14:paraId="2CC27F65" w14:textId="3C9E030F" w:rsidR="003405F8" w:rsidRDefault="003405F8" w:rsidP="00846DE7">
      <w:pPr>
        <w:rPr>
          <w:rFonts w:ascii="Calibri" w:hAnsi="Calibri"/>
        </w:rPr>
      </w:pPr>
    </w:p>
    <w:p w14:paraId="14E8273A" w14:textId="29358834" w:rsidR="003405F8" w:rsidRDefault="003405F8" w:rsidP="00846DE7">
      <w:pPr>
        <w:rPr>
          <w:rFonts w:ascii="Calibri" w:hAnsi="Calibri"/>
        </w:rPr>
      </w:pPr>
    </w:p>
    <w:p w14:paraId="05B70C36" w14:textId="5A5C1482" w:rsidR="003405F8" w:rsidRDefault="003405F8" w:rsidP="00846DE7">
      <w:pPr>
        <w:rPr>
          <w:rFonts w:ascii="Calibri" w:hAnsi="Calibri"/>
        </w:rPr>
      </w:pPr>
    </w:p>
    <w:p w14:paraId="198BB577" w14:textId="1FBD61D6" w:rsidR="003405F8" w:rsidRDefault="003405F8" w:rsidP="00846DE7">
      <w:pPr>
        <w:rPr>
          <w:rFonts w:ascii="Calibri" w:hAnsi="Calibri"/>
        </w:rPr>
      </w:pPr>
    </w:p>
    <w:p w14:paraId="3F5F0CC8" w14:textId="77777777" w:rsidR="003405F8" w:rsidRDefault="003405F8" w:rsidP="00846DE7">
      <w:pPr>
        <w:rPr>
          <w:rFonts w:ascii="Calibri" w:hAnsi="Calibri"/>
        </w:rPr>
      </w:pPr>
    </w:p>
    <w:p w14:paraId="49D1AA21" w14:textId="77777777" w:rsidR="008B6367" w:rsidRDefault="008B6367" w:rsidP="00846DE7">
      <w:pPr>
        <w:rPr>
          <w:rFonts w:ascii="Calibri" w:hAnsi="Calibri"/>
        </w:rPr>
      </w:pPr>
    </w:p>
    <w:p w14:paraId="0B78A236" w14:textId="77777777" w:rsidR="00846DE7" w:rsidRDefault="00846DE7" w:rsidP="00846DE7">
      <w:pPr>
        <w:rPr>
          <w:rFonts w:ascii="Calibri" w:hAnsi="Calibri"/>
        </w:rPr>
      </w:pPr>
    </w:p>
    <w:p w14:paraId="2DF3AC83" w14:textId="77777777" w:rsidR="00846DE7" w:rsidRDefault="00846DE7" w:rsidP="005B72F7">
      <w:pPr>
        <w:pStyle w:val="Heading1"/>
        <w:jc w:val="both"/>
        <w:rPr>
          <w:rFonts w:ascii="Calibri" w:hAnsi="Calibri"/>
        </w:rPr>
      </w:pPr>
      <w:bookmarkStart w:id="28" w:name="_Appendix_4"/>
      <w:bookmarkEnd w:id="28"/>
      <w:r>
        <w:rPr>
          <w:rFonts w:ascii="Calibri" w:hAnsi="Calibri"/>
        </w:rPr>
        <w:t xml:space="preserve">Appendix </w:t>
      </w:r>
      <w:r w:rsidR="008B6367">
        <w:rPr>
          <w:rFonts w:ascii="Calibri" w:hAnsi="Calibri"/>
        </w:rPr>
        <w:t>4</w:t>
      </w:r>
    </w:p>
    <w:p w14:paraId="782DEE96" w14:textId="77777777" w:rsidR="00846DE7" w:rsidRPr="008B6367" w:rsidRDefault="00846DE7" w:rsidP="005B72F7">
      <w:pPr>
        <w:pStyle w:val="Heading1"/>
        <w:jc w:val="both"/>
        <w:rPr>
          <w:rFonts w:ascii="Calibri" w:hAnsi="Calibri"/>
          <w:sz w:val="24"/>
          <w:szCs w:val="24"/>
        </w:rPr>
      </w:pPr>
    </w:p>
    <w:p w14:paraId="1526D7E5" w14:textId="77777777" w:rsidR="00846DE7" w:rsidRDefault="00846DE7" w:rsidP="005B72F7">
      <w:pPr>
        <w:pStyle w:val="Heading1"/>
        <w:jc w:val="both"/>
        <w:rPr>
          <w:rFonts w:ascii="Calibri" w:hAnsi="Calibri"/>
        </w:rPr>
      </w:pPr>
      <w:r>
        <w:rPr>
          <w:rFonts w:ascii="Calibri" w:hAnsi="Calibri"/>
        </w:rPr>
        <w:t>Review of the evidence for lamotrigine</w:t>
      </w:r>
    </w:p>
    <w:p w14:paraId="0E353925" w14:textId="77777777" w:rsidR="00846DE7" w:rsidRDefault="00846DE7" w:rsidP="005B72F7">
      <w:pPr>
        <w:jc w:val="both"/>
      </w:pPr>
    </w:p>
    <w:p w14:paraId="2ADE08D3" w14:textId="77777777" w:rsidR="00903030" w:rsidRPr="00911F44" w:rsidRDefault="00903030" w:rsidP="005B72F7">
      <w:pPr>
        <w:jc w:val="both"/>
        <w:rPr>
          <w:rFonts w:ascii="Calibri" w:hAnsi="Calibri"/>
          <w:color w:val="000000"/>
        </w:rPr>
      </w:pPr>
      <w:r w:rsidRPr="00911F44">
        <w:rPr>
          <w:rFonts w:ascii="Calibri" w:hAnsi="Calibri"/>
          <w:color w:val="000000"/>
        </w:rPr>
        <w:t xml:space="preserve">A small bioequivalence study took place in Denmark following mandatory generic substitution in April 2005.  </w:t>
      </w:r>
      <w:r w:rsidRPr="00911F44">
        <w:rPr>
          <w:rFonts w:ascii="Calibri" w:hAnsi="Calibri"/>
        </w:rPr>
        <w:t xml:space="preserve">To exempt patients from mandatory substitution, the Danish Medicines Agency requests documentation of pharmacokinetic deviations.  </w:t>
      </w:r>
      <w:r w:rsidRPr="00911F44">
        <w:rPr>
          <w:rFonts w:ascii="Calibri" w:hAnsi="Calibri"/>
          <w:color w:val="000000"/>
        </w:rPr>
        <w:t xml:space="preserve">The Danish Medicines Agency bioequivalence standard for generic antiepileptic drugs is a 90% confidence interval for the average pharmacokinetic value to be within 90–111% of the reference (brand) pharmacokinetic value. </w:t>
      </w:r>
    </w:p>
    <w:p w14:paraId="23054BF7" w14:textId="77777777" w:rsidR="00903030" w:rsidRPr="00911F44" w:rsidRDefault="00903030" w:rsidP="005B72F7">
      <w:pPr>
        <w:jc w:val="both"/>
        <w:rPr>
          <w:rFonts w:ascii="Calibri" w:hAnsi="Calibri"/>
          <w:color w:val="000000"/>
        </w:rPr>
      </w:pPr>
    </w:p>
    <w:p w14:paraId="1D3FF6E2" w14:textId="77777777" w:rsidR="00903030" w:rsidRPr="00911F44" w:rsidRDefault="00903030" w:rsidP="005B72F7">
      <w:pPr>
        <w:autoSpaceDE w:val="0"/>
        <w:autoSpaceDN w:val="0"/>
        <w:adjustRightInd w:val="0"/>
        <w:jc w:val="both"/>
        <w:rPr>
          <w:rFonts w:ascii="Calibri" w:hAnsi="Calibri"/>
        </w:rPr>
      </w:pPr>
      <w:r w:rsidRPr="00911F44">
        <w:rPr>
          <w:rFonts w:ascii="Calibri" w:hAnsi="Calibri"/>
        </w:rPr>
        <w:t xml:space="preserve">Nine patients on lamotrigine therapy took part in the study:  8 had reported problems they attributed to the generic and 1 patient was afraid of changing lamotrigine.  </w:t>
      </w:r>
      <w:r w:rsidRPr="00911F44">
        <w:rPr>
          <w:rFonts w:ascii="Calibri" w:hAnsi="Calibri"/>
          <w:color w:val="000000"/>
        </w:rPr>
        <w:t xml:space="preserve">5 of 9 patients showed </w:t>
      </w:r>
      <w:r>
        <w:rPr>
          <w:rFonts w:ascii="Calibri" w:hAnsi="Calibri"/>
          <w:color w:val="000000"/>
        </w:rPr>
        <w:t>pharmacokinetic</w:t>
      </w:r>
      <w:r w:rsidRPr="00911F44">
        <w:rPr>
          <w:rFonts w:ascii="Calibri" w:hAnsi="Calibri"/>
          <w:color w:val="000000"/>
        </w:rPr>
        <w:t xml:space="preserve"> deviations beyond the limits set by the Danish Medicines Agency in at least one relevant parameter. In three of these patients the differences (Cmax +21%; Cmin -12% and Cmax -17%; Cmin -17%, AUC -16 / -12%) and were consistent with reports of consequences, i.e. seizure in a seizure-free patient, status epilepticus in another, and gait ataxia with falls, skull fracture, and epidural haematoma in the third. In two other patients the differences (AUC -13%; Cmin +16%) did not explain the complaint.  In one patient co-medicated with valproic acid, changes in Cmax and tmax were consistent with a spontaneous report of transient morning ataxia, even though Cmax deviations between the lamotrigine preparations were below 10%. Of the three remaining patients for whom the preparations were fully bioequivalent, one had made no complaints but asked for a prophylactic investigation, the second had made vague and clinically unconvincing complaints, whereas the third had convincingly reported an increase in seizures. However, she had received several generic preparations, and it is possible that the generic investigated was not the one that caused the problem.</w:t>
      </w:r>
    </w:p>
    <w:p w14:paraId="39EEFFC3" w14:textId="77777777" w:rsidR="00903030" w:rsidRPr="008B6367" w:rsidRDefault="00903030" w:rsidP="005B72F7">
      <w:pPr>
        <w:autoSpaceDE w:val="0"/>
        <w:autoSpaceDN w:val="0"/>
        <w:adjustRightInd w:val="0"/>
        <w:jc w:val="both"/>
        <w:rPr>
          <w:rFonts w:ascii="Calibri" w:hAnsi="Calibri"/>
        </w:rPr>
      </w:pPr>
    </w:p>
    <w:p w14:paraId="20D6B681" w14:textId="77777777" w:rsidR="00903030" w:rsidRPr="008B6367" w:rsidRDefault="00903030" w:rsidP="005B72F7">
      <w:pPr>
        <w:autoSpaceDE w:val="0"/>
        <w:autoSpaceDN w:val="0"/>
        <w:adjustRightInd w:val="0"/>
        <w:jc w:val="both"/>
        <w:rPr>
          <w:rFonts w:ascii="Calibri" w:hAnsi="Calibri"/>
        </w:rPr>
      </w:pPr>
      <w:r w:rsidRPr="008B6367">
        <w:rPr>
          <w:rFonts w:ascii="Calibri" w:hAnsi="Calibri"/>
        </w:rPr>
        <w:t>In this small group of patients, one particular generic preparation was bioequivalent in one patient, yet had a significantly higher bioavailability in another patient. These observations favour deviations being largely due to individual, currently undefined factors of absorption interacting with the formulation of the preparations.</w:t>
      </w:r>
    </w:p>
    <w:p w14:paraId="68244475" w14:textId="77777777" w:rsidR="00903030" w:rsidRPr="008B6367" w:rsidRDefault="00903030" w:rsidP="005B72F7">
      <w:pPr>
        <w:autoSpaceDE w:val="0"/>
        <w:autoSpaceDN w:val="0"/>
        <w:adjustRightInd w:val="0"/>
        <w:jc w:val="both"/>
        <w:rPr>
          <w:rFonts w:ascii="Calibri" w:hAnsi="Calibri"/>
        </w:rPr>
      </w:pPr>
      <w:r w:rsidRPr="008B6367">
        <w:rPr>
          <w:rFonts w:ascii="Calibri" w:hAnsi="Calibri"/>
        </w:rPr>
        <w:t xml:space="preserve">If the usual bioequivalence range of 80–125% (with 90% confidence intervals) were applied, the deviations related to these serious complications would be considered consistent with bioequivalence. (Nielsen 2008) </w:t>
      </w:r>
    </w:p>
    <w:p w14:paraId="5263354A" w14:textId="77777777" w:rsidR="00903030" w:rsidRPr="008B6367" w:rsidRDefault="00903030" w:rsidP="005B72F7">
      <w:pPr>
        <w:autoSpaceDE w:val="0"/>
        <w:autoSpaceDN w:val="0"/>
        <w:adjustRightInd w:val="0"/>
        <w:jc w:val="both"/>
        <w:rPr>
          <w:rFonts w:ascii="Calibri" w:hAnsi="Calibri" w:cs="AdvGulliv-R"/>
        </w:rPr>
      </w:pPr>
    </w:p>
    <w:p w14:paraId="43002A3B" w14:textId="77777777" w:rsidR="00903030" w:rsidRPr="008B6367" w:rsidRDefault="00903030" w:rsidP="005B72F7">
      <w:pPr>
        <w:autoSpaceDE w:val="0"/>
        <w:autoSpaceDN w:val="0"/>
        <w:adjustRightInd w:val="0"/>
        <w:jc w:val="both"/>
        <w:rPr>
          <w:rFonts w:ascii="Calibri" w:hAnsi="Calibri"/>
          <w:color w:val="000000"/>
        </w:rPr>
      </w:pPr>
      <w:r w:rsidRPr="008B6367">
        <w:rPr>
          <w:rFonts w:ascii="Calibri" w:hAnsi="Calibri"/>
          <w:color w:val="000000"/>
        </w:rPr>
        <w:t xml:space="preserve">A randomised, single dose, crossover, bioequivalence study in Thailand investigated the pharmacokinetic parameters between brand lamotrigine (Lamictal) and generic (Lamidus, India) in 24 healthy, Thai, male volunteers.  Each volunteer received a single dose of 100mg lamotrigine then after two weeks the second 100mg lamotrigine.  </w:t>
      </w:r>
    </w:p>
    <w:p w14:paraId="7860E4CF" w14:textId="77777777" w:rsidR="00903030" w:rsidRPr="008B6367" w:rsidRDefault="00903030" w:rsidP="005B72F7">
      <w:pPr>
        <w:autoSpaceDE w:val="0"/>
        <w:autoSpaceDN w:val="0"/>
        <w:adjustRightInd w:val="0"/>
        <w:jc w:val="both"/>
        <w:rPr>
          <w:rFonts w:ascii="Calibri" w:hAnsi="Calibri"/>
          <w:color w:val="000000"/>
        </w:rPr>
      </w:pPr>
    </w:p>
    <w:p w14:paraId="3836CF10" w14:textId="77777777" w:rsidR="00903030" w:rsidRPr="008B6367" w:rsidRDefault="00903030" w:rsidP="005B72F7">
      <w:pPr>
        <w:autoSpaceDE w:val="0"/>
        <w:autoSpaceDN w:val="0"/>
        <w:adjustRightInd w:val="0"/>
        <w:jc w:val="both"/>
        <w:rPr>
          <w:rFonts w:ascii="Calibri" w:hAnsi="Calibri"/>
          <w:color w:val="000000"/>
        </w:rPr>
      </w:pPr>
      <w:r w:rsidRPr="008B6367">
        <w:rPr>
          <w:rFonts w:ascii="Calibri" w:hAnsi="Calibri"/>
          <w:color w:val="000000"/>
        </w:rPr>
        <w:t>The mean AUC</w:t>
      </w:r>
      <w:r w:rsidRPr="008B6367">
        <w:rPr>
          <w:rFonts w:ascii="Calibri" w:hAnsi="Calibri"/>
          <w:color w:val="000000"/>
          <w:vertAlign w:val="subscript"/>
        </w:rPr>
        <w:t>0-t</w:t>
      </w:r>
      <w:r w:rsidRPr="008B6367">
        <w:rPr>
          <w:rFonts w:ascii="Calibri" w:hAnsi="Calibri"/>
          <w:color w:val="000000"/>
        </w:rPr>
        <w:t xml:space="preserve"> for the generic was 67.1 mcg/ml (SD 13.2) (%CV 19.6) compared to 66.4 mcg/ml (SD 14.6) (%CV 22) for the brand.  The mean AUC</w:t>
      </w:r>
      <w:r w:rsidRPr="008B6367">
        <w:rPr>
          <w:rFonts w:ascii="Calibri" w:hAnsi="Calibri"/>
          <w:color w:val="000000"/>
          <w:vertAlign w:val="subscript"/>
        </w:rPr>
        <w:t>0-∞</w:t>
      </w:r>
      <w:r w:rsidRPr="008B6367">
        <w:rPr>
          <w:rFonts w:ascii="Calibri" w:hAnsi="Calibri"/>
          <w:color w:val="000000"/>
        </w:rPr>
        <w:t xml:space="preserve"> for the generic was 74.9 mcg/ml (SD 18.3) (%CV 24.4) compared to 74.3 mcg/ml (SD 20.5) (%CV 27.6) for the brand.  The mean Cmax for the generic was 1.7 mcg/ml (SD 0.3) (%CV 17.3) compared to 1.7 mcg/ml (SD 0.3) (%CV 17.8) for the brand.  The mean Tmax for the generic was 1.2 mcg/ml (SD 0.9) (%CV 75.3) compared to 1.4 mcg/ml (SD 1.0)(CV 71.6) for the brand.  The mean half life for the generic was 35 mcg/ml (SD 7.6)(%CV 21.7) compared to 34.7mcg/ml (SD 7.6)(%CV 22.0) for the brand.</w:t>
      </w:r>
      <w:r w:rsidRPr="008B6367">
        <w:rPr>
          <w:rFonts w:ascii="Calibri" w:hAnsi="Calibri"/>
          <w:color w:val="000000"/>
        </w:rPr>
        <w:tab/>
      </w:r>
    </w:p>
    <w:p w14:paraId="29B26803" w14:textId="77777777" w:rsidR="00903030" w:rsidRPr="008B6367" w:rsidRDefault="00903030" w:rsidP="005B72F7">
      <w:pPr>
        <w:autoSpaceDE w:val="0"/>
        <w:autoSpaceDN w:val="0"/>
        <w:adjustRightInd w:val="0"/>
        <w:jc w:val="both"/>
        <w:rPr>
          <w:rFonts w:ascii="Calibri" w:hAnsi="Calibri"/>
          <w:color w:val="000000"/>
        </w:rPr>
      </w:pPr>
    </w:p>
    <w:p w14:paraId="3C4D14B4" w14:textId="77777777" w:rsidR="00903030" w:rsidRPr="008B6367" w:rsidRDefault="00903030" w:rsidP="005B72F7">
      <w:pPr>
        <w:autoSpaceDE w:val="0"/>
        <w:autoSpaceDN w:val="0"/>
        <w:adjustRightInd w:val="0"/>
        <w:jc w:val="both"/>
        <w:rPr>
          <w:rFonts w:ascii="Calibri" w:hAnsi="Calibri"/>
          <w:color w:val="000000"/>
        </w:rPr>
      </w:pPr>
      <w:r w:rsidRPr="008B6367">
        <w:rPr>
          <w:rFonts w:ascii="Calibri" w:hAnsi="Calibri"/>
          <w:color w:val="000000"/>
        </w:rPr>
        <w:t>The study participants were healthy volunteers under test conditions (wrt meals, water intake, dosing sat upright, body size, age, lack of medical conditions etc). The AUC and Cmax found no significant difference between the generic and brand lamotrigine and the authors concluded they were bioequivalent. (Srichaiya  2008)</w:t>
      </w:r>
    </w:p>
    <w:p w14:paraId="74202085" w14:textId="77777777" w:rsidR="00903030" w:rsidRPr="008B6367" w:rsidRDefault="00903030" w:rsidP="005B72F7">
      <w:pPr>
        <w:jc w:val="both"/>
        <w:rPr>
          <w:rFonts w:ascii="Calibri" w:hAnsi="Calibri"/>
        </w:rPr>
      </w:pPr>
    </w:p>
    <w:p w14:paraId="0F8C7413" w14:textId="77777777" w:rsidR="00903030" w:rsidRPr="008B6367" w:rsidRDefault="00903030" w:rsidP="005B72F7">
      <w:pPr>
        <w:autoSpaceDE w:val="0"/>
        <w:autoSpaceDN w:val="0"/>
        <w:adjustRightInd w:val="0"/>
        <w:jc w:val="both"/>
        <w:rPr>
          <w:rFonts w:ascii="Calibri" w:hAnsi="Calibri"/>
        </w:rPr>
      </w:pPr>
      <w:r w:rsidRPr="008B6367">
        <w:rPr>
          <w:rFonts w:ascii="Calibri" w:hAnsi="Calibri"/>
          <w:color w:val="000000"/>
        </w:rPr>
        <w:t>A Canadian study survey of pharmacists took place in Ontario where there is mandatory switching between brand and generic lamotrigine and patients can only be switched back to brand if an adverse-reaction form is completed by their physician.  The investigators retrieved 14 adverse-reactions forms (from 71 pharmacies) for patients switched back to brand between January 20</w:t>
      </w:r>
      <w:r w:rsidRPr="008B6367">
        <w:rPr>
          <w:rFonts w:ascii="Calibri" w:hAnsi="Calibri"/>
        </w:rPr>
        <w:t xml:space="preserve">03 and December 2004.  </w:t>
      </w:r>
      <w:r w:rsidRPr="008B6367">
        <w:rPr>
          <w:rFonts w:ascii="Calibri" w:hAnsi="Calibri"/>
          <w:color w:val="000000"/>
        </w:rPr>
        <w:t>In 11 (79%) cases there was loss of seizure control while on generic lamotrigine and in 8/10 cases seizure control was recovered after branded lamotrigine was reinstated.   In 1 case, anxiety, mood swings and dizziness were cited as additional reasons.</w:t>
      </w:r>
    </w:p>
    <w:p w14:paraId="1A4DA3CB" w14:textId="77777777" w:rsidR="00903030" w:rsidRPr="008B6367" w:rsidRDefault="00903030" w:rsidP="005B72F7">
      <w:pPr>
        <w:autoSpaceDE w:val="0"/>
        <w:autoSpaceDN w:val="0"/>
        <w:adjustRightInd w:val="0"/>
        <w:jc w:val="both"/>
        <w:rPr>
          <w:rFonts w:ascii="Calibri" w:hAnsi="Calibri"/>
          <w:color w:val="000000"/>
        </w:rPr>
      </w:pPr>
    </w:p>
    <w:p w14:paraId="2F9160A3" w14:textId="77777777" w:rsidR="00903030" w:rsidRPr="008B6367" w:rsidRDefault="00903030" w:rsidP="005B72F7">
      <w:pPr>
        <w:autoSpaceDE w:val="0"/>
        <w:autoSpaceDN w:val="0"/>
        <w:adjustRightInd w:val="0"/>
        <w:jc w:val="both"/>
        <w:rPr>
          <w:rFonts w:ascii="Calibri" w:hAnsi="Calibri"/>
        </w:rPr>
      </w:pPr>
      <w:r w:rsidRPr="008B6367">
        <w:rPr>
          <w:rFonts w:ascii="Calibri" w:hAnsi="Calibri"/>
          <w:color w:val="000000"/>
        </w:rPr>
        <w:t xml:space="preserve">The investigators also surveyed 544 neurologists and primary care doctors across Canada with a 17% response rate.  They found that 5 (5%) of 95 respondents had filed an adverse-reaction form in the previous 12 months to specify that a patient be dispensed branded lamotrigine (not all states in Canada require these forms).  Six physicians provided outcomes for 9 patients and the range of generic use of lamotrigine was 3 to 224 days.  In 7 patients lamotrigine was part of polytherapy AED.  In 8 patients, loss of seizure control was recorded as the reason for switching back to branded lamotrigine, and 7 of these regained seizure control with switchback to brand.  The remaining patient experienced an adverse effect (“high” feeling). (Makus </w:t>
      </w:r>
      <w:r w:rsidRPr="008B6367">
        <w:rPr>
          <w:rFonts w:ascii="Calibri" w:hAnsi="Calibri"/>
          <w:bCs/>
        </w:rPr>
        <w:t>2007)</w:t>
      </w:r>
    </w:p>
    <w:p w14:paraId="77352866" w14:textId="77777777" w:rsidR="00846DE7" w:rsidRPr="008B6367" w:rsidRDefault="00846DE7" w:rsidP="005B72F7">
      <w:pPr>
        <w:jc w:val="both"/>
        <w:rPr>
          <w:rFonts w:ascii="Calibri" w:hAnsi="Calibri"/>
        </w:rPr>
      </w:pPr>
    </w:p>
    <w:p w14:paraId="4D5BD36E" w14:textId="77777777" w:rsidR="00512A25" w:rsidRPr="008B6367" w:rsidRDefault="00512A25" w:rsidP="005B72F7">
      <w:pPr>
        <w:autoSpaceDE w:val="0"/>
        <w:autoSpaceDN w:val="0"/>
        <w:adjustRightInd w:val="0"/>
        <w:jc w:val="both"/>
        <w:rPr>
          <w:rFonts w:ascii="Calibri" w:hAnsi="Calibri"/>
          <w:color w:val="000000"/>
        </w:rPr>
      </w:pPr>
      <w:r w:rsidRPr="008B6367">
        <w:rPr>
          <w:rFonts w:ascii="Calibri" w:hAnsi="Calibri"/>
        </w:rPr>
        <w:t xml:space="preserve">A Canadian study analysed </w:t>
      </w:r>
      <w:r w:rsidRPr="008B6367">
        <w:rPr>
          <w:rFonts w:ascii="Calibri" w:hAnsi="Calibri" w:cs="Times-Roman"/>
        </w:rPr>
        <w:t xml:space="preserve">prescription drug dispensing claims paid for by the Ontario Drug Benefit (ODB) Formulary to identify patients on lamotrigine, clobazam or valproic acid / divalproex in January 2002 to March 2006.  Rates of switch back to brand were determined [Lamictal, Frisium and Depakene (VPA; divalproex)] and these were compared with non-AED long-term therapies, antihyperlipidemics and antidepressants.  </w:t>
      </w:r>
      <w:r w:rsidRPr="008B6367">
        <w:rPr>
          <w:rFonts w:ascii="Calibri" w:hAnsi="Calibri"/>
          <w:color w:val="000000"/>
        </w:rPr>
        <w:t xml:space="preserve">There were 1354 generic lamotrigine patients (403 monotherapy and 951 polytherapy).  </w:t>
      </w:r>
      <w:r w:rsidRPr="008B6367">
        <w:rPr>
          <w:rFonts w:ascii="Calibri" w:hAnsi="Calibri" w:cs="Times-Roman"/>
        </w:rPr>
        <w:t xml:space="preserve">AEDs had much higher switchback rates compared with other long-term drugs.  The switchback rate for lamotrigine was </w:t>
      </w:r>
      <w:r w:rsidRPr="008B6367">
        <w:rPr>
          <w:rFonts w:ascii="Calibri" w:hAnsi="Calibri"/>
          <w:color w:val="000000"/>
        </w:rPr>
        <w:t xml:space="preserve">12.9% (11.7% in the monotherapy group and 13.4% in the polytherapy group).  Switchback rates for </w:t>
      </w:r>
      <w:r w:rsidRPr="008B6367">
        <w:rPr>
          <w:rFonts w:ascii="Calibri" w:hAnsi="Calibri" w:cs="Times-Roman"/>
        </w:rPr>
        <w:t xml:space="preserve">valproic acid / divalproex were 20.9% and clobazam 20.7%.  The switchback rates for non-AEDs were substantially lower at 1.5–2.9%.  </w:t>
      </w:r>
      <w:r w:rsidRPr="008B6367">
        <w:rPr>
          <w:rFonts w:ascii="Calibri" w:hAnsi="Calibri"/>
        </w:rPr>
        <w:t>The lack of medical claims data prevented the identification of epilepsy as the indication for the lamotrigine, other AEDs and also any confounding comorbid conditions.  (</w:t>
      </w:r>
      <w:r w:rsidRPr="008B6367">
        <w:rPr>
          <w:rFonts w:ascii="Calibri" w:hAnsi="Calibri"/>
          <w:color w:val="000000"/>
        </w:rPr>
        <w:t>Andermann</w:t>
      </w:r>
      <w:r w:rsidRPr="008B6367">
        <w:rPr>
          <w:rFonts w:ascii="Calibri" w:hAnsi="Calibri"/>
          <w:iCs/>
          <w:color w:val="000000"/>
        </w:rPr>
        <w:t xml:space="preserve"> </w:t>
      </w:r>
      <w:r w:rsidRPr="008B6367">
        <w:rPr>
          <w:rFonts w:ascii="Calibri" w:hAnsi="Calibri"/>
          <w:color w:val="000000"/>
        </w:rPr>
        <w:t xml:space="preserve">2007) </w:t>
      </w:r>
    </w:p>
    <w:p w14:paraId="56CAFEE6" w14:textId="77777777" w:rsidR="00512A25" w:rsidRPr="008B6367" w:rsidRDefault="00512A25" w:rsidP="005B72F7">
      <w:pPr>
        <w:autoSpaceDE w:val="0"/>
        <w:autoSpaceDN w:val="0"/>
        <w:adjustRightInd w:val="0"/>
        <w:jc w:val="both"/>
        <w:rPr>
          <w:rFonts w:ascii="Calibri" w:hAnsi="Calibri"/>
          <w:color w:val="FF0000"/>
        </w:rPr>
      </w:pPr>
    </w:p>
    <w:p w14:paraId="44A19286" w14:textId="77777777" w:rsidR="00512A25" w:rsidRPr="008B6367" w:rsidRDefault="00512A25" w:rsidP="005B72F7">
      <w:pPr>
        <w:jc w:val="both"/>
        <w:rPr>
          <w:rFonts w:ascii="Calibri" w:hAnsi="Calibri"/>
        </w:rPr>
      </w:pPr>
      <w:r w:rsidRPr="008B6367">
        <w:rPr>
          <w:rFonts w:ascii="Calibri" w:hAnsi="Calibri"/>
        </w:rPr>
        <w:t>A Canadian study used medical and pharmacy claims data from Re´gie de l’Assurance Maladie du Que´bec database between April 1998 and July 2006.  Switchback rates were calculated for patients returning to brand after using generic drugs for lamotrigine compared to other AEDs (clobazam, carbamazepine CR, gabapentin) and non-AED chronic medications (carvedilol, fosinopril, simvastatin).  Medical resource utilisation was compared between periods of branded vs generic use of lamotrigine.</w:t>
      </w:r>
    </w:p>
    <w:p w14:paraId="057EF7C6" w14:textId="77777777" w:rsidR="00512A25" w:rsidRPr="008B6367" w:rsidRDefault="00512A25" w:rsidP="005B72F7">
      <w:pPr>
        <w:autoSpaceDE w:val="0"/>
        <w:autoSpaceDN w:val="0"/>
        <w:adjustRightInd w:val="0"/>
        <w:jc w:val="both"/>
        <w:rPr>
          <w:rFonts w:ascii="Calibri" w:hAnsi="Calibri"/>
        </w:rPr>
      </w:pPr>
      <w:r w:rsidRPr="008B6367">
        <w:rPr>
          <w:rFonts w:ascii="Calibri" w:hAnsi="Calibri"/>
        </w:rPr>
        <w:t>187 (27.9%) of 671 patients treated with branded lamotrigine were switched to a generic, and 51 of these patients (27.5%) switched back to the brand.   Rates of switchback were from 20.8% to 44.1% for the other AEDs and from 7.7% to 9.1% for non-AEDs.  555 (82.5%) of lamotrigine patients were on polytherapy compared to 52.8 – 93.9% for other AEDs and 2.2 – 3% for non-AEDs.</w:t>
      </w:r>
    </w:p>
    <w:p w14:paraId="72F41947" w14:textId="77777777" w:rsidR="00512A25" w:rsidRPr="008B6367" w:rsidRDefault="00512A25" w:rsidP="005B72F7">
      <w:pPr>
        <w:autoSpaceDE w:val="0"/>
        <w:autoSpaceDN w:val="0"/>
        <w:adjustRightInd w:val="0"/>
        <w:jc w:val="both"/>
        <w:rPr>
          <w:rFonts w:ascii="Calibri" w:hAnsi="Calibri"/>
          <w:color w:val="000000"/>
        </w:rPr>
      </w:pPr>
      <w:r w:rsidRPr="008B6367">
        <w:rPr>
          <w:rFonts w:ascii="Calibri" w:hAnsi="Calibri"/>
        </w:rPr>
        <w:t xml:space="preserve">Relative to the branded lamotrigine use period, generic lamotrigine use period was associated with: a 5.1% increase in mean daily dose of lamotrigine (239.1 vs 251.4 mg; </w:t>
      </w:r>
      <w:r w:rsidRPr="008B6367">
        <w:rPr>
          <w:rFonts w:ascii="Calibri" w:hAnsi="Calibri"/>
          <w:iCs/>
        </w:rPr>
        <w:t>p</w:t>
      </w:r>
      <w:r w:rsidRPr="008B6367">
        <w:rPr>
          <w:rFonts w:ascii="Calibri" w:hAnsi="Calibri"/>
          <w:i/>
          <w:iCs/>
        </w:rPr>
        <w:t xml:space="preserve"> </w:t>
      </w:r>
      <w:r w:rsidRPr="008B6367">
        <w:rPr>
          <w:rFonts w:ascii="Calibri" w:hAnsi="Calibri"/>
        </w:rPr>
        <w:t xml:space="preserve">= 0.0149); a higher number of dispensations for other AEDs (20.4 vs 23.9 dispensations per person-year; </w:t>
      </w:r>
      <w:r w:rsidRPr="008B6367">
        <w:rPr>
          <w:rFonts w:ascii="Calibri" w:hAnsi="Calibri"/>
          <w:iCs/>
        </w:rPr>
        <w:t>p</w:t>
      </w:r>
      <w:r w:rsidRPr="008B6367">
        <w:rPr>
          <w:rFonts w:ascii="Calibri" w:hAnsi="Calibri"/>
          <w:i/>
          <w:iCs/>
        </w:rPr>
        <w:t xml:space="preserve"> </w:t>
      </w:r>
      <w:r w:rsidRPr="008B6367">
        <w:rPr>
          <w:rFonts w:ascii="Calibri" w:hAnsi="Calibri"/>
        </w:rPr>
        <w:t xml:space="preserve">&lt; 0.001), as well as non-AED drugs (26.4 vs 32.8 dispensations per person-year; </w:t>
      </w:r>
      <w:r w:rsidRPr="008B6367">
        <w:rPr>
          <w:rFonts w:ascii="Calibri" w:hAnsi="Calibri"/>
          <w:iCs/>
        </w:rPr>
        <w:t>p</w:t>
      </w:r>
      <w:r w:rsidRPr="008B6367">
        <w:rPr>
          <w:rFonts w:ascii="Calibri" w:hAnsi="Calibri"/>
          <w:i/>
          <w:iCs/>
        </w:rPr>
        <w:t xml:space="preserve"> </w:t>
      </w:r>
      <w:r w:rsidRPr="008B6367">
        <w:rPr>
          <w:rFonts w:ascii="Calibri" w:hAnsi="Calibri"/>
        </w:rPr>
        <w:t xml:space="preserve">&lt; 0.0001); a higher utilisation rate of medical services (8.7 vs 9.8 visits per person-year; </w:t>
      </w:r>
      <w:r w:rsidRPr="008B6367">
        <w:rPr>
          <w:rFonts w:ascii="Calibri" w:hAnsi="Calibri"/>
          <w:iCs/>
        </w:rPr>
        <w:t xml:space="preserve">p </w:t>
      </w:r>
      <w:r w:rsidRPr="008B6367">
        <w:rPr>
          <w:rFonts w:ascii="Calibri" w:hAnsi="Calibri"/>
        </w:rPr>
        <w:t xml:space="preserve">&lt; 0.0001)  Rates of hospitalisation was not significantly different however longer hospital length of stay (3.29 days vs 4.86 days per person-year; </w:t>
      </w:r>
      <w:r w:rsidRPr="008B6367">
        <w:rPr>
          <w:rFonts w:ascii="Calibri" w:hAnsi="Calibri"/>
          <w:iCs/>
        </w:rPr>
        <w:t>p</w:t>
      </w:r>
      <w:r w:rsidRPr="008B6367">
        <w:rPr>
          <w:rFonts w:ascii="Calibri" w:hAnsi="Calibri"/>
          <w:i/>
          <w:iCs/>
        </w:rPr>
        <w:t xml:space="preserve"> </w:t>
      </w:r>
      <w:r w:rsidRPr="008B6367">
        <w:rPr>
          <w:rFonts w:ascii="Calibri" w:hAnsi="Calibri"/>
        </w:rPr>
        <w:t xml:space="preserve">&lt; 0.0001) was associated with generic lamotrigine.  Outpatient visits were more frequent during the generic period compared to the brand periods (9.25 vs 8.24 visits per person per year </w:t>
      </w:r>
      <w:r w:rsidRPr="008B6367">
        <w:rPr>
          <w:rFonts w:ascii="Calibri" w:hAnsi="Calibri"/>
          <w:iCs/>
        </w:rPr>
        <w:t>p</w:t>
      </w:r>
      <w:r w:rsidRPr="008B6367">
        <w:rPr>
          <w:rFonts w:ascii="Calibri" w:hAnsi="Calibri"/>
          <w:i/>
          <w:iCs/>
        </w:rPr>
        <w:t xml:space="preserve"> </w:t>
      </w:r>
      <w:r w:rsidRPr="008B6367">
        <w:rPr>
          <w:rFonts w:ascii="Calibri" w:hAnsi="Calibri"/>
        </w:rPr>
        <w:t>&lt; 0.0001).</w:t>
      </w:r>
    </w:p>
    <w:p w14:paraId="197ABB65" w14:textId="77777777" w:rsidR="00512A25" w:rsidRPr="008B6367" w:rsidRDefault="00512A25" w:rsidP="005B72F7">
      <w:pPr>
        <w:autoSpaceDE w:val="0"/>
        <w:autoSpaceDN w:val="0"/>
        <w:adjustRightInd w:val="0"/>
        <w:jc w:val="both"/>
        <w:rPr>
          <w:rFonts w:ascii="Calibri" w:hAnsi="Calibri"/>
        </w:rPr>
      </w:pPr>
    </w:p>
    <w:p w14:paraId="1473DC3F" w14:textId="77777777" w:rsidR="00512A25" w:rsidRPr="008B6367" w:rsidRDefault="00512A25" w:rsidP="005B72F7">
      <w:pPr>
        <w:autoSpaceDE w:val="0"/>
        <w:autoSpaceDN w:val="0"/>
        <w:adjustRightInd w:val="0"/>
        <w:jc w:val="both"/>
        <w:rPr>
          <w:rFonts w:ascii="Calibri" w:hAnsi="Calibri"/>
          <w:color w:val="000000"/>
        </w:rPr>
      </w:pPr>
      <w:r w:rsidRPr="008B6367">
        <w:rPr>
          <w:rFonts w:ascii="Calibri" w:hAnsi="Calibri"/>
        </w:rPr>
        <w:t>Que´bec has greater permissiveness in allowing individuals to switch between brand and generic medications compared to Ontario, where generic substitution is compulsory, and a letter of medical necessity is required for patients to switch back to brand from generic product.  (</w:t>
      </w:r>
      <w:r w:rsidRPr="008B6367">
        <w:rPr>
          <w:rFonts w:ascii="Calibri" w:hAnsi="Calibri"/>
          <w:color w:val="000000"/>
        </w:rPr>
        <w:t>LeLorier Neurology 2008)</w:t>
      </w:r>
    </w:p>
    <w:p w14:paraId="3BD52C76" w14:textId="77777777" w:rsidR="00512A25" w:rsidRPr="008B6367" w:rsidRDefault="00512A25" w:rsidP="005B72F7">
      <w:pPr>
        <w:jc w:val="both"/>
        <w:rPr>
          <w:rFonts w:ascii="Calibri" w:hAnsi="Calibri"/>
        </w:rPr>
      </w:pPr>
    </w:p>
    <w:p w14:paraId="7C1780F5" w14:textId="77777777" w:rsidR="00512A25" w:rsidRPr="008B6367" w:rsidRDefault="00512A25" w:rsidP="005B72F7">
      <w:pPr>
        <w:autoSpaceDE w:val="0"/>
        <w:autoSpaceDN w:val="0"/>
        <w:adjustRightInd w:val="0"/>
        <w:jc w:val="both"/>
        <w:rPr>
          <w:rFonts w:ascii="Calibri" w:hAnsi="Calibri"/>
        </w:rPr>
      </w:pPr>
      <w:r w:rsidRPr="008B6367">
        <w:rPr>
          <w:rStyle w:val="article-articlebody"/>
          <w:rFonts w:ascii="Calibri" w:hAnsi="Calibri"/>
        </w:rPr>
        <w:t xml:space="preserve">A </w:t>
      </w:r>
      <w:r w:rsidRPr="008B6367">
        <w:rPr>
          <w:rFonts w:ascii="Calibri" w:hAnsi="Calibri"/>
        </w:rPr>
        <w:t>large</w:t>
      </w:r>
      <w:r w:rsidRPr="008B6367">
        <w:rPr>
          <w:rStyle w:val="article-articlebody"/>
          <w:rFonts w:ascii="Calibri" w:hAnsi="Calibri"/>
        </w:rPr>
        <w:t xml:space="preserve"> US </w:t>
      </w:r>
      <w:r w:rsidRPr="008B6367">
        <w:rPr>
          <w:rFonts w:ascii="Calibri" w:hAnsi="Calibri"/>
        </w:rPr>
        <w:t>retrospective cohort analysis used pharmacy and medical claims and enrolment data from a claims database (Medicare) between 2002 and 2008.  Epileptic patients taking divalproex, lamotrigine and phenytoin were studied and divided into cohorts of patients who switched from the brand to a generic version and patients who remained on the same brand AED.  Inclusion in the study required &gt; 80% adherence.  Each lamotrigine cohort had 995 patients (after matching 1:1). The majority of lamotrigine patients in the study had utilised only one AED during the 6-month pre-index period. However, a significant portion (31.1 – 34.9%) utilised two AEDs and 8.6 – 10.9% utilised three AEDs and 1.9 – 2.1% utilised four AEDs or more.  The incident rate (IRR) for: discontinuation of AED, dose change of AED, or AED add-on therapy per person-year was 1.00 (95% CI 0.84–1.19) for lamotrigine and 1.85 (95% CI 1.50–2.29) for phenytoin, and 1.02 (95% CI 0.88–1.42) for divalproex.  The event rates of all-cause emergency department visits and hospitalisations per person-year comparing the generic switch cohort with the nonswitch cohort was 0.97 (95% CI 0.80 - 1.17) for lamotrigine, 0.96 (95% CI 0.80 -1.16) for phenytoin, and 0.84 (95% CI 0.66 -1.06) for divalproex.</w:t>
      </w:r>
    </w:p>
    <w:p w14:paraId="2CBB2BE5" w14:textId="77777777" w:rsidR="00512A25" w:rsidRPr="008B6367" w:rsidRDefault="00512A25" w:rsidP="005B72F7">
      <w:pPr>
        <w:autoSpaceDE w:val="0"/>
        <w:autoSpaceDN w:val="0"/>
        <w:adjustRightInd w:val="0"/>
        <w:jc w:val="both"/>
        <w:rPr>
          <w:rFonts w:ascii="Calibri" w:hAnsi="Calibri"/>
        </w:rPr>
      </w:pPr>
    </w:p>
    <w:p w14:paraId="238FB175" w14:textId="77777777" w:rsidR="00512A25" w:rsidRPr="008B6367" w:rsidRDefault="00512A25" w:rsidP="005B72F7">
      <w:pPr>
        <w:autoSpaceDE w:val="0"/>
        <w:autoSpaceDN w:val="0"/>
        <w:adjustRightInd w:val="0"/>
        <w:jc w:val="both"/>
        <w:rPr>
          <w:rFonts w:ascii="Calibri" w:hAnsi="Calibri"/>
        </w:rPr>
      </w:pPr>
      <w:r w:rsidRPr="008B6367">
        <w:rPr>
          <w:rFonts w:ascii="Calibri" w:hAnsi="Calibri"/>
        </w:rPr>
        <w:t>The authors concluded that patients, who switched from branded to generic lamotrigine, did not experience a greater incidence of all-cause emergency department visits or hospitalisations.  They did not discontinue the formulation, change the dosage, or augment therapy with another AED at a greater incidence than those who did not switch.</w:t>
      </w:r>
      <w:r w:rsidRPr="008B6367">
        <w:rPr>
          <w:rFonts w:ascii="Calibri" w:hAnsi="Calibri" w:cs="AdvPS_TIR"/>
        </w:rPr>
        <w:t xml:space="preserve"> (</w:t>
      </w:r>
      <w:r w:rsidRPr="008B6367">
        <w:rPr>
          <w:rFonts w:ascii="Calibri" w:hAnsi="Calibri"/>
        </w:rPr>
        <w:t xml:space="preserve">Erickson 2011)    </w:t>
      </w:r>
    </w:p>
    <w:p w14:paraId="5A9790FF" w14:textId="77777777" w:rsidR="00846DE7" w:rsidRPr="008B6367" w:rsidRDefault="00846DE7" w:rsidP="005B72F7">
      <w:pPr>
        <w:jc w:val="both"/>
        <w:rPr>
          <w:rFonts w:ascii="Calibri" w:hAnsi="Calibri"/>
        </w:rPr>
      </w:pPr>
    </w:p>
    <w:p w14:paraId="03A26906" w14:textId="77777777" w:rsidR="001D7B8D" w:rsidRPr="008B6367" w:rsidRDefault="001D7B8D" w:rsidP="005B72F7">
      <w:pPr>
        <w:jc w:val="both"/>
        <w:rPr>
          <w:rFonts w:ascii="Calibri" w:hAnsi="Calibri"/>
        </w:rPr>
      </w:pPr>
      <w:r w:rsidRPr="008B6367">
        <w:rPr>
          <w:rFonts w:ascii="Calibri" w:eastAsia="AdvPS_TIR" w:hAnsi="Calibri"/>
        </w:rPr>
        <w:t>A Polish study reviewed 646 drug-resistant epilepsy patients with partial seizures treated with 1–3 new generation AEDs.  Patients were switched from a brand to generic AED.  The group included 68 patients on two brand agents switched to generic drugs. There were 182 gabapentin patients, 284 on lamotrigine and 160 on topiramate.  The authors concluded that switching any of these drugs to generics did not increase seizure frequency (mean seizure frequency per month before and after a switch was 6.7 vs 6.9 for lamotrigine (8.2 vs 8.0 for gabapentin and 9.9 vs 9.6 for topiramate). The percentage of patients that needed to be switched back to the original medication was 0 - 2.1%. In the lamotrigine group, even switching the drug several times in consequence of pharmacy substitution did not affect seizure frequency. (</w:t>
      </w:r>
      <w:r w:rsidRPr="008B6367">
        <w:rPr>
          <w:rFonts w:ascii="Calibri" w:eastAsia="AdvPS_TII" w:hAnsi="Calibri"/>
        </w:rPr>
        <w:t>Czapinski</w:t>
      </w:r>
      <w:r w:rsidRPr="008B6367">
        <w:rPr>
          <w:rFonts w:ascii="Calibri" w:hAnsi="Calibri"/>
        </w:rPr>
        <w:t xml:space="preserve"> 2009)</w:t>
      </w:r>
    </w:p>
    <w:p w14:paraId="08A3AB41" w14:textId="77777777" w:rsidR="00846DE7" w:rsidRPr="008B6367" w:rsidRDefault="00846DE7" w:rsidP="005B72F7">
      <w:pPr>
        <w:jc w:val="both"/>
        <w:rPr>
          <w:rFonts w:ascii="Calibri" w:hAnsi="Calibri"/>
        </w:rPr>
      </w:pPr>
    </w:p>
    <w:p w14:paraId="09ED8634" w14:textId="77777777" w:rsidR="0085002D" w:rsidRPr="008B6367" w:rsidRDefault="0085002D" w:rsidP="005B72F7">
      <w:pPr>
        <w:autoSpaceDE w:val="0"/>
        <w:autoSpaceDN w:val="0"/>
        <w:adjustRightInd w:val="0"/>
        <w:jc w:val="both"/>
        <w:rPr>
          <w:rFonts w:ascii="Calibri" w:hAnsi="Calibri"/>
        </w:rPr>
      </w:pPr>
      <w:r w:rsidRPr="008B6367">
        <w:rPr>
          <w:rFonts w:ascii="Calibri" w:hAnsi="Calibri"/>
        </w:rPr>
        <w:t xml:space="preserve">A retrospective open-cohort study observed periods of branded versus generic lamotrigine use by analysing health claims from Québec’s health plan Régie de l’assurance maladie du Québec (RAMQ) between 08/2002 and 07/2006.  Data was collected on 671 epilepsy patients during 1650.9 and 291.2 person-years of branded and generic use of lamotrigine, respectively (a combined average of 1098 days).  The mean duration of observation per patient was 3 years. 222 patients switched to generic lamotrigine and 58 switched back to brand during the study period.  The average daily dose of generic lamotrigine was significantly higher than during the brand period (236.9 vs. 251.4 mg; RR = 1.06; </w:t>
      </w:r>
      <w:r w:rsidRPr="008B6367">
        <w:rPr>
          <w:rFonts w:ascii="Calibri" w:hAnsi="Calibri"/>
          <w:iCs/>
        </w:rPr>
        <w:t xml:space="preserve">p </w:t>
      </w:r>
      <w:r w:rsidRPr="008B6367">
        <w:rPr>
          <w:rFonts w:ascii="Calibri" w:hAnsi="Calibri"/>
        </w:rPr>
        <w:t xml:space="preserve">&lt; 0.001). Compared to periods of branded lamotrigine use, patients treated with generic lamotrigine received a higher number of dispensations for other AEDs (20.4 vs. 23.9 dispensations per person-year; adjusted RR = 1.17; </w:t>
      </w:r>
      <w:r w:rsidRPr="008B6367">
        <w:rPr>
          <w:rFonts w:ascii="Calibri" w:hAnsi="Calibri"/>
          <w:iCs/>
        </w:rPr>
        <w:t>p</w:t>
      </w:r>
      <w:r w:rsidRPr="008B6367">
        <w:rPr>
          <w:rFonts w:ascii="Calibri" w:hAnsi="Calibri"/>
          <w:i/>
          <w:iCs/>
        </w:rPr>
        <w:t xml:space="preserve"> </w:t>
      </w:r>
      <w:r w:rsidRPr="008B6367">
        <w:rPr>
          <w:rFonts w:ascii="Calibri" w:hAnsi="Calibri"/>
        </w:rPr>
        <w:t xml:space="preserve">&lt; 0.001) as well as non-AED drugs (26.4 vs. 32.8 dispensations per person-year; adjusted RR = 1.28; </w:t>
      </w:r>
      <w:r w:rsidRPr="008B6367">
        <w:rPr>
          <w:rFonts w:ascii="Calibri" w:hAnsi="Calibri"/>
          <w:iCs/>
        </w:rPr>
        <w:t>p</w:t>
      </w:r>
      <w:r w:rsidRPr="008B6367">
        <w:rPr>
          <w:rFonts w:ascii="Calibri" w:hAnsi="Calibri"/>
          <w:i/>
          <w:iCs/>
        </w:rPr>
        <w:t xml:space="preserve"> </w:t>
      </w:r>
      <w:r w:rsidRPr="008B6367">
        <w:rPr>
          <w:rFonts w:ascii="Calibri" w:hAnsi="Calibri"/>
        </w:rPr>
        <w:t xml:space="preserve">&lt; 0.001). A higher utilisation rate of medical services (8.73 vs. 9.81 visits per person-year; adjusted RR = 1.13; </w:t>
      </w:r>
      <w:r w:rsidRPr="008B6367">
        <w:rPr>
          <w:rFonts w:ascii="Calibri" w:hAnsi="Calibri"/>
          <w:iCs/>
        </w:rPr>
        <w:t>p</w:t>
      </w:r>
      <w:r w:rsidRPr="008B6367">
        <w:rPr>
          <w:rFonts w:ascii="Calibri" w:hAnsi="Calibri"/>
          <w:i/>
          <w:iCs/>
        </w:rPr>
        <w:t xml:space="preserve"> </w:t>
      </w:r>
      <w:r w:rsidRPr="008B6367">
        <w:rPr>
          <w:rFonts w:ascii="Calibri" w:hAnsi="Calibri"/>
        </w:rPr>
        <w:t xml:space="preserve">&lt; 0.001), and a longer hospital length of stay (3.29 days vs. 4.86 days per person-year; adjusted RR = 1.49; </w:t>
      </w:r>
      <w:r w:rsidRPr="008B6367">
        <w:rPr>
          <w:rFonts w:ascii="Calibri" w:hAnsi="Calibri"/>
          <w:iCs/>
        </w:rPr>
        <w:t>p</w:t>
      </w:r>
      <w:r w:rsidRPr="008B6367">
        <w:rPr>
          <w:rFonts w:ascii="Calibri" w:hAnsi="Calibri"/>
          <w:i/>
          <w:iCs/>
        </w:rPr>
        <w:t xml:space="preserve"> </w:t>
      </w:r>
      <w:r w:rsidRPr="008B6367">
        <w:rPr>
          <w:rFonts w:ascii="Calibri" w:hAnsi="Calibri"/>
        </w:rPr>
        <w:t>&lt; 0.001) were also observed during the generic use period versus the brand use period.</w:t>
      </w:r>
    </w:p>
    <w:p w14:paraId="78422518" w14:textId="77777777" w:rsidR="0085002D" w:rsidRPr="008B6367" w:rsidRDefault="0085002D" w:rsidP="005B72F7">
      <w:pPr>
        <w:autoSpaceDE w:val="0"/>
        <w:autoSpaceDN w:val="0"/>
        <w:adjustRightInd w:val="0"/>
        <w:jc w:val="both"/>
        <w:rPr>
          <w:rFonts w:ascii="Calibri" w:hAnsi="Calibri"/>
        </w:rPr>
      </w:pPr>
    </w:p>
    <w:p w14:paraId="1C96105E" w14:textId="77777777" w:rsidR="0085002D" w:rsidRPr="008B6367" w:rsidRDefault="0085002D" w:rsidP="005B72F7">
      <w:pPr>
        <w:autoSpaceDE w:val="0"/>
        <w:autoSpaceDN w:val="0"/>
        <w:adjustRightInd w:val="0"/>
        <w:jc w:val="both"/>
        <w:rPr>
          <w:rFonts w:ascii="Calibri" w:hAnsi="Calibri"/>
        </w:rPr>
      </w:pPr>
      <w:r w:rsidRPr="008B6367">
        <w:rPr>
          <w:rFonts w:ascii="Calibri" w:hAnsi="Calibri"/>
        </w:rPr>
        <w:t xml:space="preserve">The generic-use period was associated with an increase in overall costs (2006 constant Canadian dollars) relative to brand use (C$7902 vs. C$6419/ person-year; cost ratio (CR) = 1.22; </w:t>
      </w:r>
      <w:r w:rsidRPr="008B6367">
        <w:rPr>
          <w:rFonts w:ascii="Calibri" w:hAnsi="Calibri"/>
          <w:i/>
          <w:iCs/>
        </w:rPr>
        <w:t xml:space="preserve">p </w:t>
      </w:r>
      <w:r w:rsidRPr="008B6367">
        <w:rPr>
          <w:rFonts w:ascii="Calibri" w:hAnsi="Calibri"/>
        </w:rPr>
        <w:t>= 0.05), despite the lower cost of generic lamotrigine.  Costs saved by switching to generic lamotrigine were outweighed by the concurrent increase in the utilisation of pharmacy and medical services on generic lamotrigine.  These costs do not reflect the acquisition costs of lamotrigine or healthcare costs in the UK.  (LeLorier Curr Med Res Opin 2008)</w:t>
      </w:r>
    </w:p>
    <w:p w14:paraId="43FEA95C" w14:textId="77777777" w:rsidR="00846DE7" w:rsidRPr="008B6367" w:rsidRDefault="00846DE7" w:rsidP="005B72F7">
      <w:pPr>
        <w:jc w:val="both"/>
        <w:rPr>
          <w:rFonts w:ascii="Calibri" w:hAnsi="Calibri"/>
        </w:rPr>
      </w:pPr>
    </w:p>
    <w:p w14:paraId="1BB405A4" w14:textId="77777777" w:rsidR="001821C7" w:rsidRPr="008B6367" w:rsidRDefault="001821C7" w:rsidP="005B72F7">
      <w:pPr>
        <w:autoSpaceDE w:val="0"/>
        <w:autoSpaceDN w:val="0"/>
        <w:adjustRightInd w:val="0"/>
        <w:jc w:val="both"/>
        <w:rPr>
          <w:rFonts w:ascii="Calibri" w:hAnsi="Calibri"/>
        </w:rPr>
      </w:pPr>
      <w:r w:rsidRPr="008B6367">
        <w:rPr>
          <w:rFonts w:ascii="Calibri" w:hAnsi="Calibri"/>
          <w:bCs/>
        </w:rPr>
        <w:t>A Canadian study investigated the economic consequences of generic substitution of lamotrigine by analysing data on patients from a public pharmacy claims database (Ontario Drug Benefit Formulary)</w:t>
      </w:r>
      <w:r w:rsidRPr="008B6367">
        <w:rPr>
          <w:rFonts w:ascii="Calibri" w:hAnsi="Calibri" w:cs="Palatino-Bold"/>
          <w:bCs/>
        </w:rPr>
        <w:t xml:space="preserve"> between July 2002 and March 2006. </w:t>
      </w:r>
      <w:r w:rsidRPr="008B6367">
        <w:rPr>
          <w:rFonts w:ascii="Calibri" w:hAnsi="Calibri"/>
          <w:bCs/>
        </w:rPr>
        <w:t xml:space="preserve">(See Andermann 2007).  </w:t>
      </w:r>
      <w:r w:rsidRPr="008B6367">
        <w:rPr>
          <w:rFonts w:ascii="Calibri" w:hAnsi="Calibri"/>
        </w:rPr>
        <w:t>1142 patients were included in the study with median age 37 years and 53.2% females. About 13% of patients (N = 149) in the study population switched back to the brand product following generic entry while approximately 55% (N = 623) experienced a lamotrigine dosage adjustment during the generic period.  Following generic substitution, patients were observed for an average of 776 days, or 2.1 years.</w:t>
      </w:r>
    </w:p>
    <w:p w14:paraId="64492889" w14:textId="77777777" w:rsidR="001821C7" w:rsidRPr="008B6367" w:rsidRDefault="001821C7" w:rsidP="005B72F7">
      <w:pPr>
        <w:autoSpaceDE w:val="0"/>
        <w:autoSpaceDN w:val="0"/>
        <w:adjustRightInd w:val="0"/>
        <w:jc w:val="both"/>
        <w:rPr>
          <w:rFonts w:ascii="Calibri" w:hAnsi="Calibri"/>
        </w:rPr>
      </w:pPr>
    </w:p>
    <w:p w14:paraId="65A5064E" w14:textId="77777777" w:rsidR="001821C7" w:rsidRPr="008B6367" w:rsidRDefault="001821C7" w:rsidP="005B72F7">
      <w:pPr>
        <w:autoSpaceDE w:val="0"/>
        <w:autoSpaceDN w:val="0"/>
        <w:adjustRightInd w:val="0"/>
        <w:jc w:val="both"/>
        <w:rPr>
          <w:rFonts w:ascii="Calibri" w:hAnsi="Calibri"/>
          <w:bCs/>
        </w:rPr>
      </w:pPr>
      <w:r w:rsidRPr="008B6367">
        <w:rPr>
          <w:rFonts w:ascii="Calibri" w:hAnsi="Calibri"/>
        </w:rPr>
        <w:t xml:space="preserve">Overall average monthly per-patient drug costs were $186.46 in the brand period and fell by $11.98 (6.4%) to $174.48 during generic use. Lamotrigine costs did not reduce as much as expected because of increased dosages, offsetting some of the cost savings from lower per-unit costs.   During generic lamotrigine use there was increased utilisation of other AEDs $6.29 (18.5%) and non-AEDS $11.64 (25.1%).  The lack of medical claims data prevents the identification of epilepsy as the indication for the lamotrigine and also any confounding comorbid conditions.  It is possible that some of the observed increases in drug utilisation during the generic period were a result of natural disease progression, aging, or refractory effects of AEDs rather than deleterious effects of generic lamotrigine.  These costs do not reflect the acquisition costs of lamotrigine or healthcare costs in the UK. (Duh </w:t>
      </w:r>
      <w:r w:rsidRPr="008B6367">
        <w:rPr>
          <w:rFonts w:ascii="Calibri" w:hAnsi="Calibri"/>
          <w:bCs/>
        </w:rPr>
        <w:t xml:space="preserve">2007) </w:t>
      </w:r>
    </w:p>
    <w:p w14:paraId="06EFC5D1" w14:textId="77777777" w:rsidR="001D7B8D" w:rsidRPr="008B6367" w:rsidRDefault="001D7B8D" w:rsidP="005B72F7">
      <w:pPr>
        <w:jc w:val="both"/>
        <w:rPr>
          <w:rFonts w:ascii="Calibri" w:hAnsi="Calibri"/>
        </w:rPr>
      </w:pPr>
    </w:p>
    <w:p w14:paraId="0AD9EF73" w14:textId="77777777" w:rsidR="00A81C3E" w:rsidRPr="00A81C3E" w:rsidRDefault="00A81C3E" w:rsidP="00A81C3E">
      <w:pPr>
        <w:pStyle w:val="ListParagraph"/>
        <w:spacing w:before="80" w:after="80"/>
        <w:ind w:left="0"/>
        <w:contextualSpacing/>
        <w:rPr>
          <w:rFonts w:ascii="Calibri" w:hAnsi="Calibri" w:cs="Calibri"/>
          <w:color w:val="000000"/>
        </w:rPr>
      </w:pPr>
      <w:r w:rsidRPr="00A81C3E">
        <w:rPr>
          <w:rFonts w:ascii="Calibri" w:hAnsi="Calibri" w:cs="Calibri"/>
          <w:color w:val="000000"/>
        </w:rPr>
        <w:t>Equivalence Among Antiepileptic Drug Generic and Brand Products in People With Epilepsy (EQUIGEN).  49 adults taking concomitant antiepileptic drugs but not currently receiving lamotrigine. Participants received a single 25-mg dose of immediate-release lamotrigine at the start of each of the 6 periods, with the branded and the 2 most disparate generic products each studied twice with blood samples taken before and after medication. The 3 drug products were considered bioequivalent as 90% CIs were within equivalence limits (lowest and highest CI limits for Cmax, 92.6% and 110.4%; for AUC0-96, 96.9% and 101.9%). Replicate testing demonstrated no significant differences in within-subject variability across the 3 products.  The authors concluded that this study provided evidence that the disparate lamotrigine products were bioequivalent in people with epilepsy taking concomitant antiepileptic drugs.  (Berg 2017)</w:t>
      </w:r>
    </w:p>
    <w:p w14:paraId="03E39137" w14:textId="77777777" w:rsidR="00945B73" w:rsidRDefault="00945B73" w:rsidP="00945B73">
      <w:pPr>
        <w:spacing w:before="80" w:after="80"/>
        <w:rPr>
          <w:color w:val="F4B083"/>
        </w:rPr>
      </w:pPr>
    </w:p>
    <w:p w14:paraId="0634E2C4" w14:textId="4D0E9EC3" w:rsidR="00945B73" w:rsidRPr="00945B73" w:rsidRDefault="00945B73" w:rsidP="00945B73">
      <w:pPr>
        <w:spacing w:before="80" w:after="80"/>
        <w:rPr>
          <w:color w:val="F4B083"/>
        </w:rPr>
      </w:pPr>
      <w:r>
        <w:rPr>
          <w:rFonts w:ascii="Calibri" w:hAnsi="Calibri" w:cs="Calibri"/>
          <w:color w:val="000000"/>
        </w:rPr>
        <w:t xml:space="preserve">The </w:t>
      </w:r>
      <w:r w:rsidRPr="00945B73">
        <w:rPr>
          <w:rFonts w:ascii="Calibri" w:hAnsi="Calibri" w:cs="Calibri"/>
          <w:color w:val="000000"/>
        </w:rPr>
        <w:t>EQUIGEN chronic dose study included 33 adults with epilepsy who were receiving 100mg 200mg, 300mg or 400mg twice daily. Patients received equivalent doses of 1 of 2 generic manufacturers’ lamotrigine and after 14 days were switched to the other manufacturer’s generic and then crossover again twice more.  The 90% CIs of Cmax and AUC for the generics were within equivalence limits (AUC 90% CI 98 – 103, Cmax 90% CI 99 – 105) showing that these lamotrigine generics were bioequivalent. No significant changes in seizure frequency or adverse events were recorded. (Privitera 2016)</w:t>
      </w:r>
    </w:p>
    <w:p w14:paraId="1DA4ED5B" w14:textId="77777777" w:rsidR="00D72DCC" w:rsidRPr="007C7ABC" w:rsidRDefault="00D72DCC" w:rsidP="00D72DCC">
      <w:pPr>
        <w:rPr>
          <w:rFonts w:ascii="Calibri" w:hAnsi="Calibri"/>
        </w:rPr>
      </w:pPr>
    </w:p>
    <w:p w14:paraId="206E1AB4" w14:textId="77777777" w:rsidR="0091718E" w:rsidRPr="0091718E" w:rsidRDefault="0091718E" w:rsidP="0091718E">
      <w:pPr>
        <w:pStyle w:val="ListParagraph"/>
        <w:spacing w:before="80" w:after="80"/>
        <w:ind w:left="0"/>
        <w:contextualSpacing/>
        <w:rPr>
          <w:rFonts w:ascii="Calibri" w:hAnsi="Calibri" w:cs="Calibri"/>
          <w:color w:val="000000"/>
        </w:rPr>
      </w:pPr>
      <w:r w:rsidRPr="0091718E">
        <w:rPr>
          <w:rFonts w:ascii="Calibri" w:hAnsi="Calibri" w:cs="Calibri"/>
          <w:color w:val="000000"/>
        </w:rPr>
        <w:t>Brand and generic lamotrigine were compared in 34 ‘generic-brittle’ patients who were already taking lamotrigine. These patients were defined as having a potential problem with generic switching by virtue of 1) a history of reported exacerbation of seizures or side effects following AED formulation changes, 2) recent AED adverse effects, which could reflect clinical sensitivity to slightly higher AED peak plasma concentration or slightly lower drug exposure, respectively. The 90% confidence intervals of the mean steady state for AUC, Cmax and Cmin for generic vs brand were 97.2 – 101.6%, 98.8 – 104.5% and 93.4 – 101% which demonstrate bioequivalence.  The within patient variability of generic and brand were also similar. (Ting 2015)</w:t>
      </w:r>
    </w:p>
    <w:p w14:paraId="5B326F02" w14:textId="77777777" w:rsidR="00D72DCC" w:rsidRPr="007C7ABC" w:rsidRDefault="00D72DCC" w:rsidP="00D72DCC">
      <w:pPr>
        <w:rPr>
          <w:rFonts w:ascii="Calibri" w:hAnsi="Calibri"/>
        </w:rPr>
      </w:pPr>
    </w:p>
    <w:p w14:paraId="5AE1B9E7" w14:textId="77777777" w:rsidR="003132CA" w:rsidRPr="003132CA" w:rsidRDefault="003132CA" w:rsidP="003132CA">
      <w:pPr>
        <w:pStyle w:val="ListParagraph"/>
        <w:spacing w:before="80" w:after="80"/>
        <w:ind w:left="0"/>
        <w:contextualSpacing/>
        <w:rPr>
          <w:rFonts w:ascii="Calibri" w:hAnsi="Calibri" w:cs="Calibri"/>
          <w:color w:val="000000"/>
        </w:rPr>
      </w:pPr>
      <w:r w:rsidRPr="003132CA">
        <w:rPr>
          <w:rFonts w:ascii="Calibri" w:hAnsi="Calibri" w:cs="Calibri"/>
          <w:color w:val="000000"/>
        </w:rPr>
        <w:t>A US study investigated the pharmaceutical quality and biopharmaceutic risk of Lamictal 100mg tablets and four different generic manufacturers’ lamotrigine 100mg tablets.  All brand name and generic lamotrigine 100 mg tablets passed all tests and showed acceptable pharmaceutical quality and low biopharmaceutic risk. Overall, lamotrigine's favourable biopharmaceutics from a drug substance perspective and favourable quality characteristics from a tablet formulation perspective suggest that multisource lamotrigine tablets exhibit a low biopharmaceutic risk. (Vaithianathan 2015)</w:t>
      </w:r>
    </w:p>
    <w:p w14:paraId="38D98D59" w14:textId="77777777" w:rsidR="00D72DCC" w:rsidRPr="00A22C50" w:rsidRDefault="00D72DCC" w:rsidP="00D72DCC">
      <w:pPr>
        <w:rPr>
          <w:rFonts w:ascii="Calibri" w:hAnsi="Calibri"/>
        </w:rPr>
      </w:pPr>
    </w:p>
    <w:p w14:paraId="11C07ACF" w14:textId="77777777" w:rsidR="00C52CDE" w:rsidRPr="00C52CDE" w:rsidRDefault="00C52CDE" w:rsidP="00C52CDE">
      <w:pPr>
        <w:autoSpaceDE w:val="0"/>
        <w:autoSpaceDN w:val="0"/>
        <w:adjustRightInd w:val="0"/>
        <w:rPr>
          <w:rFonts w:ascii="Calibri" w:hAnsi="Calibri" w:cs="Calibri"/>
          <w:b/>
          <w:bCs/>
        </w:rPr>
      </w:pPr>
      <w:r w:rsidRPr="00C52CDE">
        <w:rPr>
          <w:rFonts w:ascii="Calibri" w:hAnsi="Calibri" w:cs="Calibri"/>
        </w:rPr>
        <w:t xml:space="preserve">A retrospective analysis of data from a therapeutic drug monitoring (TDM) database in Italy included 50 patients on lamotrigine, with at least one TDM test while receiving generic products were compared with 200 control patients for lamotrigine. The proportion of patients showing an intrasubject change greater than +/-20% in AED plasma concentrations was similar in the brand name vs generic group compared with the control one for lamotrigine (22% vs 33%). These are the first data in the literature about the within-patient variation in steady-state plasma concentrations of a series of stable treatments with brand-name AEDs in a real clinical setting. </w:t>
      </w:r>
      <w:r w:rsidRPr="00C52CDE">
        <w:rPr>
          <w:rFonts w:ascii="Calibri" w:hAnsi="Calibri" w:cs="Calibri"/>
          <w:bCs/>
        </w:rPr>
        <w:t>The authors concluded that</w:t>
      </w:r>
      <w:r w:rsidRPr="00C52CDE">
        <w:rPr>
          <w:rFonts w:ascii="Calibri" w:hAnsi="Calibri" w:cs="Calibri"/>
          <w:b/>
          <w:bCs/>
        </w:rPr>
        <w:t xml:space="preserve"> </w:t>
      </w:r>
      <w:r w:rsidRPr="00C52CDE">
        <w:rPr>
          <w:rFonts w:ascii="Calibri" w:hAnsi="Calibri" w:cs="Calibri"/>
        </w:rPr>
        <w:t>a significant interday variability in intrapatient lamotrigine can be observed even in patients stabilised with the same brand name product over time. This suggests that any change in plasma AED concentration and possible related clinical effects after generic substitution may be not necessarily related to the switch. (Contin 2016)</w:t>
      </w:r>
    </w:p>
    <w:p w14:paraId="73BA8BF8" w14:textId="77777777" w:rsidR="00D72DCC" w:rsidRDefault="00D72DCC" w:rsidP="00D72DCC">
      <w:pPr>
        <w:rPr>
          <w:color w:val="F4B083"/>
        </w:rPr>
      </w:pPr>
    </w:p>
    <w:p w14:paraId="5698A420" w14:textId="77777777" w:rsidR="00D72DCC" w:rsidRDefault="00D72DCC" w:rsidP="00D72DCC">
      <w:pPr>
        <w:rPr>
          <w:rFonts w:ascii="Calibri" w:hAnsi="Calibri"/>
        </w:rPr>
      </w:pPr>
    </w:p>
    <w:p w14:paraId="60FC5A8A" w14:textId="77777777" w:rsidR="00A30C43" w:rsidRPr="00A30C43" w:rsidRDefault="00A30C43" w:rsidP="00A30C43">
      <w:pPr>
        <w:jc w:val="both"/>
        <w:rPr>
          <w:rFonts w:ascii="Calibri" w:hAnsi="Calibri" w:cs="Calibri"/>
        </w:rPr>
      </w:pPr>
      <w:r w:rsidRPr="00A30C43">
        <w:rPr>
          <w:rFonts w:ascii="Calibri" w:hAnsi="Calibri" w:cs="Calibri"/>
        </w:rPr>
        <w:t xml:space="preserve">A retrospective observational study using national health collections and prescription records of 1655 patients in New Zealand who switched from brand to generic lamotrigine or remained on the brand.  361 (22%) patients switched to generic. 30% made an additional generic switch and 10% of switchers received multiple switches (3+) between generics and brand products.  Switchback rates were 3% within 30 days post switch. No difference in health outcomes was found. (Lessing 2014) </w:t>
      </w:r>
    </w:p>
    <w:p w14:paraId="1B6DCAD5" w14:textId="77777777" w:rsidR="00D72DCC" w:rsidRDefault="00D72DCC" w:rsidP="00D72DCC">
      <w:pPr>
        <w:rPr>
          <w:rFonts w:ascii="Calibri" w:hAnsi="Calibri"/>
        </w:rPr>
      </w:pPr>
    </w:p>
    <w:p w14:paraId="57CB355C" w14:textId="6F9ED5B2" w:rsidR="008B6367" w:rsidRDefault="008B6367" w:rsidP="005B72F7">
      <w:pPr>
        <w:jc w:val="both"/>
        <w:rPr>
          <w:rFonts w:ascii="Calibri" w:hAnsi="Calibri"/>
        </w:rPr>
      </w:pPr>
    </w:p>
    <w:p w14:paraId="3B790121" w14:textId="2C2D2562" w:rsidR="00D02DC3" w:rsidRDefault="00D02DC3" w:rsidP="005B72F7">
      <w:pPr>
        <w:jc w:val="both"/>
        <w:rPr>
          <w:rFonts w:ascii="Calibri" w:hAnsi="Calibri"/>
        </w:rPr>
      </w:pPr>
    </w:p>
    <w:p w14:paraId="5AFFE4A3" w14:textId="25F3185C" w:rsidR="00D02DC3" w:rsidRDefault="00D02DC3" w:rsidP="005B72F7">
      <w:pPr>
        <w:jc w:val="both"/>
        <w:rPr>
          <w:rFonts w:ascii="Calibri" w:hAnsi="Calibri"/>
        </w:rPr>
      </w:pPr>
    </w:p>
    <w:p w14:paraId="79FA3E69" w14:textId="10393CCE" w:rsidR="00D02DC3" w:rsidRDefault="00D02DC3" w:rsidP="005B72F7">
      <w:pPr>
        <w:jc w:val="both"/>
        <w:rPr>
          <w:rFonts w:ascii="Calibri" w:hAnsi="Calibri"/>
        </w:rPr>
      </w:pPr>
    </w:p>
    <w:p w14:paraId="7EDE6BA5" w14:textId="35D49DB7" w:rsidR="00D02DC3" w:rsidRDefault="00D02DC3" w:rsidP="005B72F7">
      <w:pPr>
        <w:jc w:val="both"/>
        <w:rPr>
          <w:rFonts w:ascii="Calibri" w:hAnsi="Calibri"/>
        </w:rPr>
      </w:pPr>
    </w:p>
    <w:p w14:paraId="38B34A3A" w14:textId="51335741" w:rsidR="00D02DC3" w:rsidRDefault="00D02DC3" w:rsidP="005B72F7">
      <w:pPr>
        <w:jc w:val="both"/>
        <w:rPr>
          <w:rFonts w:ascii="Calibri" w:hAnsi="Calibri"/>
        </w:rPr>
      </w:pPr>
    </w:p>
    <w:p w14:paraId="39A73DB1" w14:textId="5FF68A69" w:rsidR="00D02DC3" w:rsidRDefault="00D02DC3" w:rsidP="005B72F7">
      <w:pPr>
        <w:jc w:val="both"/>
        <w:rPr>
          <w:rFonts w:ascii="Calibri" w:hAnsi="Calibri"/>
        </w:rPr>
      </w:pPr>
    </w:p>
    <w:p w14:paraId="1028D98E" w14:textId="50A01354" w:rsidR="00D02DC3" w:rsidRDefault="00D02DC3" w:rsidP="005B72F7">
      <w:pPr>
        <w:jc w:val="both"/>
        <w:rPr>
          <w:rFonts w:ascii="Calibri" w:hAnsi="Calibri"/>
        </w:rPr>
      </w:pPr>
    </w:p>
    <w:p w14:paraId="28125628" w14:textId="628011CC" w:rsidR="003405F8" w:rsidRDefault="003405F8" w:rsidP="005B72F7">
      <w:pPr>
        <w:jc w:val="both"/>
        <w:rPr>
          <w:rFonts w:ascii="Calibri" w:hAnsi="Calibri"/>
        </w:rPr>
      </w:pPr>
    </w:p>
    <w:p w14:paraId="6637B412" w14:textId="02040523" w:rsidR="003405F8" w:rsidRDefault="003405F8" w:rsidP="005B72F7">
      <w:pPr>
        <w:jc w:val="both"/>
        <w:rPr>
          <w:rFonts w:ascii="Calibri" w:hAnsi="Calibri"/>
        </w:rPr>
      </w:pPr>
    </w:p>
    <w:p w14:paraId="6F45C716" w14:textId="62F379C0" w:rsidR="003405F8" w:rsidRDefault="003405F8" w:rsidP="005B72F7">
      <w:pPr>
        <w:jc w:val="both"/>
        <w:rPr>
          <w:rFonts w:ascii="Calibri" w:hAnsi="Calibri"/>
        </w:rPr>
      </w:pPr>
    </w:p>
    <w:p w14:paraId="319294BD" w14:textId="5F60F644" w:rsidR="003405F8" w:rsidRDefault="003405F8" w:rsidP="005B72F7">
      <w:pPr>
        <w:jc w:val="both"/>
        <w:rPr>
          <w:rFonts w:ascii="Calibri" w:hAnsi="Calibri"/>
        </w:rPr>
      </w:pPr>
    </w:p>
    <w:p w14:paraId="25D48637" w14:textId="652DBAF4" w:rsidR="003405F8" w:rsidRDefault="003405F8" w:rsidP="005B72F7">
      <w:pPr>
        <w:jc w:val="both"/>
        <w:rPr>
          <w:rFonts w:ascii="Calibri" w:hAnsi="Calibri"/>
        </w:rPr>
      </w:pPr>
    </w:p>
    <w:p w14:paraId="266A0DB7" w14:textId="4D9CEE9C" w:rsidR="003405F8" w:rsidRDefault="003405F8" w:rsidP="005B72F7">
      <w:pPr>
        <w:jc w:val="both"/>
        <w:rPr>
          <w:rFonts w:ascii="Calibri" w:hAnsi="Calibri"/>
        </w:rPr>
      </w:pPr>
    </w:p>
    <w:p w14:paraId="187ABB4E" w14:textId="377050A4" w:rsidR="003405F8" w:rsidRDefault="003405F8" w:rsidP="005B72F7">
      <w:pPr>
        <w:jc w:val="both"/>
        <w:rPr>
          <w:rFonts w:ascii="Calibri" w:hAnsi="Calibri"/>
        </w:rPr>
      </w:pPr>
    </w:p>
    <w:p w14:paraId="6AD26AFC" w14:textId="255F235C" w:rsidR="003405F8" w:rsidRDefault="003405F8" w:rsidP="005B72F7">
      <w:pPr>
        <w:jc w:val="both"/>
        <w:rPr>
          <w:rFonts w:ascii="Calibri" w:hAnsi="Calibri"/>
        </w:rPr>
      </w:pPr>
    </w:p>
    <w:p w14:paraId="4DDC43C8" w14:textId="162134D0" w:rsidR="003405F8" w:rsidRDefault="003405F8" w:rsidP="005B72F7">
      <w:pPr>
        <w:jc w:val="both"/>
        <w:rPr>
          <w:rFonts w:ascii="Calibri" w:hAnsi="Calibri"/>
        </w:rPr>
      </w:pPr>
    </w:p>
    <w:p w14:paraId="12F3CB49" w14:textId="2DCA5A15" w:rsidR="003405F8" w:rsidRDefault="003405F8" w:rsidP="005B72F7">
      <w:pPr>
        <w:jc w:val="both"/>
        <w:rPr>
          <w:rFonts w:ascii="Calibri" w:hAnsi="Calibri"/>
        </w:rPr>
      </w:pPr>
    </w:p>
    <w:p w14:paraId="46EE91B3" w14:textId="49585119" w:rsidR="003405F8" w:rsidRDefault="003405F8" w:rsidP="005B72F7">
      <w:pPr>
        <w:jc w:val="both"/>
        <w:rPr>
          <w:rFonts w:ascii="Calibri" w:hAnsi="Calibri"/>
        </w:rPr>
      </w:pPr>
    </w:p>
    <w:p w14:paraId="5C2C1A73" w14:textId="22FF9CF9" w:rsidR="003405F8" w:rsidRDefault="003405F8" w:rsidP="005B72F7">
      <w:pPr>
        <w:jc w:val="both"/>
        <w:rPr>
          <w:rFonts w:ascii="Calibri" w:hAnsi="Calibri"/>
        </w:rPr>
      </w:pPr>
    </w:p>
    <w:p w14:paraId="4335C536" w14:textId="00DB90C6" w:rsidR="003405F8" w:rsidRDefault="003405F8" w:rsidP="005B72F7">
      <w:pPr>
        <w:jc w:val="both"/>
        <w:rPr>
          <w:rFonts w:ascii="Calibri" w:hAnsi="Calibri"/>
        </w:rPr>
      </w:pPr>
    </w:p>
    <w:p w14:paraId="024D9B7B" w14:textId="77777777" w:rsidR="003405F8" w:rsidRDefault="003405F8" w:rsidP="005B72F7">
      <w:pPr>
        <w:jc w:val="both"/>
        <w:rPr>
          <w:rFonts w:ascii="Calibri" w:hAnsi="Calibri"/>
        </w:rPr>
      </w:pPr>
    </w:p>
    <w:p w14:paraId="41DF5CC0" w14:textId="30F60E5D" w:rsidR="00D02DC3" w:rsidRDefault="00D02DC3" w:rsidP="005B72F7">
      <w:pPr>
        <w:jc w:val="both"/>
        <w:rPr>
          <w:rFonts w:ascii="Calibri" w:hAnsi="Calibri"/>
        </w:rPr>
      </w:pPr>
    </w:p>
    <w:p w14:paraId="6A91CCBD" w14:textId="76686F62" w:rsidR="00D02DC3" w:rsidRDefault="00D02DC3" w:rsidP="005B72F7">
      <w:pPr>
        <w:jc w:val="both"/>
        <w:rPr>
          <w:rFonts w:ascii="Calibri" w:hAnsi="Calibri"/>
        </w:rPr>
      </w:pPr>
    </w:p>
    <w:p w14:paraId="1F86050E" w14:textId="737CA6B3" w:rsidR="00D02DC3" w:rsidRDefault="00D02DC3" w:rsidP="005B72F7">
      <w:pPr>
        <w:jc w:val="both"/>
        <w:rPr>
          <w:rFonts w:ascii="Calibri" w:hAnsi="Calibri"/>
        </w:rPr>
      </w:pPr>
    </w:p>
    <w:p w14:paraId="10141F36" w14:textId="6EFE0998" w:rsidR="00D02DC3" w:rsidRDefault="00D02DC3" w:rsidP="005B72F7">
      <w:pPr>
        <w:jc w:val="both"/>
        <w:rPr>
          <w:rFonts w:ascii="Calibri" w:hAnsi="Calibri"/>
        </w:rPr>
      </w:pPr>
    </w:p>
    <w:p w14:paraId="22C30827" w14:textId="77777777" w:rsidR="00D02DC3" w:rsidRDefault="00D02DC3" w:rsidP="005B72F7">
      <w:pPr>
        <w:jc w:val="both"/>
        <w:rPr>
          <w:rFonts w:ascii="Calibri" w:hAnsi="Calibri"/>
        </w:rPr>
      </w:pPr>
    </w:p>
    <w:p w14:paraId="29CAF32C" w14:textId="77777777" w:rsidR="008B6367" w:rsidRDefault="008B6367" w:rsidP="005B72F7">
      <w:pPr>
        <w:jc w:val="both"/>
        <w:rPr>
          <w:rFonts w:ascii="Calibri" w:hAnsi="Calibri"/>
        </w:rPr>
      </w:pPr>
    </w:p>
    <w:p w14:paraId="69DFB646" w14:textId="77777777" w:rsidR="008B6367" w:rsidRDefault="008B6367" w:rsidP="005B72F7">
      <w:pPr>
        <w:jc w:val="both"/>
        <w:rPr>
          <w:rFonts w:ascii="Calibri" w:hAnsi="Calibri"/>
        </w:rPr>
      </w:pPr>
    </w:p>
    <w:p w14:paraId="46608CB9" w14:textId="77777777" w:rsidR="00F1084C" w:rsidRDefault="00F1084C" w:rsidP="005B72F7">
      <w:pPr>
        <w:pStyle w:val="Heading1"/>
        <w:jc w:val="both"/>
        <w:rPr>
          <w:rFonts w:ascii="Calibri" w:hAnsi="Calibri"/>
        </w:rPr>
      </w:pPr>
      <w:bookmarkStart w:id="29" w:name="_Appendix_5"/>
      <w:bookmarkEnd w:id="29"/>
      <w:r>
        <w:rPr>
          <w:rFonts w:ascii="Calibri" w:hAnsi="Calibri"/>
        </w:rPr>
        <w:t xml:space="preserve">Appendix </w:t>
      </w:r>
      <w:r w:rsidR="00F525BC">
        <w:rPr>
          <w:rFonts w:ascii="Calibri" w:hAnsi="Calibri"/>
        </w:rPr>
        <w:t>5</w:t>
      </w:r>
    </w:p>
    <w:p w14:paraId="01036143" w14:textId="77777777" w:rsidR="00F1084C" w:rsidRPr="00F525BC" w:rsidRDefault="00F1084C" w:rsidP="005B72F7">
      <w:pPr>
        <w:pStyle w:val="Heading1"/>
        <w:jc w:val="both"/>
        <w:rPr>
          <w:rFonts w:ascii="Calibri" w:hAnsi="Calibri"/>
          <w:sz w:val="24"/>
          <w:szCs w:val="24"/>
        </w:rPr>
      </w:pPr>
    </w:p>
    <w:p w14:paraId="79B708D3" w14:textId="77777777" w:rsidR="00F1084C" w:rsidRDefault="00F1084C" w:rsidP="005B72F7">
      <w:pPr>
        <w:pStyle w:val="Heading1"/>
        <w:jc w:val="both"/>
        <w:rPr>
          <w:rFonts w:ascii="Calibri" w:hAnsi="Calibri"/>
        </w:rPr>
      </w:pPr>
      <w:r>
        <w:rPr>
          <w:rFonts w:ascii="Calibri" w:hAnsi="Calibri"/>
        </w:rPr>
        <w:t xml:space="preserve">Review of the evidence for levetiracetam </w:t>
      </w:r>
    </w:p>
    <w:p w14:paraId="7DDA7D69" w14:textId="77777777" w:rsidR="00F1084C" w:rsidRDefault="00F1084C" w:rsidP="005B72F7">
      <w:pPr>
        <w:jc w:val="both"/>
      </w:pPr>
    </w:p>
    <w:p w14:paraId="420A2D24" w14:textId="77777777" w:rsidR="001D7B8D" w:rsidRDefault="00F1084C" w:rsidP="005B72F7">
      <w:pPr>
        <w:jc w:val="both"/>
        <w:rPr>
          <w:rFonts w:ascii="Calibri" w:hAnsi="Calibri"/>
        </w:rPr>
      </w:pPr>
      <w:r>
        <w:rPr>
          <w:rFonts w:ascii="Calibri" w:hAnsi="Calibri"/>
        </w:rPr>
        <w:t>Further details of the case reports of patients experiencing problems after switching from brand to generic levetiracetam.</w:t>
      </w:r>
    </w:p>
    <w:p w14:paraId="1B728BA2" w14:textId="77777777" w:rsidR="001D7B8D" w:rsidRDefault="001D7B8D" w:rsidP="005B72F7">
      <w:pPr>
        <w:jc w:val="both"/>
        <w:rPr>
          <w:rFonts w:ascii="Calibri" w:hAnsi="Calibri"/>
        </w:rPr>
      </w:pPr>
    </w:p>
    <w:p w14:paraId="14637941" w14:textId="77777777" w:rsidR="00F1084C" w:rsidRDefault="00F1084C" w:rsidP="005B72F7">
      <w:pPr>
        <w:jc w:val="both"/>
        <w:rPr>
          <w:rFonts w:ascii="Calibri" w:hAnsi="Calibri"/>
        </w:rPr>
      </w:pPr>
      <w:r>
        <w:rPr>
          <w:rFonts w:ascii="Calibri" w:hAnsi="Calibri"/>
        </w:rPr>
        <w:t>Two US</w:t>
      </w:r>
      <w:r w:rsidR="00FC3B53">
        <w:rPr>
          <w:rFonts w:ascii="Calibri" w:hAnsi="Calibri"/>
        </w:rPr>
        <w:t xml:space="preserve"> papers describe</w:t>
      </w:r>
      <w:r>
        <w:rPr>
          <w:rFonts w:ascii="Calibri" w:hAnsi="Calibri"/>
        </w:rPr>
        <w:t xml:space="preserve"> case reports of epilepsy patients who have had problems after switching from brand levetiracetam to generic.  </w:t>
      </w:r>
    </w:p>
    <w:p w14:paraId="472F7D51" w14:textId="77777777" w:rsidR="00F1084C" w:rsidRDefault="00F1084C" w:rsidP="005B72F7">
      <w:pPr>
        <w:jc w:val="both"/>
        <w:rPr>
          <w:rFonts w:ascii="Calibri" w:hAnsi="Calibri"/>
        </w:rPr>
      </w:pPr>
    </w:p>
    <w:p w14:paraId="03E769F1" w14:textId="77777777" w:rsidR="00F1084C" w:rsidRPr="00C02A61" w:rsidRDefault="00F1084C" w:rsidP="005B72F7">
      <w:pPr>
        <w:jc w:val="both"/>
        <w:rPr>
          <w:rFonts w:ascii="Calibri" w:hAnsi="Calibri"/>
        </w:rPr>
      </w:pPr>
      <w:r w:rsidRPr="00C02A61">
        <w:rPr>
          <w:rFonts w:ascii="Calibri" w:hAnsi="Calibri"/>
        </w:rPr>
        <w:t xml:space="preserve">The first paper reported that patients had an increase in seizure frequency after being changed from branded levetiracetam to generic and their seizure frequency returned to baseline after switching back to Keppra.  The authors concluded there was ‘probable causality’ with generic levetiracetam. </w:t>
      </w:r>
    </w:p>
    <w:p w14:paraId="5FD7EA09" w14:textId="77777777" w:rsidR="00F1084C" w:rsidRPr="00C02A61" w:rsidRDefault="00F1084C" w:rsidP="005B72F7">
      <w:pPr>
        <w:jc w:val="both"/>
        <w:rPr>
          <w:rFonts w:ascii="Calibri" w:hAnsi="Calibri"/>
        </w:rPr>
      </w:pPr>
    </w:p>
    <w:p w14:paraId="793A50E7" w14:textId="77777777" w:rsidR="00F1084C" w:rsidRDefault="00F1084C" w:rsidP="005B72F7">
      <w:pPr>
        <w:autoSpaceDE w:val="0"/>
        <w:autoSpaceDN w:val="0"/>
        <w:adjustRightInd w:val="0"/>
        <w:jc w:val="both"/>
        <w:rPr>
          <w:rFonts w:ascii="Calibri" w:hAnsi="Calibri" w:cs="Times-Roman"/>
        </w:rPr>
      </w:pPr>
      <w:r w:rsidRPr="00C02A61">
        <w:rPr>
          <w:rFonts w:ascii="Calibri" w:hAnsi="Calibri" w:cs="Times-Roman"/>
        </w:rPr>
        <w:t xml:space="preserve">A 21 year-old male on Keppra </w:t>
      </w:r>
      <w:r>
        <w:rPr>
          <w:rFonts w:ascii="Calibri" w:hAnsi="Calibri" w:cs="Times-Roman"/>
        </w:rPr>
        <w:t>for generalis</w:t>
      </w:r>
      <w:r w:rsidRPr="00C02A61">
        <w:rPr>
          <w:rFonts w:ascii="Calibri" w:hAnsi="Calibri" w:cs="Times-Roman"/>
        </w:rPr>
        <w:t xml:space="preserve">ed seizures </w:t>
      </w:r>
      <w:r>
        <w:rPr>
          <w:rFonts w:ascii="Calibri" w:hAnsi="Calibri" w:cs="Times-Roman"/>
        </w:rPr>
        <w:t>had increased seizure frequency 5 days after switching to generic. Seizure frequency reduced after switching back to brand.  Pregabalin had been discontinued within a month of the switch however the authors concluded that the events were probably related to the levetiracetam switch.</w:t>
      </w:r>
    </w:p>
    <w:p w14:paraId="4D3EB4DD" w14:textId="77777777" w:rsidR="00F1084C" w:rsidRDefault="00F1084C" w:rsidP="005B72F7">
      <w:pPr>
        <w:autoSpaceDE w:val="0"/>
        <w:autoSpaceDN w:val="0"/>
        <w:adjustRightInd w:val="0"/>
        <w:jc w:val="both"/>
        <w:rPr>
          <w:rFonts w:ascii="Calibri" w:hAnsi="Calibri" w:cs="Times-Roman"/>
        </w:rPr>
      </w:pPr>
    </w:p>
    <w:p w14:paraId="79AD615E" w14:textId="77777777" w:rsidR="00F1084C" w:rsidRPr="00C02A61" w:rsidRDefault="00F1084C" w:rsidP="005B72F7">
      <w:pPr>
        <w:autoSpaceDE w:val="0"/>
        <w:autoSpaceDN w:val="0"/>
        <w:adjustRightInd w:val="0"/>
        <w:jc w:val="both"/>
        <w:rPr>
          <w:rFonts w:ascii="Calibri" w:hAnsi="Calibri" w:cs="Times-Roman"/>
        </w:rPr>
      </w:pPr>
      <w:r w:rsidRPr="00C02A61">
        <w:rPr>
          <w:rFonts w:ascii="Calibri" w:hAnsi="Calibri" w:cs="Times-Roman"/>
        </w:rPr>
        <w:t xml:space="preserve">A 27-year-old female </w:t>
      </w:r>
      <w:r>
        <w:rPr>
          <w:rFonts w:ascii="Calibri" w:hAnsi="Calibri" w:cs="Times-Roman"/>
        </w:rPr>
        <w:t xml:space="preserve">was taking Keppra as part of polytherapy for </w:t>
      </w:r>
      <w:r w:rsidRPr="00C02A61">
        <w:rPr>
          <w:rFonts w:ascii="Calibri" w:hAnsi="Calibri" w:cs="Times-Roman"/>
        </w:rPr>
        <w:t>refractory nocturnal complex partial seizures and secondary generalized seizures</w:t>
      </w:r>
      <w:r>
        <w:rPr>
          <w:rFonts w:ascii="Calibri" w:hAnsi="Calibri" w:cs="Times-Roman"/>
        </w:rPr>
        <w:t xml:space="preserve">.  Her seizure frequency increased after a brand to generic switch and returned to baseline control after switching back to brand.  </w:t>
      </w:r>
    </w:p>
    <w:p w14:paraId="0B7D403F" w14:textId="77777777" w:rsidR="00F1084C" w:rsidRPr="00C02A61" w:rsidRDefault="00F1084C" w:rsidP="005B72F7">
      <w:pPr>
        <w:jc w:val="both"/>
        <w:rPr>
          <w:rFonts w:ascii="Calibri" w:hAnsi="Calibri"/>
        </w:rPr>
      </w:pPr>
    </w:p>
    <w:p w14:paraId="5F167658" w14:textId="77777777" w:rsidR="00F1084C" w:rsidRDefault="00F1084C" w:rsidP="005B72F7">
      <w:pPr>
        <w:autoSpaceDE w:val="0"/>
        <w:autoSpaceDN w:val="0"/>
        <w:adjustRightInd w:val="0"/>
        <w:jc w:val="both"/>
        <w:rPr>
          <w:rFonts w:ascii="Calibri" w:hAnsi="Calibri" w:cs="Times-Roman"/>
        </w:rPr>
      </w:pPr>
      <w:r w:rsidRPr="00C02A61">
        <w:rPr>
          <w:rFonts w:ascii="Calibri" w:hAnsi="Calibri" w:cs="Times-Roman"/>
        </w:rPr>
        <w:t>A 48-year-old male on Keppra</w:t>
      </w:r>
      <w:r>
        <w:rPr>
          <w:rFonts w:ascii="Calibri" w:hAnsi="Calibri" w:cs="Times-Roman"/>
        </w:rPr>
        <w:t xml:space="preserve"> and lamotrigine</w:t>
      </w:r>
      <w:r w:rsidRPr="00C02A61">
        <w:rPr>
          <w:rFonts w:ascii="Calibri" w:hAnsi="Calibri" w:cs="Times-Roman"/>
        </w:rPr>
        <w:t xml:space="preserve"> </w:t>
      </w:r>
      <w:r>
        <w:rPr>
          <w:rFonts w:ascii="Calibri" w:hAnsi="Calibri" w:cs="Times-Roman"/>
        </w:rPr>
        <w:t>for</w:t>
      </w:r>
      <w:r w:rsidRPr="00C02A61">
        <w:rPr>
          <w:rFonts w:ascii="Calibri" w:hAnsi="Calibri" w:cs="Times-Roman"/>
        </w:rPr>
        <w:t xml:space="preserve"> refractory complex partial seizures</w:t>
      </w:r>
      <w:r>
        <w:rPr>
          <w:rFonts w:ascii="Calibri" w:hAnsi="Calibri" w:cs="Times-Roman"/>
        </w:rPr>
        <w:t xml:space="preserve"> </w:t>
      </w:r>
      <w:r w:rsidR="00632EE2">
        <w:rPr>
          <w:rFonts w:ascii="Calibri" w:hAnsi="Calibri" w:cs="Times-Roman"/>
        </w:rPr>
        <w:t xml:space="preserve">which he </w:t>
      </w:r>
      <w:r>
        <w:rPr>
          <w:rFonts w:ascii="Calibri" w:hAnsi="Calibri" w:cs="Times-Roman"/>
        </w:rPr>
        <w:t>usually experienced in clusters (2 per month) but often with intermittent seizure-free months. The patient had increased incidence of breakthrough seizures (2 – 5 per month) and one episode of 5 seizures in 1 week, while on generic which returned to baseline (1 seizure per month) after switching back to brand.</w:t>
      </w:r>
    </w:p>
    <w:p w14:paraId="7BC6F66A" w14:textId="77777777" w:rsidR="00F1084C" w:rsidRDefault="00F1084C" w:rsidP="005B72F7">
      <w:pPr>
        <w:autoSpaceDE w:val="0"/>
        <w:autoSpaceDN w:val="0"/>
        <w:adjustRightInd w:val="0"/>
        <w:jc w:val="both"/>
        <w:rPr>
          <w:rFonts w:ascii="Calibri" w:hAnsi="Calibri" w:cs="Times-Roman"/>
        </w:rPr>
      </w:pPr>
    </w:p>
    <w:p w14:paraId="1AE848A8" w14:textId="77777777" w:rsidR="00F1084C" w:rsidRPr="008B6367" w:rsidRDefault="00F1084C" w:rsidP="005B72F7">
      <w:pPr>
        <w:autoSpaceDE w:val="0"/>
        <w:autoSpaceDN w:val="0"/>
        <w:adjustRightInd w:val="0"/>
        <w:jc w:val="both"/>
        <w:rPr>
          <w:rFonts w:ascii="Calibri" w:hAnsi="Calibri" w:cs="Times-Italic"/>
          <w:iCs/>
        </w:rPr>
      </w:pPr>
      <w:r w:rsidRPr="008B6367">
        <w:rPr>
          <w:rFonts w:ascii="Calibri" w:hAnsi="Calibri" w:cs="Times-Roman"/>
        </w:rPr>
        <w:t>An 81-year-old woman on Keppra for complex partial seizures had seizures occurring once every few months. Her seizure frequency increased to weekly seizures within 3 weeks after the switch to generic.  No levetiracetam levels were available. (</w:t>
      </w:r>
      <w:r w:rsidRPr="008B6367">
        <w:rPr>
          <w:rFonts w:ascii="Calibri" w:hAnsi="Calibri" w:cs="Helvetica"/>
        </w:rPr>
        <w:t xml:space="preserve">Fitzgerald </w:t>
      </w:r>
      <w:r w:rsidRPr="008B6367">
        <w:rPr>
          <w:rFonts w:ascii="Calibri" w:hAnsi="Calibri" w:cs="Times-Italic"/>
          <w:iCs/>
        </w:rPr>
        <w:t>2011)</w:t>
      </w:r>
    </w:p>
    <w:p w14:paraId="5C380A27" w14:textId="77777777" w:rsidR="00F1084C" w:rsidRPr="008B6367" w:rsidRDefault="00F1084C" w:rsidP="005B72F7">
      <w:pPr>
        <w:jc w:val="both"/>
        <w:rPr>
          <w:rFonts w:ascii="Calibri" w:hAnsi="Calibri"/>
        </w:rPr>
      </w:pPr>
    </w:p>
    <w:p w14:paraId="6CEA720D" w14:textId="77777777" w:rsidR="00F1084C" w:rsidRPr="008B6367" w:rsidRDefault="00F1084C" w:rsidP="005B72F7">
      <w:pPr>
        <w:jc w:val="both"/>
        <w:rPr>
          <w:rFonts w:ascii="Calibri" w:hAnsi="Calibri"/>
        </w:rPr>
      </w:pPr>
      <w:r w:rsidRPr="008B6367">
        <w:rPr>
          <w:rFonts w:ascii="Calibri" w:hAnsi="Calibri"/>
        </w:rPr>
        <w:t xml:space="preserve">Another US paper described 4 brain tumour patients who experienced increased seizure frequency following brand to generic switch.  </w:t>
      </w:r>
    </w:p>
    <w:p w14:paraId="79264E89" w14:textId="77777777" w:rsidR="00F1084C" w:rsidRPr="008B6367" w:rsidRDefault="00F1084C" w:rsidP="005B72F7">
      <w:pPr>
        <w:jc w:val="both"/>
        <w:rPr>
          <w:rFonts w:ascii="Calibri" w:hAnsi="Calibri"/>
        </w:rPr>
      </w:pPr>
    </w:p>
    <w:p w14:paraId="4D9FDAAD" w14:textId="77777777" w:rsidR="00F1084C" w:rsidRPr="008B6367" w:rsidRDefault="00F1084C" w:rsidP="005B72F7">
      <w:pPr>
        <w:jc w:val="both"/>
        <w:rPr>
          <w:rFonts w:ascii="Calibri" w:hAnsi="Calibri"/>
        </w:rPr>
      </w:pPr>
      <w:r w:rsidRPr="008B6367">
        <w:rPr>
          <w:rFonts w:ascii="Calibri" w:hAnsi="Calibri"/>
        </w:rPr>
        <w:t xml:space="preserve">A 31 year old male </w:t>
      </w:r>
      <w:r w:rsidR="00632EE2">
        <w:rPr>
          <w:rFonts w:ascii="Calibri" w:hAnsi="Calibri" w:cs="AdvPTimes"/>
        </w:rPr>
        <w:t>on Keppra was switched to</w:t>
      </w:r>
      <w:r w:rsidRPr="008B6367">
        <w:rPr>
          <w:rFonts w:ascii="Calibri" w:hAnsi="Calibri" w:cs="AdvPTimes"/>
        </w:rPr>
        <w:t xml:space="preserve"> generic levetiracetam and three days later experienced a complex partial seizure. He was switched back to Keppra and was been seizure-free for at least 6 months with stable dose. </w:t>
      </w:r>
    </w:p>
    <w:p w14:paraId="0894F0E6" w14:textId="77777777" w:rsidR="00F1084C" w:rsidRPr="008B6367" w:rsidRDefault="00F1084C" w:rsidP="005B72F7">
      <w:pPr>
        <w:jc w:val="both"/>
        <w:rPr>
          <w:rFonts w:ascii="Calibri" w:hAnsi="Calibri"/>
        </w:rPr>
      </w:pPr>
    </w:p>
    <w:p w14:paraId="54EA570F" w14:textId="77777777" w:rsidR="00F1084C" w:rsidRPr="008B6367" w:rsidRDefault="00F1084C" w:rsidP="005B72F7">
      <w:pPr>
        <w:autoSpaceDE w:val="0"/>
        <w:autoSpaceDN w:val="0"/>
        <w:adjustRightInd w:val="0"/>
        <w:jc w:val="both"/>
        <w:rPr>
          <w:rFonts w:ascii="Calibri" w:hAnsi="Calibri" w:cs="AdvPTimes"/>
        </w:rPr>
      </w:pPr>
      <w:r w:rsidRPr="008B6367">
        <w:rPr>
          <w:rFonts w:ascii="Calibri" w:hAnsi="Calibri" w:cs="AdvPTimes"/>
        </w:rPr>
        <w:t>A 52 year old male on Keppra had a generalised seizure 4 days after switching to a generic levetiracetam.  He had been seizure-free and after switching back to brand the patient remained both seizure-free and without evidence of tumour progression for at least 7 months.</w:t>
      </w:r>
    </w:p>
    <w:p w14:paraId="3D1ABA6F" w14:textId="77777777" w:rsidR="00F1084C" w:rsidRPr="008B6367" w:rsidRDefault="00F1084C" w:rsidP="005B72F7">
      <w:pPr>
        <w:jc w:val="both"/>
        <w:rPr>
          <w:rFonts w:ascii="Calibri" w:hAnsi="Calibri"/>
        </w:rPr>
      </w:pPr>
    </w:p>
    <w:p w14:paraId="456F01F3" w14:textId="77777777" w:rsidR="00F1084C" w:rsidRPr="008B6367" w:rsidRDefault="00F1084C" w:rsidP="005B72F7">
      <w:pPr>
        <w:autoSpaceDE w:val="0"/>
        <w:autoSpaceDN w:val="0"/>
        <w:adjustRightInd w:val="0"/>
        <w:jc w:val="both"/>
        <w:rPr>
          <w:rFonts w:ascii="Calibri" w:hAnsi="Calibri"/>
        </w:rPr>
      </w:pPr>
      <w:r w:rsidRPr="008B6367">
        <w:rPr>
          <w:rFonts w:ascii="Calibri" w:hAnsi="Calibri"/>
        </w:rPr>
        <w:t>A 31 year old male</w:t>
      </w:r>
      <w:r w:rsidRPr="008B6367">
        <w:rPr>
          <w:rFonts w:ascii="Calibri" w:hAnsi="Calibri" w:cs="AdvPTimes"/>
        </w:rPr>
        <w:t xml:space="preserve"> on Keppra was seizure-free for 10 months. Three months after switching to generic levetiracetam he experienced two transient episodes of numbness in two fingers and his lip and slurred speech. Levetiracetam dose was increased and he remained seizure-free and without evidence of disease progression for 5 months.</w:t>
      </w:r>
    </w:p>
    <w:p w14:paraId="4EAAA802" w14:textId="77777777" w:rsidR="00F1084C" w:rsidRPr="008B6367" w:rsidRDefault="00F1084C" w:rsidP="005B72F7">
      <w:pPr>
        <w:autoSpaceDE w:val="0"/>
        <w:autoSpaceDN w:val="0"/>
        <w:adjustRightInd w:val="0"/>
        <w:jc w:val="both"/>
        <w:rPr>
          <w:rFonts w:ascii="Calibri" w:hAnsi="Calibri" w:cs="Arial"/>
        </w:rPr>
      </w:pPr>
    </w:p>
    <w:p w14:paraId="03FC41AD" w14:textId="77777777" w:rsidR="001D7B8D" w:rsidRPr="008B6367" w:rsidRDefault="00F1084C" w:rsidP="005B72F7">
      <w:pPr>
        <w:jc w:val="both"/>
        <w:rPr>
          <w:rFonts w:ascii="Calibri" w:hAnsi="Calibri"/>
        </w:rPr>
      </w:pPr>
      <w:r w:rsidRPr="008B6367">
        <w:rPr>
          <w:rFonts w:ascii="Calibri" w:hAnsi="Calibri" w:cs="AdvPTimes"/>
        </w:rPr>
        <w:t xml:space="preserve">A 30 year old female on Keppra prior to surgery was switched to generic a few weeks later. One week after switching she experienced intermittent focal seizure activity. After switching back to Keppra she was seizure-free and without disease progression for at least 2 months.  </w:t>
      </w:r>
      <w:r w:rsidRPr="008B6367">
        <w:rPr>
          <w:rFonts w:ascii="Calibri" w:hAnsi="Calibri" w:cs="Arial"/>
        </w:rPr>
        <w:t>(Armstrong 2010)</w:t>
      </w:r>
    </w:p>
    <w:p w14:paraId="7F70415E" w14:textId="77777777" w:rsidR="001D7B8D" w:rsidRPr="008B6367" w:rsidRDefault="001D7B8D" w:rsidP="005B72F7">
      <w:pPr>
        <w:jc w:val="both"/>
        <w:rPr>
          <w:rFonts w:ascii="Calibri" w:hAnsi="Calibri"/>
        </w:rPr>
      </w:pPr>
    </w:p>
    <w:p w14:paraId="1088A3D8" w14:textId="77777777" w:rsidR="001D7B8D" w:rsidRPr="008B6367" w:rsidRDefault="001D7B8D" w:rsidP="005B72F7">
      <w:pPr>
        <w:jc w:val="both"/>
        <w:rPr>
          <w:rFonts w:ascii="Calibri" w:hAnsi="Calibri"/>
        </w:rPr>
      </w:pPr>
    </w:p>
    <w:p w14:paraId="65025023" w14:textId="77777777" w:rsidR="001D7B8D" w:rsidRPr="008B6367" w:rsidRDefault="001D7B8D" w:rsidP="005B72F7">
      <w:pPr>
        <w:jc w:val="both"/>
        <w:rPr>
          <w:rFonts w:ascii="Calibri" w:hAnsi="Calibri"/>
        </w:rPr>
      </w:pPr>
    </w:p>
    <w:p w14:paraId="24C9312C" w14:textId="77777777" w:rsidR="001D7B8D" w:rsidRDefault="001D7B8D" w:rsidP="005B72F7">
      <w:pPr>
        <w:jc w:val="both"/>
        <w:rPr>
          <w:rFonts w:ascii="Calibri" w:hAnsi="Calibri"/>
        </w:rPr>
      </w:pPr>
    </w:p>
    <w:p w14:paraId="55703262" w14:textId="77777777" w:rsidR="008B6367" w:rsidRDefault="008B6367" w:rsidP="005B72F7">
      <w:pPr>
        <w:jc w:val="both"/>
        <w:rPr>
          <w:rFonts w:ascii="Calibri" w:hAnsi="Calibri"/>
        </w:rPr>
      </w:pPr>
    </w:p>
    <w:p w14:paraId="4C49CBCB" w14:textId="77777777" w:rsidR="008B6367" w:rsidRDefault="008B6367" w:rsidP="005B72F7">
      <w:pPr>
        <w:jc w:val="both"/>
        <w:rPr>
          <w:rFonts w:ascii="Calibri" w:hAnsi="Calibri"/>
        </w:rPr>
      </w:pPr>
    </w:p>
    <w:p w14:paraId="461BFDB1" w14:textId="77777777" w:rsidR="008B6367" w:rsidRDefault="008B6367" w:rsidP="005B72F7">
      <w:pPr>
        <w:jc w:val="both"/>
        <w:rPr>
          <w:rFonts w:ascii="Calibri" w:hAnsi="Calibri"/>
        </w:rPr>
      </w:pPr>
    </w:p>
    <w:p w14:paraId="3AE04C10" w14:textId="77777777" w:rsidR="008B6367" w:rsidRDefault="008B6367" w:rsidP="005B72F7">
      <w:pPr>
        <w:jc w:val="both"/>
        <w:rPr>
          <w:rFonts w:ascii="Calibri" w:hAnsi="Calibri"/>
        </w:rPr>
      </w:pPr>
    </w:p>
    <w:p w14:paraId="49D2D6B5" w14:textId="77777777" w:rsidR="008B6367" w:rsidRDefault="008B6367" w:rsidP="005B72F7">
      <w:pPr>
        <w:jc w:val="both"/>
        <w:rPr>
          <w:rFonts w:ascii="Calibri" w:hAnsi="Calibri"/>
        </w:rPr>
      </w:pPr>
    </w:p>
    <w:p w14:paraId="3883AFE0" w14:textId="77777777" w:rsidR="008B6367" w:rsidRDefault="008B6367" w:rsidP="005B72F7">
      <w:pPr>
        <w:jc w:val="both"/>
        <w:rPr>
          <w:rFonts w:ascii="Calibri" w:hAnsi="Calibri"/>
        </w:rPr>
      </w:pPr>
    </w:p>
    <w:p w14:paraId="2EFF0136" w14:textId="77777777" w:rsidR="008B6367" w:rsidRDefault="008B6367" w:rsidP="005B72F7">
      <w:pPr>
        <w:jc w:val="both"/>
        <w:rPr>
          <w:rFonts w:ascii="Calibri" w:hAnsi="Calibri"/>
        </w:rPr>
      </w:pPr>
    </w:p>
    <w:p w14:paraId="07DE507C" w14:textId="77777777" w:rsidR="008B6367" w:rsidRDefault="008B6367" w:rsidP="005B72F7">
      <w:pPr>
        <w:jc w:val="both"/>
        <w:rPr>
          <w:rFonts w:ascii="Calibri" w:hAnsi="Calibri"/>
        </w:rPr>
      </w:pPr>
    </w:p>
    <w:p w14:paraId="76C24CAE" w14:textId="77777777" w:rsidR="008B6367" w:rsidRDefault="008B6367" w:rsidP="005B72F7">
      <w:pPr>
        <w:jc w:val="both"/>
        <w:rPr>
          <w:rFonts w:ascii="Calibri" w:hAnsi="Calibri"/>
        </w:rPr>
      </w:pPr>
    </w:p>
    <w:p w14:paraId="1704B2CA" w14:textId="77777777" w:rsidR="008B6367" w:rsidRDefault="008B6367" w:rsidP="005B72F7">
      <w:pPr>
        <w:jc w:val="both"/>
        <w:rPr>
          <w:rFonts w:ascii="Calibri" w:hAnsi="Calibri"/>
        </w:rPr>
      </w:pPr>
    </w:p>
    <w:p w14:paraId="2A4BA15D" w14:textId="77777777" w:rsidR="008B6367" w:rsidRDefault="008B6367" w:rsidP="005B72F7">
      <w:pPr>
        <w:jc w:val="both"/>
        <w:rPr>
          <w:rFonts w:ascii="Calibri" w:hAnsi="Calibri"/>
        </w:rPr>
      </w:pPr>
    </w:p>
    <w:p w14:paraId="327A262E" w14:textId="77777777" w:rsidR="008B6367" w:rsidRDefault="008B6367" w:rsidP="005B72F7">
      <w:pPr>
        <w:jc w:val="both"/>
        <w:rPr>
          <w:rFonts w:ascii="Calibri" w:hAnsi="Calibri"/>
        </w:rPr>
      </w:pPr>
    </w:p>
    <w:p w14:paraId="131791CC" w14:textId="77777777" w:rsidR="008B6367" w:rsidRDefault="008B6367" w:rsidP="005B72F7">
      <w:pPr>
        <w:jc w:val="both"/>
        <w:rPr>
          <w:rFonts w:ascii="Calibri" w:hAnsi="Calibri"/>
        </w:rPr>
      </w:pPr>
    </w:p>
    <w:p w14:paraId="0A4105D8" w14:textId="77777777" w:rsidR="008B6367" w:rsidRDefault="008B6367" w:rsidP="005B72F7">
      <w:pPr>
        <w:jc w:val="both"/>
        <w:rPr>
          <w:rFonts w:ascii="Calibri" w:hAnsi="Calibri"/>
        </w:rPr>
      </w:pPr>
    </w:p>
    <w:p w14:paraId="7B89F4ED" w14:textId="77777777" w:rsidR="008B6367" w:rsidRDefault="008B6367" w:rsidP="005B72F7">
      <w:pPr>
        <w:jc w:val="both"/>
        <w:rPr>
          <w:rFonts w:ascii="Calibri" w:hAnsi="Calibri"/>
        </w:rPr>
      </w:pPr>
    </w:p>
    <w:p w14:paraId="7686108B" w14:textId="77777777" w:rsidR="008B6367" w:rsidRDefault="008B6367" w:rsidP="005B72F7">
      <w:pPr>
        <w:jc w:val="both"/>
        <w:rPr>
          <w:rFonts w:ascii="Calibri" w:hAnsi="Calibri"/>
        </w:rPr>
      </w:pPr>
    </w:p>
    <w:p w14:paraId="1035ACCB" w14:textId="77777777" w:rsidR="008B6367" w:rsidRDefault="008B6367" w:rsidP="005B72F7">
      <w:pPr>
        <w:jc w:val="both"/>
        <w:rPr>
          <w:rFonts w:ascii="Calibri" w:hAnsi="Calibri"/>
        </w:rPr>
      </w:pPr>
    </w:p>
    <w:p w14:paraId="7632AACE" w14:textId="77777777" w:rsidR="008B6367" w:rsidRDefault="008B6367" w:rsidP="005B72F7">
      <w:pPr>
        <w:jc w:val="both"/>
        <w:rPr>
          <w:rFonts w:ascii="Calibri" w:hAnsi="Calibri"/>
        </w:rPr>
      </w:pPr>
    </w:p>
    <w:p w14:paraId="10CF907B" w14:textId="77777777" w:rsidR="008B6367" w:rsidRDefault="008B6367" w:rsidP="005B72F7">
      <w:pPr>
        <w:jc w:val="both"/>
        <w:rPr>
          <w:rFonts w:ascii="Calibri" w:hAnsi="Calibri"/>
        </w:rPr>
      </w:pPr>
    </w:p>
    <w:p w14:paraId="05E68B0A" w14:textId="77777777" w:rsidR="008B6367" w:rsidRDefault="008B6367" w:rsidP="005B72F7">
      <w:pPr>
        <w:jc w:val="both"/>
        <w:rPr>
          <w:rFonts w:ascii="Calibri" w:hAnsi="Calibri"/>
        </w:rPr>
      </w:pPr>
    </w:p>
    <w:p w14:paraId="7870B5A1" w14:textId="77777777" w:rsidR="008B6367" w:rsidRDefault="008B6367" w:rsidP="005B72F7">
      <w:pPr>
        <w:jc w:val="both"/>
        <w:rPr>
          <w:rFonts w:ascii="Calibri" w:hAnsi="Calibri"/>
        </w:rPr>
      </w:pPr>
    </w:p>
    <w:p w14:paraId="16F4C7C5" w14:textId="77777777" w:rsidR="008B6367" w:rsidRDefault="008B6367" w:rsidP="005B72F7">
      <w:pPr>
        <w:jc w:val="both"/>
        <w:rPr>
          <w:rFonts w:ascii="Calibri" w:hAnsi="Calibri"/>
        </w:rPr>
      </w:pPr>
    </w:p>
    <w:p w14:paraId="47A081CB" w14:textId="77777777" w:rsidR="008B6367" w:rsidRDefault="008B6367" w:rsidP="005B72F7">
      <w:pPr>
        <w:jc w:val="both"/>
        <w:rPr>
          <w:rFonts w:ascii="Calibri" w:hAnsi="Calibri"/>
        </w:rPr>
      </w:pPr>
    </w:p>
    <w:p w14:paraId="73A02F8B" w14:textId="77777777" w:rsidR="008B6367" w:rsidRDefault="008B6367" w:rsidP="005B72F7">
      <w:pPr>
        <w:jc w:val="both"/>
        <w:rPr>
          <w:rFonts w:ascii="Calibri" w:hAnsi="Calibri"/>
        </w:rPr>
      </w:pPr>
    </w:p>
    <w:p w14:paraId="634CEFCA" w14:textId="77777777" w:rsidR="008B6367" w:rsidRDefault="008B6367" w:rsidP="005B72F7">
      <w:pPr>
        <w:jc w:val="both"/>
        <w:rPr>
          <w:rFonts w:ascii="Calibri" w:hAnsi="Calibri"/>
        </w:rPr>
      </w:pPr>
    </w:p>
    <w:p w14:paraId="199801CF" w14:textId="77777777" w:rsidR="008B6367" w:rsidRDefault="008B6367" w:rsidP="005B72F7">
      <w:pPr>
        <w:jc w:val="both"/>
        <w:rPr>
          <w:rFonts w:ascii="Calibri" w:hAnsi="Calibri"/>
        </w:rPr>
      </w:pPr>
    </w:p>
    <w:p w14:paraId="778A2B7A" w14:textId="77777777" w:rsidR="008B6367" w:rsidRDefault="008B6367" w:rsidP="005B72F7">
      <w:pPr>
        <w:jc w:val="both"/>
        <w:rPr>
          <w:rFonts w:ascii="Calibri" w:hAnsi="Calibri"/>
        </w:rPr>
      </w:pPr>
    </w:p>
    <w:p w14:paraId="0AB2D9E4" w14:textId="2F1C846E" w:rsidR="008B6367" w:rsidRDefault="008B6367" w:rsidP="005B72F7">
      <w:pPr>
        <w:jc w:val="both"/>
        <w:rPr>
          <w:rFonts w:ascii="Calibri" w:hAnsi="Calibri"/>
        </w:rPr>
      </w:pPr>
    </w:p>
    <w:p w14:paraId="741135A4" w14:textId="77777777" w:rsidR="00D02DC3" w:rsidRDefault="00D02DC3" w:rsidP="005B72F7">
      <w:pPr>
        <w:jc w:val="both"/>
        <w:rPr>
          <w:rFonts w:ascii="Calibri" w:hAnsi="Calibri"/>
        </w:rPr>
      </w:pPr>
    </w:p>
    <w:p w14:paraId="13AE0E11" w14:textId="77777777" w:rsidR="003405F8" w:rsidRDefault="003405F8" w:rsidP="005B72F7">
      <w:pPr>
        <w:pStyle w:val="Heading1"/>
        <w:jc w:val="both"/>
        <w:rPr>
          <w:rFonts w:ascii="Calibri" w:hAnsi="Calibri"/>
        </w:rPr>
      </w:pPr>
      <w:bookmarkStart w:id="30" w:name="_Appendix_6"/>
      <w:bookmarkEnd w:id="30"/>
    </w:p>
    <w:p w14:paraId="1C8990FE" w14:textId="77777777" w:rsidR="003405F8" w:rsidRDefault="003405F8" w:rsidP="005B72F7">
      <w:pPr>
        <w:pStyle w:val="Heading1"/>
        <w:jc w:val="both"/>
        <w:rPr>
          <w:rFonts w:ascii="Calibri" w:hAnsi="Calibri"/>
        </w:rPr>
      </w:pPr>
    </w:p>
    <w:p w14:paraId="0A5DA8F8" w14:textId="175E6D08" w:rsidR="00846DE7" w:rsidRDefault="00846DE7" w:rsidP="005B72F7">
      <w:pPr>
        <w:pStyle w:val="Heading1"/>
        <w:jc w:val="both"/>
        <w:rPr>
          <w:rFonts w:ascii="Calibri" w:hAnsi="Calibri"/>
        </w:rPr>
      </w:pPr>
      <w:r>
        <w:rPr>
          <w:rFonts w:ascii="Calibri" w:hAnsi="Calibri"/>
        </w:rPr>
        <w:t xml:space="preserve">Appendix </w:t>
      </w:r>
      <w:r w:rsidR="008B6367">
        <w:rPr>
          <w:rFonts w:ascii="Calibri" w:hAnsi="Calibri"/>
        </w:rPr>
        <w:t>6</w:t>
      </w:r>
    </w:p>
    <w:p w14:paraId="4627DADB" w14:textId="77777777" w:rsidR="00846DE7" w:rsidRPr="008B6367" w:rsidRDefault="00846DE7" w:rsidP="005B72F7">
      <w:pPr>
        <w:pStyle w:val="Heading1"/>
        <w:jc w:val="both"/>
        <w:rPr>
          <w:rFonts w:ascii="Calibri" w:hAnsi="Calibri"/>
          <w:sz w:val="24"/>
          <w:szCs w:val="24"/>
        </w:rPr>
      </w:pPr>
    </w:p>
    <w:p w14:paraId="0203D635" w14:textId="77777777" w:rsidR="00846DE7" w:rsidRDefault="00846DE7" w:rsidP="005B72F7">
      <w:pPr>
        <w:pStyle w:val="Heading1"/>
        <w:jc w:val="both"/>
        <w:rPr>
          <w:rFonts w:ascii="Calibri" w:hAnsi="Calibri"/>
        </w:rPr>
      </w:pPr>
      <w:r>
        <w:rPr>
          <w:rFonts w:ascii="Calibri" w:hAnsi="Calibri"/>
        </w:rPr>
        <w:t>Review of the evidence for phenytoin</w:t>
      </w:r>
    </w:p>
    <w:p w14:paraId="683D7024" w14:textId="77777777" w:rsidR="00846DE7" w:rsidRDefault="00846DE7" w:rsidP="005B72F7">
      <w:pPr>
        <w:jc w:val="both"/>
      </w:pPr>
    </w:p>
    <w:p w14:paraId="1803FA76" w14:textId="77777777" w:rsidR="009670D3" w:rsidRPr="0015187A" w:rsidRDefault="009670D3" w:rsidP="005B72F7">
      <w:pPr>
        <w:autoSpaceDE w:val="0"/>
        <w:autoSpaceDN w:val="0"/>
        <w:adjustRightInd w:val="0"/>
        <w:jc w:val="both"/>
        <w:rPr>
          <w:rFonts w:ascii="Calibri" w:hAnsi="Calibri"/>
        </w:rPr>
      </w:pPr>
      <w:r>
        <w:rPr>
          <w:rFonts w:ascii="Calibri" w:hAnsi="Calibri"/>
        </w:rPr>
        <w:t>A 6-month, double-blind, randomis</w:t>
      </w:r>
      <w:r w:rsidRPr="0015187A">
        <w:rPr>
          <w:rFonts w:ascii="Calibri" w:hAnsi="Calibri"/>
        </w:rPr>
        <w:t>ed</w:t>
      </w:r>
      <w:r>
        <w:rPr>
          <w:rFonts w:ascii="Calibri" w:hAnsi="Calibri"/>
        </w:rPr>
        <w:t>,</w:t>
      </w:r>
      <w:r w:rsidRPr="0015187A">
        <w:rPr>
          <w:rFonts w:ascii="Calibri" w:hAnsi="Calibri"/>
        </w:rPr>
        <w:t xml:space="preserve"> crossover study compared two extended-release</w:t>
      </w:r>
      <w:r>
        <w:rPr>
          <w:rFonts w:ascii="Calibri" w:hAnsi="Calibri"/>
        </w:rPr>
        <w:t xml:space="preserve"> phenytoin </w:t>
      </w:r>
      <w:r w:rsidRPr="0015187A">
        <w:rPr>
          <w:rFonts w:ascii="Calibri" w:hAnsi="Calibri"/>
        </w:rPr>
        <w:t xml:space="preserve">preparations: a generic (Phenytex) and a brand (Dilantin). Each patient randomly </w:t>
      </w:r>
      <w:r>
        <w:rPr>
          <w:rFonts w:ascii="Calibri" w:hAnsi="Calibri"/>
        </w:rPr>
        <w:t xml:space="preserve">received </w:t>
      </w:r>
      <w:r w:rsidRPr="0015187A">
        <w:rPr>
          <w:rFonts w:ascii="Calibri" w:hAnsi="Calibri"/>
        </w:rPr>
        <w:t xml:space="preserve">one preparation, </w:t>
      </w:r>
      <w:r>
        <w:rPr>
          <w:rFonts w:ascii="Calibri" w:hAnsi="Calibri"/>
        </w:rPr>
        <w:t xml:space="preserve">and then switched to the other </w:t>
      </w:r>
      <w:r w:rsidRPr="0015187A">
        <w:rPr>
          <w:rFonts w:ascii="Calibri" w:hAnsi="Calibri"/>
        </w:rPr>
        <w:t>after 3 months</w:t>
      </w:r>
      <w:r>
        <w:rPr>
          <w:rFonts w:ascii="Calibri" w:hAnsi="Calibri"/>
        </w:rPr>
        <w:t>.  1</w:t>
      </w:r>
      <w:r w:rsidRPr="0015187A">
        <w:rPr>
          <w:rFonts w:ascii="Calibri" w:hAnsi="Calibri"/>
        </w:rPr>
        <w:t xml:space="preserve">0 </w:t>
      </w:r>
      <w:r>
        <w:rPr>
          <w:rFonts w:ascii="Calibri" w:hAnsi="Calibri"/>
        </w:rPr>
        <w:t xml:space="preserve">patients completed the study.   </w:t>
      </w:r>
      <w:r w:rsidRPr="0015187A">
        <w:rPr>
          <w:rFonts w:ascii="Calibri" w:hAnsi="Calibri"/>
        </w:rPr>
        <w:t xml:space="preserve">One patient had toxic signs before they reached steady state.  The remaining 9 patients had a significantly higher average (22.6%) free </w:t>
      </w:r>
      <w:r>
        <w:rPr>
          <w:rFonts w:ascii="Calibri" w:hAnsi="Calibri"/>
        </w:rPr>
        <w:t xml:space="preserve">phenytoin </w:t>
      </w:r>
      <w:r w:rsidRPr="0015187A">
        <w:rPr>
          <w:rFonts w:ascii="Calibri" w:hAnsi="Calibri"/>
        </w:rPr>
        <w:t>concentration</w:t>
      </w:r>
      <w:r>
        <w:rPr>
          <w:rFonts w:ascii="Calibri" w:hAnsi="Calibri"/>
        </w:rPr>
        <w:t>s</w:t>
      </w:r>
      <w:r w:rsidRPr="0015187A">
        <w:rPr>
          <w:rFonts w:ascii="Calibri" w:hAnsi="Calibri"/>
        </w:rPr>
        <w:t xml:space="preserve"> during generic therapy</w:t>
      </w:r>
      <w:r>
        <w:rPr>
          <w:rFonts w:ascii="Calibri" w:hAnsi="Calibri"/>
        </w:rPr>
        <w:t xml:space="preserve"> and the total phenytoin concentration was 19.3% higher but did not reach significance.   </w:t>
      </w:r>
      <w:r w:rsidRPr="0015187A">
        <w:rPr>
          <w:rFonts w:ascii="Calibri" w:hAnsi="Calibri"/>
        </w:rPr>
        <w:t>The incidence of adverse experiences was not statistically diffe</w:t>
      </w:r>
      <w:r>
        <w:rPr>
          <w:rFonts w:ascii="Calibri" w:hAnsi="Calibri"/>
        </w:rPr>
        <w:t>rent between the two formulation</w:t>
      </w:r>
      <w:r w:rsidR="00632EE2">
        <w:rPr>
          <w:rFonts w:ascii="Calibri" w:hAnsi="Calibri"/>
        </w:rPr>
        <w:t xml:space="preserve">s. </w:t>
      </w:r>
      <w:r w:rsidRPr="0015187A">
        <w:rPr>
          <w:rFonts w:ascii="Calibri" w:hAnsi="Calibri"/>
        </w:rPr>
        <w:t xml:space="preserve"> One patient had a phenytoin level of 20.5 mcg/ml on brand phenytoin which increased to 30.2 mcg/ml after 12 days on generic phenytoin.  She experienced adverse effects and had her phenytoin dose reduced.  8 of the 10 patients were se</w:t>
      </w:r>
      <w:r>
        <w:rPr>
          <w:rFonts w:ascii="Calibri" w:hAnsi="Calibri"/>
        </w:rPr>
        <w:t>izure-free throughout the study and the seizures in 2 patients were not thought to be attributable to the generic switch.</w:t>
      </w:r>
    </w:p>
    <w:p w14:paraId="6BAC4221" w14:textId="77777777" w:rsidR="009670D3" w:rsidRPr="0015187A" w:rsidRDefault="009670D3" w:rsidP="005B72F7">
      <w:pPr>
        <w:autoSpaceDE w:val="0"/>
        <w:autoSpaceDN w:val="0"/>
        <w:adjustRightInd w:val="0"/>
        <w:jc w:val="both"/>
        <w:rPr>
          <w:rFonts w:ascii="Calibri" w:hAnsi="Calibri"/>
        </w:rPr>
      </w:pPr>
    </w:p>
    <w:p w14:paraId="4A71CDD8" w14:textId="77777777" w:rsidR="009670D3" w:rsidRPr="008B6367" w:rsidRDefault="009670D3" w:rsidP="005B72F7">
      <w:pPr>
        <w:autoSpaceDE w:val="0"/>
        <w:autoSpaceDN w:val="0"/>
        <w:adjustRightInd w:val="0"/>
        <w:jc w:val="both"/>
        <w:rPr>
          <w:rFonts w:ascii="Calibri" w:hAnsi="Calibri"/>
        </w:rPr>
      </w:pPr>
      <w:r w:rsidRPr="0015187A">
        <w:rPr>
          <w:rFonts w:ascii="Calibri" w:hAnsi="Calibri"/>
        </w:rPr>
        <w:t xml:space="preserve">The potency of the brand lot was 99.21% </w:t>
      </w:r>
      <w:r>
        <w:t>±</w:t>
      </w:r>
      <w:r w:rsidRPr="0015187A">
        <w:rPr>
          <w:rFonts w:ascii="Calibri" w:hAnsi="Calibri"/>
        </w:rPr>
        <w:t xml:space="preserve"> 1.47, and the generic preparation was 104.63% </w:t>
      </w:r>
      <w:r>
        <w:t>±</w:t>
      </w:r>
      <w:r w:rsidRPr="0015187A">
        <w:rPr>
          <w:rFonts w:ascii="Calibri" w:hAnsi="Calibri"/>
        </w:rPr>
        <w:t xml:space="preserve"> 3.72. </w:t>
      </w:r>
      <w:r>
        <w:rPr>
          <w:rFonts w:ascii="Calibri" w:hAnsi="Calibri"/>
        </w:rPr>
        <w:t>Phenytoin has</w:t>
      </w:r>
      <w:r w:rsidRPr="0015187A">
        <w:rPr>
          <w:rFonts w:ascii="Calibri" w:hAnsi="Calibri"/>
        </w:rPr>
        <w:t xml:space="preserve"> non</w:t>
      </w:r>
      <w:r>
        <w:rPr>
          <w:rFonts w:ascii="Calibri" w:hAnsi="Calibri"/>
        </w:rPr>
        <w:t>-linear Michaelis-Menten</w:t>
      </w:r>
      <w:r w:rsidRPr="0015187A">
        <w:rPr>
          <w:rFonts w:ascii="Calibri" w:hAnsi="Calibri"/>
        </w:rPr>
        <w:t xml:space="preserve"> pharmacokinetics</w:t>
      </w:r>
      <w:r>
        <w:rPr>
          <w:rFonts w:ascii="Calibri" w:hAnsi="Calibri"/>
        </w:rPr>
        <w:t xml:space="preserve"> so </w:t>
      </w:r>
      <w:r w:rsidRPr="0015187A">
        <w:rPr>
          <w:rFonts w:ascii="Calibri" w:hAnsi="Calibri"/>
        </w:rPr>
        <w:t>a difference of</w:t>
      </w:r>
      <w:r>
        <w:rPr>
          <w:rFonts w:ascii="Calibri" w:hAnsi="Calibri"/>
        </w:rPr>
        <w:t xml:space="preserve"> </w:t>
      </w:r>
      <w:r w:rsidRPr="0015187A">
        <w:rPr>
          <w:rFonts w:ascii="Calibri" w:hAnsi="Calibri"/>
        </w:rPr>
        <w:t>5.4% in the amount absorbed can account for a 20% difference in serum concentrations.</w:t>
      </w:r>
      <w:r>
        <w:rPr>
          <w:rFonts w:ascii="Calibri" w:hAnsi="Calibri"/>
        </w:rPr>
        <w:t xml:space="preserve">  </w:t>
      </w:r>
      <w:r w:rsidRPr="0015187A">
        <w:rPr>
          <w:rFonts w:ascii="Calibri" w:hAnsi="Calibri"/>
          <w:color w:val="000000"/>
        </w:rPr>
        <w:t>The authors concluded that there may be incre</w:t>
      </w:r>
      <w:r>
        <w:rPr>
          <w:rFonts w:ascii="Calibri" w:hAnsi="Calibri"/>
          <w:color w:val="000000"/>
        </w:rPr>
        <w:t xml:space="preserve">ased </w:t>
      </w:r>
      <w:r w:rsidRPr="008B6367">
        <w:rPr>
          <w:rFonts w:ascii="Calibri" w:hAnsi="Calibri"/>
          <w:color w:val="000000"/>
        </w:rPr>
        <w:t>bioavailability of generic vs brand however it was tolerated in 9 of 10 patients.  (</w:t>
      </w:r>
      <w:r w:rsidRPr="008B6367">
        <w:rPr>
          <w:rFonts w:ascii="Calibri" w:hAnsi="Calibri"/>
        </w:rPr>
        <w:t>Mikati</w:t>
      </w:r>
      <w:r w:rsidRPr="008B6367">
        <w:rPr>
          <w:rFonts w:ascii="Calibri" w:hAnsi="Calibri"/>
          <w:bCs/>
          <w:i/>
          <w:iCs/>
          <w:sz w:val="15"/>
          <w:szCs w:val="15"/>
        </w:rPr>
        <w:t xml:space="preserve">  </w:t>
      </w:r>
      <w:r w:rsidRPr="008B6367">
        <w:rPr>
          <w:rFonts w:ascii="Calibri" w:hAnsi="Calibri"/>
          <w:bCs/>
        </w:rPr>
        <w:t>1992)</w:t>
      </w:r>
    </w:p>
    <w:p w14:paraId="0AF2BA01" w14:textId="77777777" w:rsidR="009670D3" w:rsidRPr="008B6367" w:rsidRDefault="009670D3" w:rsidP="005B72F7">
      <w:pPr>
        <w:jc w:val="both"/>
        <w:rPr>
          <w:rFonts w:ascii="Calibri" w:hAnsi="Calibri"/>
        </w:rPr>
      </w:pPr>
    </w:p>
    <w:p w14:paraId="1CD6665F" w14:textId="77777777" w:rsidR="009670D3" w:rsidRPr="008B6367" w:rsidRDefault="009670D3" w:rsidP="005B72F7">
      <w:pPr>
        <w:autoSpaceDE w:val="0"/>
        <w:autoSpaceDN w:val="0"/>
        <w:adjustRightInd w:val="0"/>
        <w:jc w:val="both"/>
        <w:rPr>
          <w:rFonts w:ascii="Calibri" w:hAnsi="Calibri"/>
        </w:rPr>
      </w:pPr>
      <w:r w:rsidRPr="008B6367">
        <w:rPr>
          <w:rFonts w:ascii="Calibri" w:hAnsi="Calibri"/>
        </w:rPr>
        <w:t xml:space="preserve">A bioequivalence study measured phenytoin levels following the recall of a brand of phenytoin.  In 1987, the Veterans Administration (VA) hospital pharmacies changed from Dilantin (Parke Davis brand) extended release phenytoin to a generic phenytoin preparation by Sidmak Laboratories. In December 1987, Sidmak recalled their phenytoin after “some batches failed dissolution specification”.  116 patients receiving generic phenytoin had levels available while on the generic and then again after switching back to the brand (timing of levels in relation to dose was random). Serum phenytoin levels were </w:t>
      </w:r>
      <w:r w:rsidRPr="008B6367">
        <w:rPr>
          <w:rFonts w:ascii="Calibri" w:hAnsi="Calibri"/>
          <w:bCs/>
        </w:rPr>
        <w:t xml:space="preserve">22-31% </w:t>
      </w:r>
      <w:r w:rsidRPr="008B6367">
        <w:rPr>
          <w:rFonts w:ascii="Calibri" w:hAnsi="Calibri"/>
        </w:rPr>
        <w:t xml:space="preserve">lower during the period of generic intake as compared with levels in the same patients receiving Dilantin.  The usefulness of this study is questionable because the generic product they were testing had already been recalled because of dissolution problems which may be the cause of the difference in bioavailability.  (Rosenbaum </w:t>
      </w:r>
      <w:r w:rsidRPr="008B6367">
        <w:rPr>
          <w:rFonts w:ascii="Calibri" w:hAnsi="Calibri"/>
          <w:bCs/>
        </w:rPr>
        <w:t xml:space="preserve">1994) </w:t>
      </w:r>
    </w:p>
    <w:p w14:paraId="68221237" w14:textId="77777777" w:rsidR="009670D3" w:rsidRPr="008B6367" w:rsidRDefault="009670D3" w:rsidP="005B72F7">
      <w:pPr>
        <w:jc w:val="both"/>
        <w:rPr>
          <w:rFonts w:ascii="Calibri" w:hAnsi="Calibri"/>
        </w:rPr>
      </w:pPr>
    </w:p>
    <w:p w14:paraId="7E21C1A9" w14:textId="77777777" w:rsidR="009670D3" w:rsidRPr="008B6367" w:rsidRDefault="009670D3" w:rsidP="005B72F7">
      <w:pPr>
        <w:autoSpaceDE w:val="0"/>
        <w:autoSpaceDN w:val="0"/>
        <w:adjustRightInd w:val="0"/>
        <w:jc w:val="both"/>
        <w:rPr>
          <w:rFonts w:ascii="Calibri" w:hAnsi="Calibri"/>
        </w:rPr>
      </w:pPr>
      <w:r w:rsidRPr="008B6367">
        <w:rPr>
          <w:rFonts w:ascii="Calibri" w:hAnsi="Calibri"/>
        </w:rPr>
        <w:t xml:space="preserve">A single-blind, crossover study in the UK assessed the bioavailability of 7 formulations of phenytoin.  14 epilepsy patients taking phenytoin regularly as part of their drug therapy completed the study which consisted of 4 week treatment periods on each drug.  For comparative purposes, Epanutin capsules were taken as 100% bioavailable and the relative bioavailability of the other formulations was calculated. </w:t>
      </w:r>
    </w:p>
    <w:p w14:paraId="700F6FFF" w14:textId="77777777" w:rsidR="009670D3" w:rsidRPr="008B6367" w:rsidRDefault="009670D3" w:rsidP="005B72F7">
      <w:pPr>
        <w:autoSpaceDE w:val="0"/>
        <w:autoSpaceDN w:val="0"/>
        <w:adjustRightInd w:val="0"/>
        <w:jc w:val="both"/>
        <w:rPr>
          <w:rFonts w:ascii="Calibri" w:hAnsi="Calibri"/>
        </w:rPr>
      </w:pPr>
      <w:r w:rsidRPr="008B6367">
        <w:rPr>
          <w:rFonts w:ascii="Calibri" w:hAnsi="Calibri"/>
        </w:rPr>
        <w:t>No significant differences were found between Epanutin capsules and other generic formulations. However significant differences were noted between the generic products.  Phenytoin BP tablets manufactured by Regent Laboratories (now withdrawn) had a relative bioavailability of only 76% compared with tablets manufactured by A H Cox and Company.  Epanutin Infatabs differed significantly from four of the generic formulations (Evans, APS, Kerfoot, and Regent). The formulation with the lowest Cmax differed significantly from the two formulations with the highest Cmax.  No statistically significant differences were found when comparing the incidence of side effects and seizure frequency for the 7 treatments.</w:t>
      </w:r>
    </w:p>
    <w:p w14:paraId="1B48705E" w14:textId="77777777" w:rsidR="009670D3" w:rsidRPr="008B6367" w:rsidRDefault="009670D3" w:rsidP="005B72F7">
      <w:pPr>
        <w:jc w:val="both"/>
        <w:rPr>
          <w:rFonts w:ascii="Calibri" w:hAnsi="Calibri"/>
        </w:rPr>
      </w:pPr>
    </w:p>
    <w:p w14:paraId="450B7AD3" w14:textId="77777777" w:rsidR="009670D3" w:rsidRPr="008B6367" w:rsidRDefault="009670D3" w:rsidP="005B72F7">
      <w:pPr>
        <w:jc w:val="both"/>
        <w:rPr>
          <w:rFonts w:ascii="Calibri" w:hAnsi="Calibri"/>
        </w:rPr>
      </w:pPr>
      <w:r w:rsidRPr="008B6367">
        <w:rPr>
          <w:rFonts w:ascii="Calibri" w:hAnsi="Calibri"/>
          <w:color w:val="000000"/>
        </w:rPr>
        <w:t xml:space="preserve">The short duration of treatment on each drug (weeks) means that it was unlikely to reveal any clinical differences e.g. seizure control, adverse effects.  The usefulness of this study is questionable as Regent phenytoin has been withdrawn and Infatabs are recognised as having a greater content of phenytoin, because it is the acid form rather than the sodium salt, and the author’s conclusions are influenced by these two products.  Differences between the other (non-Regent) generic formulations studied would be smaller and less likely to have clinical consequences. </w:t>
      </w:r>
      <w:r w:rsidRPr="008B6367">
        <w:rPr>
          <w:rFonts w:ascii="Calibri" w:hAnsi="Calibri"/>
        </w:rPr>
        <w:t>(Soryal 1992)</w:t>
      </w:r>
    </w:p>
    <w:p w14:paraId="6473BEBA" w14:textId="77777777" w:rsidR="009670D3" w:rsidRPr="008B6367" w:rsidRDefault="009670D3" w:rsidP="005B72F7">
      <w:pPr>
        <w:autoSpaceDE w:val="0"/>
        <w:autoSpaceDN w:val="0"/>
        <w:adjustRightInd w:val="0"/>
        <w:jc w:val="both"/>
        <w:rPr>
          <w:rFonts w:ascii="Calibri" w:hAnsi="Calibri"/>
        </w:rPr>
      </w:pPr>
    </w:p>
    <w:p w14:paraId="4768C9C0" w14:textId="77777777" w:rsidR="009670D3" w:rsidRPr="008B6367" w:rsidRDefault="009670D3" w:rsidP="005B72F7">
      <w:pPr>
        <w:autoSpaceDE w:val="0"/>
        <w:autoSpaceDN w:val="0"/>
        <w:adjustRightInd w:val="0"/>
        <w:jc w:val="both"/>
        <w:rPr>
          <w:rFonts w:ascii="Calibri" w:hAnsi="Calibri"/>
          <w:u w:val="single"/>
        </w:rPr>
      </w:pPr>
      <w:r w:rsidRPr="008B6367">
        <w:rPr>
          <w:rFonts w:ascii="Calibri" w:hAnsi="Calibri"/>
        </w:rPr>
        <w:t>A small bioequivalence study of phenytoin in bone marrow transplant (BMT) patients was carried out following reports of problems in these patients.  19 consecutive BMT patients were identified who received phenytoin for busulfan seizure prophylaxis, and confirmed whether th</w:t>
      </w:r>
      <w:r w:rsidR="00632EE2">
        <w:rPr>
          <w:rFonts w:ascii="Calibri" w:hAnsi="Calibri"/>
        </w:rPr>
        <w:t>eir prescriptions were Dilantin</w:t>
      </w:r>
      <w:r w:rsidRPr="008B6367">
        <w:rPr>
          <w:rFonts w:ascii="Calibri" w:hAnsi="Calibri"/>
        </w:rPr>
        <w:t xml:space="preserve"> brand (6 patients) or Mylan generic (13 patients).  The median total phenytoin value the morning after the loading dose was the same, 11 mg/dL, for both brand and generic, however the range was greater for the generic (5.5–14.5 mg/dL) than the brand (9.3–13.6 mg/dL).  The brand product seemed to deliver more consistent, predictable levels reducing the need for additional doses of phenytoin.  (Stetz 2005) </w:t>
      </w:r>
    </w:p>
    <w:p w14:paraId="1A109EF9" w14:textId="77777777" w:rsidR="009670D3" w:rsidRPr="008B6367" w:rsidRDefault="009670D3" w:rsidP="005B72F7">
      <w:pPr>
        <w:autoSpaceDE w:val="0"/>
        <w:autoSpaceDN w:val="0"/>
        <w:adjustRightInd w:val="0"/>
        <w:jc w:val="both"/>
        <w:rPr>
          <w:rFonts w:ascii="Calibri" w:hAnsi="Calibri" w:cs="NewCenturySchlbk-Roman"/>
        </w:rPr>
      </w:pPr>
    </w:p>
    <w:p w14:paraId="0AAF703B" w14:textId="77777777" w:rsidR="009670D3" w:rsidRPr="008B6367" w:rsidRDefault="009670D3" w:rsidP="005B72F7">
      <w:pPr>
        <w:autoSpaceDE w:val="0"/>
        <w:autoSpaceDN w:val="0"/>
        <w:adjustRightInd w:val="0"/>
        <w:jc w:val="both"/>
        <w:rPr>
          <w:rFonts w:ascii="Calibri" w:hAnsi="Calibri"/>
        </w:rPr>
      </w:pPr>
      <w:r w:rsidRPr="008B6367">
        <w:rPr>
          <w:rFonts w:ascii="Calibri" w:hAnsi="Calibri" w:cs="NewCenturySchlbk-Roman"/>
        </w:rPr>
        <w:t>A small bioequivalence study in the US assessed 11 epilepsy patients, over a 5-month period, who had experienced increased seizures requiring hospitalisation, emergency room visits, or urgent clinic visits.  All but one patient had a generic substituted for Dilantin.  8 patients had one or more phenytoin concentrations measured at steady-state prior to the switch to generic, while taking a generic, and after the switch back to brand. The 8 patients had no changes in daily dose of phenytoin or concomitant AEDs.  Switching from brand to generic resulted in a significant 30% decrease in both total and free phenytoin concentrations. Mean total phenytoin levels were 17.7 mg/L (</w:t>
      </w:r>
      <w:r w:rsidRPr="008B6367">
        <w:t>±</w:t>
      </w:r>
      <w:r w:rsidRPr="008B6367">
        <w:rPr>
          <w:rFonts w:ascii="Calibri" w:hAnsi="Calibri" w:cs="NewCenturySchlbk-Roman"/>
        </w:rPr>
        <w:t xml:space="preserve"> 5.3) with the brand (pre-substitution), 12.5 mg/L (</w:t>
      </w:r>
      <w:r w:rsidRPr="008B6367">
        <w:t>±</w:t>
      </w:r>
      <w:r w:rsidRPr="008B6367">
        <w:rPr>
          <w:rFonts w:ascii="Calibri" w:hAnsi="Calibri" w:cs="NewCenturySchlbk-Roman"/>
        </w:rPr>
        <w:t>2.7) on the generic, then 17.8mg/L (</w:t>
      </w:r>
      <w:r w:rsidRPr="008B6367">
        <w:t>±</w:t>
      </w:r>
      <w:r w:rsidRPr="008B6367">
        <w:rPr>
          <w:rFonts w:ascii="Calibri" w:hAnsi="Calibri" w:cs="NewCenturySchlbk-Roman"/>
        </w:rPr>
        <w:t xml:space="preserve">3.9) on the brand (post-substitution).  All 8 patients’ free phenytoin levels returned to similar pre-switch levels after restarting on the brand. (Burkhardt 2004) </w:t>
      </w:r>
    </w:p>
    <w:p w14:paraId="07713CA3" w14:textId="77777777" w:rsidR="009670D3" w:rsidRPr="008B6367" w:rsidRDefault="009670D3" w:rsidP="005B72F7">
      <w:pPr>
        <w:jc w:val="both"/>
        <w:rPr>
          <w:rFonts w:ascii="Calibri" w:hAnsi="Calibri"/>
        </w:rPr>
      </w:pPr>
    </w:p>
    <w:p w14:paraId="1E2FEB58" w14:textId="77777777" w:rsidR="009670D3" w:rsidRPr="008B6367" w:rsidRDefault="009670D3" w:rsidP="005B72F7">
      <w:pPr>
        <w:autoSpaceDE w:val="0"/>
        <w:autoSpaceDN w:val="0"/>
        <w:adjustRightInd w:val="0"/>
        <w:jc w:val="both"/>
        <w:rPr>
          <w:rFonts w:ascii="Calibri" w:hAnsi="Calibri"/>
        </w:rPr>
      </w:pPr>
      <w:r w:rsidRPr="008B6367">
        <w:rPr>
          <w:rFonts w:ascii="Calibri" w:hAnsi="Calibri"/>
        </w:rPr>
        <w:t xml:space="preserve">A comment by Rackley criticised the Burkhardt 2004 study as being too small to make conclusions about interchangeability of phenytoin brands.  The author claimed a study by Wilder et al </w:t>
      </w:r>
      <w:r w:rsidRPr="00632EE2">
        <w:rPr>
          <w:rFonts w:ascii="Calibri" w:hAnsi="Calibri"/>
          <w:color w:val="000000"/>
        </w:rPr>
        <w:t>(Wilder 2001)</w:t>
      </w:r>
      <w:r w:rsidRPr="008B6367">
        <w:rPr>
          <w:rFonts w:ascii="Calibri" w:hAnsi="Calibri"/>
        </w:rPr>
        <w:t xml:space="preserve"> concluded that Mylan’s generic extended phenytoin sodium was bioequivalent to the brand product under fed conditions. (Rackley 2005)</w:t>
      </w:r>
    </w:p>
    <w:p w14:paraId="2F64564D" w14:textId="77777777" w:rsidR="009670D3" w:rsidRPr="008B6367" w:rsidRDefault="009670D3" w:rsidP="005B72F7">
      <w:pPr>
        <w:autoSpaceDE w:val="0"/>
        <w:autoSpaceDN w:val="0"/>
        <w:adjustRightInd w:val="0"/>
        <w:jc w:val="both"/>
        <w:rPr>
          <w:rFonts w:ascii="Calibri" w:hAnsi="Calibri"/>
        </w:rPr>
      </w:pPr>
    </w:p>
    <w:p w14:paraId="374F9ED1" w14:textId="77777777" w:rsidR="009670D3" w:rsidRPr="008B6367" w:rsidRDefault="009670D3" w:rsidP="005B72F7">
      <w:pPr>
        <w:jc w:val="both"/>
        <w:rPr>
          <w:rFonts w:ascii="Calibri" w:hAnsi="Calibri"/>
        </w:rPr>
      </w:pPr>
      <w:r w:rsidRPr="008B6367">
        <w:rPr>
          <w:rFonts w:ascii="Calibri" w:hAnsi="Calibri"/>
        </w:rPr>
        <w:t>A multiple-dose, crossover, bioequivalence study in the UK compared the serum phenytoin concentrations when epileptic patients took Epanutin capsules and four formulations of phenytoin sodium tablets B.P.   The 5 formulations were Epanutin capsules by Parke-Davis and generic phenytoin by Boots, Cox, Kerfoot and Macarthy.  18 patients aged 26-68 years from an epilepsy centre completed the trial. All were on long-term treatment with phenytoin alone or with other AEDs. The doses of all the drugs were kept constant throughout the course of the study. During the base-line period the patients received their usual brand of phenytoin, Boots BP tablets. Patients were changed every 3 weeks to one of the five test phenytoin preparations. Compliance was checked with tablet counts.</w:t>
      </w:r>
    </w:p>
    <w:p w14:paraId="048C7F69" w14:textId="77777777" w:rsidR="009670D3" w:rsidRPr="008B6367" w:rsidRDefault="009670D3" w:rsidP="005B72F7">
      <w:pPr>
        <w:autoSpaceDE w:val="0"/>
        <w:autoSpaceDN w:val="0"/>
        <w:adjustRightInd w:val="0"/>
        <w:jc w:val="both"/>
        <w:rPr>
          <w:rFonts w:ascii="Calibri" w:hAnsi="Calibri"/>
        </w:rPr>
      </w:pPr>
    </w:p>
    <w:p w14:paraId="1D009D90" w14:textId="77777777" w:rsidR="009670D3" w:rsidRPr="008B6367" w:rsidRDefault="009670D3" w:rsidP="005B72F7">
      <w:pPr>
        <w:autoSpaceDE w:val="0"/>
        <w:autoSpaceDN w:val="0"/>
        <w:adjustRightInd w:val="0"/>
        <w:jc w:val="both"/>
        <w:rPr>
          <w:rFonts w:ascii="Calibri" w:hAnsi="Calibri"/>
        </w:rPr>
      </w:pPr>
      <w:r w:rsidRPr="008B6367">
        <w:rPr>
          <w:rFonts w:ascii="Calibri" w:hAnsi="Calibri"/>
        </w:rPr>
        <w:t xml:space="preserve">The mean serum phenytoin concentrations were between 39.2 and 45.9 micromol/L and ranges were between 8.0 and 104 micromol/L for the 5 formulations. Two different lots of Boots BP tablets were used in the study and a significant rise in serum phenytoin occurred when patients switched to a different batch of the brand.  This could be due to a difference in bioavailability or improvements in compliance after entry to the study as there were no baseline compliance checks. The authors concluded </w:t>
      </w:r>
      <w:r w:rsidRPr="008B6367">
        <w:rPr>
          <w:rFonts w:ascii="Calibri" w:hAnsi="Calibri"/>
          <w:color w:val="000000"/>
        </w:rPr>
        <w:t>that changing phenytoin preparation was unlikely to be of clinical significance.</w:t>
      </w:r>
      <w:r w:rsidRPr="008B6367">
        <w:rPr>
          <w:rFonts w:ascii="Calibri" w:hAnsi="Calibri"/>
          <w:bCs/>
          <w:color w:val="000000"/>
        </w:rPr>
        <w:t xml:space="preserve">  However, this study took place over 30 years ago and it is unknown if there was any change in adverse event rate.  </w:t>
      </w:r>
      <w:r w:rsidRPr="008B6367">
        <w:rPr>
          <w:rFonts w:ascii="Calibri" w:hAnsi="Calibri"/>
          <w:bCs/>
        </w:rPr>
        <w:t>(Chen</w:t>
      </w:r>
      <w:r w:rsidRPr="008B6367">
        <w:rPr>
          <w:rFonts w:ascii="Calibri" w:hAnsi="Calibri"/>
        </w:rPr>
        <w:t xml:space="preserve"> 1982)</w:t>
      </w:r>
    </w:p>
    <w:p w14:paraId="3BA95C8D" w14:textId="77777777" w:rsidR="009670D3" w:rsidRPr="008B6367" w:rsidRDefault="009670D3" w:rsidP="005B72F7">
      <w:pPr>
        <w:autoSpaceDE w:val="0"/>
        <w:autoSpaceDN w:val="0"/>
        <w:adjustRightInd w:val="0"/>
        <w:jc w:val="both"/>
        <w:rPr>
          <w:rFonts w:ascii="Calibri" w:hAnsi="Calibri"/>
        </w:rPr>
      </w:pPr>
    </w:p>
    <w:p w14:paraId="6B5072C0" w14:textId="77777777" w:rsidR="009670D3" w:rsidRPr="008B6367" w:rsidRDefault="009670D3" w:rsidP="005B72F7">
      <w:pPr>
        <w:autoSpaceDE w:val="0"/>
        <w:autoSpaceDN w:val="0"/>
        <w:adjustRightInd w:val="0"/>
        <w:jc w:val="both"/>
        <w:rPr>
          <w:rFonts w:ascii="Calibri" w:hAnsi="Calibri"/>
        </w:rPr>
      </w:pPr>
      <w:r w:rsidRPr="008B6367">
        <w:rPr>
          <w:rFonts w:ascii="Calibri" w:hAnsi="Calibri"/>
          <w:color w:val="000000"/>
        </w:rPr>
        <w:t xml:space="preserve">A survey of physicians in the US found that </w:t>
      </w:r>
      <w:r w:rsidRPr="008B6367">
        <w:rPr>
          <w:rFonts w:ascii="Calibri" w:hAnsi="Calibri"/>
        </w:rPr>
        <w:t>293 (65%) out of 451 neurologists who completed the online survey had a patient who experienced a loss of seizure control caused by either a switch from a brand to a generic AED or from uncontrolled switching between generic forms of an AED.  50/293 cases were chosen randomly for further review.  There were 15</w:t>
      </w:r>
      <w:r w:rsidRPr="008B6367">
        <w:rPr>
          <w:rFonts w:ascii="Calibri" w:eastAsia="MinionPro-Regular" w:hAnsi="Calibri"/>
        </w:rPr>
        <w:t xml:space="preserve"> patients on phenytoin in the random sample</w:t>
      </w:r>
      <w:r w:rsidRPr="008B6367">
        <w:rPr>
          <w:rFonts w:ascii="Calibri" w:hAnsi="Calibri"/>
        </w:rPr>
        <w:t xml:space="preserve">, who were well-controlled on the brand AED, and who subsequently experienced a breakthrough seizure or increased seizure frequency after switching to a generic without other provoking factors. [Two patients were on a combination of two AEDs, both of which were switched to generics (unknown which AEDs)]. </w:t>
      </w:r>
    </w:p>
    <w:p w14:paraId="084F0E50" w14:textId="77777777" w:rsidR="009670D3" w:rsidRPr="008B6367" w:rsidRDefault="009670D3" w:rsidP="005B72F7">
      <w:pPr>
        <w:autoSpaceDE w:val="0"/>
        <w:autoSpaceDN w:val="0"/>
        <w:adjustRightInd w:val="0"/>
        <w:jc w:val="both"/>
        <w:rPr>
          <w:rFonts w:ascii="Calibri" w:eastAsia="MinionPro-Regular" w:hAnsi="Calibri"/>
        </w:rPr>
      </w:pPr>
      <w:r w:rsidRPr="008B6367">
        <w:rPr>
          <w:rFonts w:ascii="Calibri" w:hAnsi="Calibri"/>
        </w:rPr>
        <w:t xml:space="preserve">The blood levels of patients who were switched to generic phenytoin decreased by an average of 40% which was more of a decline than those switched to generic carbamazepine 20% or valproic acid 34%. 5 patients had blood levels after switching back to brand and levels returned to near the original baseline level. (Berg </w:t>
      </w:r>
      <w:r w:rsidRPr="008B6367">
        <w:rPr>
          <w:rFonts w:ascii="Calibri" w:eastAsia="MinionPro-Regular" w:hAnsi="Calibri"/>
        </w:rPr>
        <w:t xml:space="preserve">2008) </w:t>
      </w:r>
    </w:p>
    <w:p w14:paraId="5BE4CF87" w14:textId="77777777" w:rsidR="009670D3" w:rsidRPr="008B6367" w:rsidRDefault="009670D3" w:rsidP="005B72F7">
      <w:pPr>
        <w:autoSpaceDE w:val="0"/>
        <w:autoSpaceDN w:val="0"/>
        <w:adjustRightInd w:val="0"/>
        <w:jc w:val="both"/>
        <w:rPr>
          <w:rFonts w:ascii="Calibri" w:hAnsi="Calibri"/>
          <w:color w:val="000000"/>
        </w:rPr>
      </w:pPr>
    </w:p>
    <w:p w14:paraId="73FA5E48" w14:textId="77777777" w:rsidR="009670D3" w:rsidRPr="008B6367" w:rsidRDefault="009670D3" w:rsidP="005B72F7">
      <w:pPr>
        <w:autoSpaceDE w:val="0"/>
        <w:autoSpaceDN w:val="0"/>
        <w:adjustRightInd w:val="0"/>
        <w:jc w:val="both"/>
        <w:rPr>
          <w:rFonts w:ascii="Calibri" w:hAnsi="Calibri"/>
        </w:rPr>
      </w:pPr>
      <w:r w:rsidRPr="008B6367">
        <w:rPr>
          <w:rFonts w:ascii="Calibri" w:hAnsi="Calibri"/>
          <w:color w:val="000000"/>
        </w:rPr>
        <w:t>A US retrospective case-control analysis identified claims from the Ingenix LabRx Database between 7/1/2006 and 12/31/2006. This time period was shortly after the introduction of generic zonisamide to the market in the US.  Epileptic patients who had received emergency care for epilepsy related events (cases) were more likely to have been switched between brand and generic AEDs (47/416, 11.3%), than epileptic patients seen in outpatients (controls) during the same period (81/1248, 6.5%)</w:t>
      </w:r>
      <w:r w:rsidR="00632EE2">
        <w:rPr>
          <w:rFonts w:ascii="Calibri" w:hAnsi="Calibri"/>
          <w:color w:val="000000"/>
        </w:rPr>
        <w:t>.  Phenytoin accounted for 9/47 cases and 40/81</w:t>
      </w:r>
      <w:r w:rsidRPr="008B6367">
        <w:rPr>
          <w:rFonts w:ascii="Calibri" w:hAnsi="Calibri"/>
          <w:color w:val="000000"/>
        </w:rPr>
        <w:t xml:space="preserve"> controls who had switched</w:t>
      </w:r>
      <w:r w:rsidRPr="008B6367">
        <w:rPr>
          <w:rFonts w:ascii="Calibri" w:hAnsi="Calibri"/>
        </w:rPr>
        <w:t xml:space="preserve">.  The majority of patients experiencing switches (70 of 128, 54.7%) across all AED matched cases and controls occurred within 2 months of the index date.  Cases (n = 416) had 81% greater odds of having had an AED formulation switch [odds ratio (OR) = 1.81; 95% confidence interval (CI) = 1.25 to 2.63] relative to controls (n = 1248). There were no significant differences between groups regarding demographics or diagnosis. (Zachry 2009) </w:t>
      </w:r>
    </w:p>
    <w:p w14:paraId="66FFF41A" w14:textId="77777777" w:rsidR="009670D3" w:rsidRPr="008B6367" w:rsidRDefault="009670D3" w:rsidP="005B72F7">
      <w:pPr>
        <w:jc w:val="both"/>
        <w:rPr>
          <w:rFonts w:ascii="Calibri" w:hAnsi="Calibri"/>
        </w:rPr>
      </w:pPr>
    </w:p>
    <w:p w14:paraId="044484B5" w14:textId="77777777" w:rsidR="009670D3" w:rsidRPr="008B6367" w:rsidRDefault="009670D3" w:rsidP="005B72F7">
      <w:pPr>
        <w:autoSpaceDE w:val="0"/>
        <w:autoSpaceDN w:val="0"/>
        <w:adjustRightInd w:val="0"/>
        <w:jc w:val="both"/>
        <w:rPr>
          <w:rFonts w:ascii="Calibri" w:hAnsi="Calibri"/>
        </w:rPr>
      </w:pPr>
      <w:r w:rsidRPr="008B6367">
        <w:rPr>
          <w:rFonts w:ascii="Calibri" w:hAnsi="Calibri"/>
        </w:rPr>
        <w:t>In a study in 2006 claims from a US pharmacy claims database (Thomson Healthcare MarketScan) were analysed.  This was a time period shortly after the introduction of generic zonisamide.  It was found that patients who had received emergency care for epilepsy related events (cases) were more likely to have been switched between brand and generic AED (84/757, 11.1%) compared to epileptic patients who were seen in outpatients (controls) during the same period (147/2271, 6.5%).  The odds of emergency treated epilepsy-related event was 1.78 (95% CI 1.35 – 2.36) for those who experienced a switch.  The majority of switches in both cases and controls involved 1 of 4 AEDs, including phenytoin.  The highest number of switches among cases occurred with zonisamide (n = 23), clonazepam (n = 21), and phenytoin (n = 19), whereas most switches among controls involved phenytoin (n = 41), zonisamide (n = 40), and carbamazepine (n = 19).  There was no breakdown of the number of patients on phenytoin in the control group and case group to determine or compare incidence. (Hansen 2009)</w:t>
      </w:r>
    </w:p>
    <w:p w14:paraId="53A3BF83" w14:textId="77777777" w:rsidR="009670D3" w:rsidRPr="008B6367" w:rsidRDefault="009670D3" w:rsidP="005B72F7">
      <w:pPr>
        <w:jc w:val="both"/>
        <w:rPr>
          <w:rFonts w:ascii="Calibri" w:hAnsi="Calibri"/>
        </w:rPr>
      </w:pPr>
    </w:p>
    <w:p w14:paraId="4BF6E16D" w14:textId="77777777" w:rsidR="009670D3" w:rsidRPr="008B6367" w:rsidRDefault="009670D3" w:rsidP="005B72F7">
      <w:pPr>
        <w:autoSpaceDE w:val="0"/>
        <w:autoSpaceDN w:val="0"/>
        <w:adjustRightInd w:val="0"/>
        <w:jc w:val="both"/>
        <w:rPr>
          <w:rFonts w:ascii="Calibri" w:eastAsia="MinionPro-Regular" w:hAnsi="Calibri"/>
        </w:rPr>
      </w:pPr>
      <w:r w:rsidRPr="008B6367">
        <w:rPr>
          <w:rFonts w:ascii="Calibri" w:eastAsia="MinionPro-Regular" w:hAnsi="Calibri"/>
        </w:rPr>
        <w:t>A US study used claims data from PharMetrics Database between January 2000 and October 2007. 33625 patients were taking 1 of 5 AEDs (carbamazepine, gabapentin, phenytoin, primidone, zonisamide) and the mean observation period was 4 years.</w:t>
      </w:r>
    </w:p>
    <w:p w14:paraId="5932EE75" w14:textId="77777777" w:rsidR="009670D3" w:rsidRPr="008B6367" w:rsidRDefault="009670D3" w:rsidP="005B72F7">
      <w:pPr>
        <w:autoSpaceDE w:val="0"/>
        <w:autoSpaceDN w:val="0"/>
        <w:adjustRightInd w:val="0"/>
        <w:jc w:val="both"/>
        <w:rPr>
          <w:rFonts w:ascii="Calibri" w:hAnsi="Calibri"/>
        </w:rPr>
      </w:pPr>
      <w:r w:rsidRPr="008B6367">
        <w:rPr>
          <w:rFonts w:ascii="Calibri" w:hAnsi="Calibri"/>
          <w:bCs/>
        </w:rPr>
        <w:t>There were 16668 patients on phenytoin of which 5873 (35.2%) were on polytherapy and 8040 (48.2%) had stable epilepsy (</w:t>
      </w:r>
      <w:r w:rsidRPr="008B6367">
        <w:rPr>
          <w:rFonts w:ascii="Calibri" w:hAnsi="Calibri"/>
        </w:rPr>
        <w:t xml:space="preserve">defined as patients with ≤2 outpatient services per year on average throughout the observation period and no </w:t>
      </w:r>
      <w:r w:rsidR="000E2192">
        <w:rPr>
          <w:rFonts w:ascii="Calibri" w:hAnsi="Calibri"/>
        </w:rPr>
        <w:t>emergency department</w:t>
      </w:r>
      <w:r w:rsidRPr="008B6367">
        <w:rPr>
          <w:rFonts w:ascii="Calibri" w:hAnsi="Calibri"/>
        </w:rPr>
        <w:t xml:space="preserve"> visit</w:t>
      </w:r>
      <w:r w:rsidR="000E2192">
        <w:rPr>
          <w:rFonts w:ascii="Calibri" w:hAnsi="Calibri"/>
        </w:rPr>
        <w:t>s</w:t>
      </w:r>
      <w:r w:rsidRPr="008B6367">
        <w:rPr>
          <w:rFonts w:ascii="Calibri" w:hAnsi="Calibri"/>
        </w:rPr>
        <w:t xml:space="preserve"> associated with epilepsy or non-febrile convulsions).</w:t>
      </w:r>
    </w:p>
    <w:p w14:paraId="11F2F2DF" w14:textId="77777777" w:rsidR="009670D3" w:rsidRPr="008B6367" w:rsidRDefault="009670D3" w:rsidP="005B72F7">
      <w:pPr>
        <w:autoSpaceDE w:val="0"/>
        <w:autoSpaceDN w:val="0"/>
        <w:adjustRightInd w:val="0"/>
        <w:jc w:val="both"/>
        <w:rPr>
          <w:rFonts w:ascii="Calibri" w:hAnsi="Calibri"/>
        </w:rPr>
      </w:pPr>
    </w:p>
    <w:p w14:paraId="305C0BDC" w14:textId="77777777" w:rsidR="009670D3" w:rsidRPr="008B6367" w:rsidRDefault="009670D3" w:rsidP="005B72F7">
      <w:pPr>
        <w:autoSpaceDE w:val="0"/>
        <w:autoSpaceDN w:val="0"/>
        <w:adjustRightInd w:val="0"/>
        <w:jc w:val="both"/>
        <w:rPr>
          <w:rFonts w:ascii="Calibri" w:hAnsi="Calibri"/>
        </w:rPr>
      </w:pPr>
      <w:r w:rsidRPr="008B6367">
        <w:rPr>
          <w:rFonts w:ascii="Calibri" w:hAnsi="Calibri"/>
        </w:rPr>
        <w:t>7560 (45.4%) only used branded phenytoin, 5689 (34.1%) used generic only and 3419 (20.5%) used brand and generic. 8488 (93.2%) received only one generic version during the study period while 462 (5.1%) received two and 158 (1.7%) received three versions.  After one year 2259 (12.1%) had switched from brand to generic, of which 760 (32.3%) switched back to brand.  Rates of healthcare utilisation were not reported for individual AEDs and neither were reasons for switchback. (Labiner 2010)</w:t>
      </w:r>
    </w:p>
    <w:p w14:paraId="563FCF43" w14:textId="77777777" w:rsidR="009670D3" w:rsidRPr="008B6367" w:rsidRDefault="009670D3" w:rsidP="005B72F7">
      <w:pPr>
        <w:jc w:val="both"/>
        <w:rPr>
          <w:rFonts w:ascii="Calibri" w:hAnsi="Calibri"/>
        </w:rPr>
      </w:pPr>
    </w:p>
    <w:p w14:paraId="68FF1D19" w14:textId="77777777" w:rsidR="009670D3" w:rsidRPr="008B6367" w:rsidRDefault="009670D3" w:rsidP="005B72F7">
      <w:pPr>
        <w:autoSpaceDE w:val="0"/>
        <w:autoSpaceDN w:val="0"/>
        <w:adjustRightInd w:val="0"/>
        <w:jc w:val="both"/>
        <w:rPr>
          <w:rFonts w:ascii="Calibri" w:hAnsi="Calibri"/>
        </w:rPr>
      </w:pPr>
      <w:r w:rsidRPr="008B6367">
        <w:rPr>
          <w:rStyle w:val="article-articlebody"/>
          <w:rFonts w:ascii="Calibri" w:hAnsi="Calibri"/>
        </w:rPr>
        <w:t xml:space="preserve">A </w:t>
      </w:r>
      <w:r w:rsidRPr="008B6367">
        <w:rPr>
          <w:rFonts w:ascii="Calibri" w:hAnsi="Calibri"/>
        </w:rPr>
        <w:t>large</w:t>
      </w:r>
      <w:r w:rsidRPr="008B6367">
        <w:rPr>
          <w:rStyle w:val="article-articlebody"/>
          <w:rFonts w:ascii="Calibri" w:hAnsi="Calibri"/>
        </w:rPr>
        <w:t xml:space="preserve"> US </w:t>
      </w:r>
      <w:r w:rsidRPr="008B6367">
        <w:rPr>
          <w:rFonts w:ascii="Calibri" w:hAnsi="Calibri"/>
        </w:rPr>
        <w:t>retrospective cohort analysis used pharmacy and medical claims and enrolment data from a claims database (Medicare) between 2002 and 2008.  Epileptic patients taking divalproex, lamotrigine and phenytoin were studied and divided into cohorts of patients who switched from the brand to a generic version and patients who remained on the same brand AED.  Inclusion in the study required &gt; 80% adherence.  Each phenytoin cohort had 745 patients (after matching 1:1). The majority of phenytoin patients in the study had utilised only one AED during the 6-month pre-index period. However, a significant portion (28.5 – 28.6%) utilised two AEDs and 5.9 – 6.4% utilised three AEDs and less than 1% utilised four AEDs or more.</w:t>
      </w:r>
    </w:p>
    <w:p w14:paraId="1E0C272B" w14:textId="77777777" w:rsidR="009670D3" w:rsidRPr="008B6367" w:rsidRDefault="009670D3" w:rsidP="005B72F7">
      <w:pPr>
        <w:autoSpaceDE w:val="0"/>
        <w:autoSpaceDN w:val="0"/>
        <w:adjustRightInd w:val="0"/>
        <w:jc w:val="both"/>
        <w:rPr>
          <w:rFonts w:ascii="Calibri" w:hAnsi="Calibri"/>
        </w:rPr>
      </w:pPr>
    </w:p>
    <w:p w14:paraId="5347635A" w14:textId="77777777" w:rsidR="009670D3" w:rsidRPr="008B6367" w:rsidRDefault="0015514C" w:rsidP="005B72F7">
      <w:pPr>
        <w:autoSpaceDE w:val="0"/>
        <w:autoSpaceDN w:val="0"/>
        <w:adjustRightInd w:val="0"/>
        <w:jc w:val="both"/>
        <w:rPr>
          <w:rFonts w:ascii="Calibri" w:hAnsi="Calibri"/>
          <w:highlight w:val="yellow"/>
        </w:rPr>
      </w:pPr>
      <w:r>
        <w:rPr>
          <w:rFonts w:ascii="Calibri" w:hAnsi="Calibri"/>
        </w:rPr>
        <w:t>The incident rate</w:t>
      </w:r>
      <w:r w:rsidR="009670D3" w:rsidRPr="008B6367">
        <w:rPr>
          <w:rFonts w:ascii="Calibri" w:hAnsi="Calibri"/>
        </w:rPr>
        <w:t xml:space="preserve"> for: discontinuation of AED, dose change of AED, or AED add-on therapy per person-year was 1.85 (95% CI 1.50–2.29) for phenytoin, 1.00 (95% CI 0.84–1.19) for lamotrigine and 1.02 (95% CI 0.88–1.42) for divalproex.</w:t>
      </w:r>
    </w:p>
    <w:p w14:paraId="74BB5F84" w14:textId="77777777" w:rsidR="009670D3" w:rsidRPr="008B6367" w:rsidRDefault="009670D3" w:rsidP="005B72F7">
      <w:pPr>
        <w:autoSpaceDE w:val="0"/>
        <w:autoSpaceDN w:val="0"/>
        <w:adjustRightInd w:val="0"/>
        <w:jc w:val="both"/>
        <w:rPr>
          <w:rFonts w:ascii="Calibri" w:hAnsi="Calibri"/>
        </w:rPr>
      </w:pPr>
      <w:r w:rsidRPr="008B6367">
        <w:rPr>
          <w:rFonts w:ascii="Calibri" w:hAnsi="Calibri"/>
        </w:rPr>
        <w:t>The event rates of all-cause emergency department visits and hospitalisations per person-year comparing the generic switch cohort with the non-switch cohort was 0.96 (95% CI 0.80 -1.16) for phenytoin, 0.97 (95% CI 0.80 - 1.17) for lamotrigine, and 0.84 (95% CI 0.66 -1.06) for divalproex.</w:t>
      </w:r>
    </w:p>
    <w:p w14:paraId="534C3367" w14:textId="77777777" w:rsidR="009670D3" w:rsidRPr="008B6367" w:rsidRDefault="009670D3" w:rsidP="005B72F7">
      <w:pPr>
        <w:autoSpaceDE w:val="0"/>
        <w:autoSpaceDN w:val="0"/>
        <w:adjustRightInd w:val="0"/>
        <w:jc w:val="both"/>
        <w:rPr>
          <w:rFonts w:ascii="Calibri" w:hAnsi="Calibri"/>
        </w:rPr>
      </w:pPr>
    </w:p>
    <w:p w14:paraId="2D5CD85A" w14:textId="77777777" w:rsidR="009670D3" w:rsidRPr="008B6367" w:rsidRDefault="009670D3" w:rsidP="005B72F7">
      <w:pPr>
        <w:autoSpaceDE w:val="0"/>
        <w:autoSpaceDN w:val="0"/>
        <w:adjustRightInd w:val="0"/>
        <w:jc w:val="both"/>
        <w:rPr>
          <w:rFonts w:ascii="Calibri" w:hAnsi="Calibri"/>
        </w:rPr>
      </w:pPr>
      <w:r w:rsidRPr="008B6367">
        <w:rPr>
          <w:rFonts w:ascii="Calibri" w:hAnsi="Calibri"/>
        </w:rPr>
        <w:t>The authors concluded that patients, who switched from branded to generic phenytoin, did not experience a greater incidence of all-cause emergency department visits or hospitalisations.  However they also found phenytoin patients experienced higher rates of discontinuation, change in dose, or addition of second AED.</w:t>
      </w:r>
      <w:r w:rsidRPr="008B6367">
        <w:rPr>
          <w:rFonts w:ascii="Calibri" w:hAnsi="Calibri" w:cs="AdvPS_TIR"/>
          <w:sz w:val="20"/>
          <w:szCs w:val="20"/>
        </w:rPr>
        <w:t xml:space="preserve"> </w:t>
      </w:r>
      <w:r w:rsidRPr="008B6367">
        <w:rPr>
          <w:rFonts w:ascii="Calibri" w:hAnsi="Calibri" w:cs="AdvPS_TIR"/>
        </w:rPr>
        <w:t>(</w:t>
      </w:r>
      <w:r w:rsidRPr="008B6367">
        <w:rPr>
          <w:rFonts w:ascii="Calibri" w:hAnsi="Calibri"/>
        </w:rPr>
        <w:t xml:space="preserve">Erickson 2011)    </w:t>
      </w:r>
    </w:p>
    <w:p w14:paraId="5DE4B7AE" w14:textId="77777777" w:rsidR="009670D3" w:rsidRPr="008B6367" w:rsidRDefault="009670D3" w:rsidP="005B72F7">
      <w:pPr>
        <w:jc w:val="both"/>
        <w:rPr>
          <w:rFonts w:ascii="Calibri" w:hAnsi="Calibri"/>
        </w:rPr>
      </w:pPr>
    </w:p>
    <w:p w14:paraId="2A6776E3" w14:textId="77777777" w:rsidR="009670D3" w:rsidRPr="008B6367" w:rsidRDefault="009670D3" w:rsidP="005B72F7">
      <w:pPr>
        <w:jc w:val="both"/>
        <w:rPr>
          <w:rFonts w:ascii="Calibri" w:hAnsi="Calibri"/>
        </w:rPr>
      </w:pPr>
      <w:r w:rsidRPr="008B6367">
        <w:rPr>
          <w:rFonts w:ascii="Calibri" w:hAnsi="Calibri"/>
        </w:rPr>
        <w:t xml:space="preserve">A retrospective US study analysed claims between July 2007 and May 2008 from a pharmacy and medical database (Kaiser Permanente Colorado).   222 patients were switched from brand (Dilantin Kapseals) to a generic phenytoin (manufactured by Taro Pharmaceuticals) and data included 6 months prior and 6 months post-switch for each patient.  24 (10.8%) and 16 (7.2%) patients had their phenytoin dose increased in the pre- and post-switch periods respectively </w:t>
      </w:r>
      <w:r w:rsidRPr="008B6367">
        <w:rPr>
          <w:rFonts w:ascii="Calibri" w:hAnsi="Calibri" w:cs="Times-Roman"/>
        </w:rPr>
        <w:t xml:space="preserve">(p &gt; 0.05); 16 (7.2%) and 13 (5.9%) patients had their phenytoin dose decreased in the pre- and post-switch periods, respectively (p &gt; 0.05).  14 patients (6.3%) in each time period (pre- and post- switch) had seizure events in resulting in emergency department visits or hospitalisation (p = 1.00) of which 3 (1.4%) patients experienced a seizure event in both time periods. A total of 129 (58.1%) and 199 (89.6%) patients had at least 1 phenytoin serum concentration measured in the pre-switch and post-switch periods, respectively.  Toxic serum concentrations (20 – 30 mcg/ml) with symptom events were not significantly different between the study periods 26 [11.7%] pre-switch vs 27 [12.1%] post-switch, p &gt;0.05.  More patients in the post-switch period had </w:t>
      </w:r>
      <w:r w:rsidRPr="008B6367">
        <w:t>≥</w:t>
      </w:r>
      <w:r w:rsidRPr="008B6367">
        <w:rPr>
          <w:rFonts w:ascii="Calibri" w:hAnsi="Calibri" w:cs="Times-Roman"/>
        </w:rPr>
        <w:t xml:space="preserve"> 1 low serum concentration than in the pre-switch period 96 [43.2%] vs 50 [22.5%] (p &lt; 0.001). 6 (12.0%) patients in the pre-switch period and 6 (6.3%) patients in the post-switch period who had a low serum concentration experienced a seizure event that resulted in an emergency department visit or hospitalisation.</w:t>
      </w:r>
    </w:p>
    <w:p w14:paraId="5E48B2C9" w14:textId="77777777" w:rsidR="009670D3" w:rsidRPr="008B6367" w:rsidRDefault="009670D3" w:rsidP="005B72F7">
      <w:pPr>
        <w:jc w:val="both"/>
        <w:rPr>
          <w:rFonts w:ascii="Calibri" w:hAnsi="Calibri"/>
        </w:rPr>
      </w:pPr>
    </w:p>
    <w:p w14:paraId="25FFBE6F" w14:textId="77777777" w:rsidR="009670D3" w:rsidRPr="008B6367" w:rsidRDefault="009670D3" w:rsidP="005B72F7">
      <w:pPr>
        <w:autoSpaceDE w:val="0"/>
        <w:autoSpaceDN w:val="0"/>
        <w:adjustRightInd w:val="0"/>
        <w:jc w:val="both"/>
        <w:rPr>
          <w:rFonts w:ascii="Calibri" w:hAnsi="Calibri" w:cs="Times-Roman"/>
        </w:rPr>
      </w:pPr>
      <w:r w:rsidRPr="008B6367">
        <w:rPr>
          <w:rFonts w:ascii="Calibri" w:hAnsi="Calibri" w:cs="Times-Roman"/>
        </w:rPr>
        <w:t xml:space="preserve">The authors concluded that there was no observed increase in emergency department visits or hospitalisation for seizure after switching to generic phenytoin. </w:t>
      </w:r>
    </w:p>
    <w:p w14:paraId="5F397400" w14:textId="77777777" w:rsidR="009670D3" w:rsidRPr="008B6367" w:rsidRDefault="009670D3" w:rsidP="005B72F7">
      <w:pPr>
        <w:autoSpaceDE w:val="0"/>
        <w:autoSpaceDN w:val="0"/>
        <w:adjustRightInd w:val="0"/>
        <w:jc w:val="both"/>
        <w:rPr>
          <w:rFonts w:ascii="Calibri" w:hAnsi="Calibri"/>
          <w:color w:val="000000"/>
        </w:rPr>
      </w:pPr>
      <w:r w:rsidRPr="008B6367">
        <w:rPr>
          <w:rFonts w:ascii="Calibri" w:hAnsi="Calibri" w:cs="Times-Roman"/>
        </w:rPr>
        <w:t xml:space="preserve">Despite a higher proportion of patients with a low phenytoin serum concentration in the post-switch period no increase in the proportion of patients with a seizure was identified.  There was a low prevalence of seizures in this study so a larger study would be needed to confirm this effect. </w:t>
      </w:r>
      <w:r w:rsidRPr="008B6367">
        <w:rPr>
          <w:rStyle w:val="Strong"/>
          <w:rFonts w:ascii="Calibri" w:hAnsi="Calibri"/>
          <w:b w:val="0"/>
          <w:lang w:val="en"/>
        </w:rPr>
        <w:t xml:space="preserve">(Kinikar 2012) </w:t>
      </w:r>
    </w:p>
    <w:p w14:paraId="3A240F5F" w14:textId="77777777" w:rsidR="00846DE7" w:rsidRPr="008B6367" w:rsidRDefault="00846DE7" w:rsidP="005B72F7">
      <w:pPr>
        <w:jc w:val="both"/>
        <w:rPr>
          <w:rFonts w:ascii="Calibri" w:hAnsi="Calibri"/>
        </w:rPr>
      </w:pPr>
    </w:p>
    <w:p w14:paraId="146E9485" w14:textId="77777777" w:rsidR="00846DE7" w:rsidRDefault="00846DE7" w:rsidP="005B72F7">
      <w:pPr>
        <w:jc w:val="both"/>
        <w:rPr>
          <w:rFonts w:ascii="Calibri" w:hAnsi="Calibri"/>
        </w:rPr>
      </w:pPr>
    </w:p>
    <w:p w14:paraId="71446018" w14:textId="77777777" w:rsidR="008B6367" w:rsidRDefault="008B6367" w:rsidP="005B72F7">
      <w:pPr>
        <w:jc w:val="both"/>
        <w:rPr>
          <w:rFonts w:ascii="Calibri" w:hAnsi="Calibri"/>
        </w:rPr>
      </w:pPr>
    </w:p>
    <w:p w14:paraId="6727783F" w14:textId="77777777" w:rsidR="008B6367" w:rsidRDefault="008B6367" w:rsidP="005B72F7">
      <w:pPr>
        <w:jc w:val="both"/>
        <w:rPr>
          <w:rFonts w:ascii="Calibri" w:hAnsi="Calibri"/>
        </w:rPr>
      </w:pPr>
    </w:p>
    <w:p w14:paraId="703CE8B8" w14:textId="77777777" w:rsidR="008B6367" w:rsidRDefault="008B6367" w:rsidP="005B72F7">
      <w:pPr>
        <w:jc w:val="both"/>
        <w:rPr>
          <w:rFonts w:ascii="Calibri" w:hAnsi="Calibri"/>
        </w:rPr>
      </w:pPr>
    </w:p>
    <w:p w14:paraId="6BB8C0E5" w14:textId="77777777" w:rsidR="008B6367" w:rsidRDefault="008B6367" w:rsidP="005B72F7">
      <w:pPr>
        <w:jc w:val="both"/>
        <w:rPr>
          <w:rFonts w:ascii="Calibri" w:hAnsi="Calibri"/>
        </w:rPr>
      </w:pPr>
    </w:p>
    <w:p w14:paraId="29CCFA51" w14:textId="77777777" w:rsidR="008B6367" w:rsidRDefault="008B6367" w:rsidP="005B72F7">
      <w:pPr>
        <w:jc w:val="both"/>
        <w:rPr>
          <w:rFonts w:ascii="Calibri" w:hAnsi="Calibri"/>
        </w:rPr>
      </w:pPr>
    </w:p>
    <w:p w14:paraId="37ABC945" w14:textId="77777777" w:rsidR="008B6367" w:rsidRDefault="008B6367" w:rsidP="005B72F7">
      <w:pPr>
        <w:jc w:val="both"/>
        <w:rPr>
          <w:rFonts w:ascii="Calibri" w:hAnsi="Calibri"/>
        </w:rPr>
      </w:pPr>
    </w:p>
    <w:p w14:paraId="54553FB8" w14:textId="77777777" w:rsidR="008B6367" w:rsidRDefault="008B6367" w:rsidP="005B72F7">
      <w:pPr>
        <w:jc w:val="both"/>
        <w:rPr>
          <w:rFonts w:ascii="Calibri" w:hAnsi="Calibri"/>
        </w:rPr>
      </w:pPr>
    </w:p>
    <w:p w14:paraId="657A6602" w14:textId="77777777" w:rsidR="008B6367" w:rsidRDefault="008B6367" w:rsidP="005B72F7">
      <w:pPr>
        <w:jc w:val="both"/>
        <w:rPr>
          <w:rFonts w:ascii="Calibri" w:hAnsi="Calibri"/>
        </w:rPr>
      </w:pPr>
    </w:p>
    <w:p w14:paraId="23A857B6" w14:textId="5343D1EF" w:rsidR="008B6367" w:rsidRDefault="008B6367" w:rsidP="005B72F7">
      <w:pPr>
        <w:jc w:val="both"/>
        <w:rPr>
          <w:rFonts w:ascii="Calibri" w:hAnsi="Calibri"/>
        </w:rPr>
      </w:pPr>
    </w:p>
    <w:p w14:paraId="6BD99351" w14:textId="14F56DEF" w:rsidR="00D02DC3" w:rsidRDefault="00D02DC3" w:rsidP="005B72F7">
      <w:pPr>
        <w:jc w:val="both"/>
        <w:rPr>
          <w:rFonts w:ascii="Calibri" w:hAnsi="Calibri"/>
        </w:rPr>
      </w:pPr>
    </w:p>
    <w:p w14:paraId="268725B2" w14:textId="29BDD629" w:rsidR="00D02DC3" w:rsidRDefault="00D02DC3" w:rsidP="005B72F7">
      <w:pPr>
        <w:jc w:val="both"/>
        <w:rPr>
          <w:rFonts w:ascii="Calibri" w:hAnsi="Calibri"/>
        </w:rPr>
      </w:pPr>
    </w:p>
    <w:p w14:paraId="72CDBB15" w14:textId="77777777" w:rsidR="00D02DC3" w:rsidRDefault="00D02DC3" w:rsidP="005B72F7">
      <w:pPr>
        <w:jc w:val="both"/>
        <w:rPr>
          <w:rFonts w:ascii="Calibri" w:hAnsi="Calibri"/>
        </w:rPr>
      </w:pPr>
    </w:p>
    <w:p w14:paraId="0C3993B3" w14:textId="77777777" w:rsidR="008B6367" w:rsidRDefault="008B6367" w:rsidP="005B72F7">
      <w:pPr>
        <w:jc w:val="both"/>
        <w:rPr>
          <w:rFonts w:ascii="Calibri" w:hAnsi="Calibri"/>
        </w:rPr>
      </w:pPr>
    </w:p>
    <w:p w14:paraId="17E3DE72" w14:textId="4281D536" w:rsidR="008B6367" w:rsidRDefault="008B6367" w:rsidP="005B72F7">
      <w:pPr>
        <w:jc w:val="both"/>
        <w:rPr>
          <w:rFonts w:ascii="Calibri" w:hAnsi="Calibri"/>
        </w:rPr>
      </w:pPr>
    </w:p>
    <w:p w14:paraId="09DD5E73" w14:textId="0C7D0F7D" w:rsidR="003405F8" w:rsidRDefault="003405F8" w:rsidP="005B72F7">
      <w:pPr>
        <w:jc w:val="both"/>
        <w:rPr>
          <w:rFonts w:ascii="Calibri" w:hAnsi="Calibri"/>
        </w:rPr>
      </w:pPr>
    </w:p>
    <w:p w14:paraId="34C7DA3F" w14:textId="720C6053" w:rsidR="003405F8" w:rsidRDefault="003405F8" w:rsidP="005B72F7">
      <w:pPr>
        <w:jc w:val="both"/>
        <w:rPr>
          <w:rFonts w:ascii="Calibri" w:hAnsi="Calibri"/>
        </w:rPr>
      </w:pPr>
    </w:p>
    <w:p w14:paraId="5FD84E41" w14:textId="083F086E" w:rsidR="003405F8" w:rsidRDefault="003405F8" w:rsidP="005B72F7">
      <w:pPr>
        <w:jc w:val="both"/>
        <w:rPr>
          <w:rFonts w:ascii="Calibri" w:hAnsi="Calibri"/>
        </w:rPr>
      </w:pPr>
    </w:p>
    <w:p w14:paraId="75331E41" w14:textId="451C8997" w:rsidR="003405F8" w:rsidRDefault="003405F8" w:rsidP="005B72F7">
      <w:pPr>
        <w:jc w:val="both"/>
        <w:rPr>
          <w:rFonts w:ascii="Calibri" w:hAnsi="Calibri"/>
        </w:rPr>
      </w:pPr>
    </w:p>
    <w:p w14:paraId="72D747EF" w14:textId="47EF931C" w:rsidR="003405F8" w:rsidRDefault="003405F8" w:rsidP="005B72F7">
      <w:pPr>
        <w:jc w:val="both"/>
        <w:rPr>
          <w:rFonts w:ascii="Calibri" w:hAnsi="Calibri"/>
        </w:rPr>
      </w:pPr>
    </w:p>
    <w:p w14:paraId="4CEB799B" w14:textId="00A50063" w:rsidR="003405F8" w:rsidRDefault="003405F8" w:rsidP="005B72F7">
      <w:pPr>
        <w:jc w:val="both"/>
        <w:rPr>
          <w:rFonts w:ascii="Calibri" w:hAnsi="Calibri"/>
        </w:rPr>
      </w:pPr>
    </w:p>
    <w:p w14:paraId="550C779B" w14:textId="5A556481" w:rsidR="003405F8" w:rsidRDefault="003405F8" w:rsidP="005B72F7">
      <w:pPr>
        <w:jc w:val="both"/>
        <w:rPr>
          <w:rFonts w:ascii="Calibri" w:hAnsi="Calibri"/>
        </w:rPr>
      </w:pPr>
    </w:p>
    <w:p w14:paraId="18FD7D16" w14:textId="4FB46EC3" w:rsidR="003405F8" w:rsidRDefault="003405F8" w:rsidP="005B72F7">
      <w:pPr>
        <w:jc w:val="both"/>
        <w:rPr>
          <w:rFonts w:ascii="Calibri" w:hAnsi="Calibri"/>
        </w:rPr>
      </w:pPr>
    </w:p>
    <w:p w14:paraId="580A0A67" w14:textId="143DE9E9" w:rsidR="003405F8" w:rsidRDefault="003405F8" w:rsidP="005B72F7">
      <w:pPr>
        <w:jc w:val="both"/>
        <w:rPr>
          <w:rFonts w:ascii="Calibri" w:hAnsi="Calibri"/>
        </w:rPr>
      </w:pPr>
    </w:p>
    <w:p w14:paraId="264356FA" w14:textId="006C8BAB" w:rsidR="003405F8" w:rsidRDefault="003405F8" w:rsidP="005B72F7">
      <w:pPr>
        <w:jc w:val="both"/>
        <w:rPr>
          <w:rFonts w:ascii="Calibri" w:hAnsi="Calibri"/>
        </w:rPr>
      </w:pPr>
    </w:p>
    <w:p w14:paraId="5F36C03D" w14:textId="5279C8F0" w:rsidR="003405F8" w:rsidRDefault="003405F8" w:rsidP="005B72F7">
      <w:pPr>
        <w:jc w:val="both"/>
        <w:rPr>
          <w:rFonts w:ascii="Calibri" w:hAnsi="Calibri"/>
        </w:rPr>
      </w:pPr>
    </w:p>
    <w:p w14:paraId="251E9042" w14:textId="77777777" w:rsidR="003405F8" w:rsidRDefault="003405F8" w:rsidP="005B72F7">
      <w:pPr>
        <w:jc w:val="both"/>
        <w:rPr>
          <w:rFonts w:ascii="Calibri" w:hAnsi="Calibri"/>
        </w:rPr>
      </w:pPr>
    </w:p>
    <w:p w14:paraId="1BD97988" w14:textId="77777777" w:rsidR="00846DE7" w:rsidRDefault="00846DE7" w:rsidP="005B72F7">
      <w:pPr>
        <w:pStyle w:val="Heading1"/>
        <w:jc w:val="both"/>
        <w:rPr>
          <w:rFonts w:ascii="Calibri" w:hAnsi="Calibri"/>
        </w:rPr>
      </w:pPr>
      <w:bookmarkStart w:id="31" w:name="_Appendix_7"/>
      <w:bookmarkEnd w:id="31"/>
      <w:r>
        <w:rPr>
          <w:rFonts w:ascii="Calibri" w:hAnsi="Calibri"/>
        </w:rPr>
        <w:t xml:space="preserve">Appendix </w:t>
      </w:r>
      <w:r w:rsidR="008B6367">
        <w:rPr>
          <w:rFonts w:ascii="Calibri" w:hAnsi="Calibri"/>
        </w:rPr>
        <w:t>7</w:t>
      </w:r>
    </w:p>
    <w:p w14:paraId="01182024" w14:textId="77777777" w:rsidR="00846DE7" w:rsidRPr="008B6367" w:rsidRDefault="00846DE7" w:rsidP="005B72F7">
      <w:pPr>
        <w:pStyle w:val="Heading1"/>
        <w:jc w:val="both"/>
        <w:rPr>
          <w:rFonts w:ascii="Calibri" w:hAnsi="Calibri"/>
          <w:sz w:val="24"/>
          <w:szCs w:val="24"/>
        </w:rPr>
      </w:pPr>
    </w:p>
    <w:p w14:paraId="1595AE5E" w14:textId="77777777" w:rsidR="00846DE7" w:rsidRDefault="00846DE7" w:rsidP="005B72F7">
      <w:pPr>
        <w:pStyle w:val="Heading1"/>
        <w:jc w:val="both"/>
        <w:rPr>
          <w:rFonts w:ascii="Calibri" w:hAnsi="Calibri"/>
        </w:rPr>
      </w:pPr>
      <w:r>
        <w:rPr>
          <w:rFonts w:ascii="Calibri" w:hAnsi="Calibri"/>
        </w:rPr>
        <w:t>Review of the evidence for topiramate</w:t>
      </w:r>
    </w:p>
    <w:p w14:paraId="2A4F02D9" w14:textId="77777777" w:rsidR="00160A0A" w:rsidRPr="003558F4" w:rsidRDefault="00160A0A" w:rsidP="005B72F7">
      <w:pPr>
        <w:jc w:val="both"/>
        <w:rPr>
          <w:rFonts w:ascii="Calibri" w:hAnsi="Calibri" w:cs="Arial"/>
          <w:b/>
          <w:u w:val="single"/>
        </w:rPr>
      </w:pPr>
    </w:p>
    <w:p w14:paraId="342D14BD" w14:textId="77777777" w:rsidR="00160A0A" w:rsidRPr="008B6367" w:rsidRDefault="00160A0A" w:rsidP="005B72F7">
      <w:pPr>
        <w:jc w:val="both"/>
        <w:rPr>
          <w:rFonts w:ascii="Calibri" w:hAnsi="Calibri" w:cs="Times Roman"/>
        </w:rPr>
      </w:pPr>
      <w:r>
        <w:rPr>
          <w:rFonts w:ascii="Calibri" w:hAnsi="Calibri" w:cs="Arial"/>
        </w:rPr>
        <w:t>In a Mexican study,</w:t>
      </w:r>
      <w:r w:rsidRPr="003558F4">
        <w:rPr>
          <w:rFonts w:ascii="Calibri" w:hAnsi="Calibri" w:cs="Arial"/>
        </w:rPr>
        <w:t xml:space="preserve"> 28 healthy male volunteers </w:t>
      </w:r>
      <w:r>
        <w:rPr>
          <w:rFonts w:ascii="Calibri" w:hAnsi="Calibri" w:cs="Arial"/>
        </w:rPr>
        <w:t xml:space="preserve">were </w:t>
      </w:r>
      <w:r w:rsidRPr="003558F4">
        <w:rPr>
          <w:rFonts w:ascii="Calibri" w:hAnsi="Calibri" w:cs="Arial"/>
        </w:rPr>
        <w:t xml:space="preserve">given a single low-dose (100mg) of a brand or a generic topiramate and then a single dose of the alternative drug 3 weeks later.  </w:t>
      </w:r>
      <w:r w:rsidRPr="003558F4">
        <w:rPr>
          <w:rFonts w:ascii="Calibri" w:hAnsi="Calibri" w:cs="Times Roman"/>
        </w:rPr>
        <w:t>The mean C</w:t>
      </w:r>
      <w:r w:rsidRPr="003558F4">
        <w:rPr>
          <w:rFonts w:ascii="Calibri" w:hAnsi="Calibri" w:cs="Arial"/>
        </w:rPr>
        <w:t xml:space="preserve">max </w:t>
      </w:r>
      <w:r w:rsidRPr="003558F4">
        <w:rPr>
          <w:rFonts w:ascii="Calibri" w:hAnsi="Calibri" w:cs="Times Roman"/>
        </w:rPr>
        <w:t>with the generic formulation was 1.914 (</w:t>
      </w:r>
      <w:r>
        <w:t>±</w:t>
      </w:r>
      <w:r w:rsidRPr="003558F4">
        <w:rPr>
          <w:rFonts w:ascii="Calibri" w:hAnsi="Calibri" w:cs="Times Roman"/>
        </w:rPr>
        <w:t xml:space="preserve"> 0.429) mcg/ml, and the T</w:t>
      </w:r>
      <w:r w:rsidRPr="003558F4">
        <w:rPr>
          <w:rFonts w:ascii="Calibri" w:hAnsi="Calibri" w:cs="Arial"/>
        </w:rPr>
        <w:t xml:space="preserve">max </w:t>
      </w:r>
      <w:r w:rsidRPr="003558F4">
        <w:rPr>
          <w:rFonts w:ascii="Calibri" w:hAnsi="Calibri" w:cs="Times Roman"/>
        </w:rPr>
        <w:t>was 1.776 (</w:t>
      </w:r>
      <w:r>
        <w:t>±</w:t>
      </w:r>
      <w:r w:rsidRPr="003558F4">
        <w:rPr>
          <w:rFonts w:ascii="Calibri" w:hAnsi="Calibri" w:cs="Times Roman"/>
        </w:rPr>
        <w:t xml:space="preserve"> 1.305) hours. With the brand, the mean Cmax was 1.908 (</w:t>
      </w:r>
      <w:r>
        <w:t>±</w:t>
      </w:r>
      <w:r w:rsidRPr="003558F4">
        <w:rPr>
          <w:rFonts w:ascii="Calibri" w:hAnsi="Calibri" w:cs="Times Roman"/>
        </w:rPr>
        <w:t xml:space="preserve"> 0.648) mcg/ml and 2.0 (</w:t>
      </w:r>
      <w:r>
        <w:t>±</w:t>
      </w:r>
      <w:r w:rsidRPr="003558F4">
        <w:rPr>
          <w:rFonts w:ascii="Calibri" w:hAnsi="Calibri" w:cs="Times Roman"/>
        </w:rPr>
        <w:t xml:space="preserve"> 1.669) hours. The t½ values with the generic and brand formulations were 26.22 (</w:t>
      </w:r>
      <w:r>
        <w:t>±</w:t>
      </w:r>
      <w:r w:rsidRPr="003558F4">
        <w:rPr>
          <w:rFonts w:ascii="Calibri" w:hAnsi="Calibri" w:cs="Times Roman"/>
        </w:rPr>
        <w:t xml:space="preserve"> 5.96) and 27.21 (</w:t>
      </w:r>
      <w:r>
        <w:t>±</w:t>
      </w:r>
      <w:r w:rsidRPr="003558F4">
        <w:rPr>
          <w:rFonts w:ascii="Calibri" w:hAnsi="Calibri" w:cs="Times Roman"/>
        </w:rPr>
        <w:t xml:space="preserve"> 7.53) hours, respectively.  The mean relative bioavailabilities (generic / reference) for C</w:t>
      </w:r>
      <w:r w:rsidRPr="003558F4">
        <w:rPr>
          <w:rFonts w:ascii="Calibri" w:hAnsi="Calibri" w:cs="Arial"/>
        </w:rPr>
        <w:t xml:space="preserve">max, </w:t>
      </w:r>
      <w:r w:rsidRPr="003558F4">
        <w:rPr>
          <w:rFonts w:ascii="Calibri" w:hAnsi="Calibri" w:cs="Times Roman"/>
        </w:rPr>
        <w:t>AUC</w:t>
      </w:r>
      <w:r w:rsidRPr="003558F4">
        <w:rPr>
          <w:rFonts w:ascii="Calibri" w:hAnsi="Calibri" w:cs="Times Roman"/>
          <w:vertAlign w:val="superscript"/>
        </w:rPr>
        <w:t>0-</w:t>
      </w:r>
      <w:r w:rsidRPr="003558F4">
        <w:rPr>
          <w:rFonts w:ascii="Calibri" w:hAnsi="Calibri" w:cs="Arial"/>
          <w:vertAlign w:val="superscript"/>
        </w:rPr>
        <w:t>t</w:t>
      </w:r>
      <w:r w:rsidRPr="003558F4">
        <w:rPr>
          <w:rFonts w:ascii="Calibri" w:hAnsi="Calibri" w:cs="Arial"/>
        </w:rPr>
        <w:t xml:space="preserve">, </w:t>
      </w:r>
      <w:r w:rsidRPr="003558F4">
        <w:rPr>
          <w:rFonts w:ascii="Calibri" w:hAnsi="Calibri" w:cs="Times Roman"/>
        </w:rPr>
        <w:t>and AUC</w:t>
      </w:r>
      <w:r w:rsidRPr="003558F4">
        <w:rPr>
          <w:rFonts w:ascii="Calibri" w:hAnsi="Calibri" w:cs="Times Roman"/>
          <w:vertAlign w:val="superscript"/>
        </w:rPr>
        <w:t>0-oo</w:t>
      </w:r>
      <w:r w:rsidRPr="003558F4">
        <w:rPr>
          <w:rFonts w:ascii="Calibri" w:hAnsi="Calibri" w:cs="Times Roman"/>
        </w:rPr>
        <w:t>,</w:t>
      </w:r>
      <w:r>
        <w:rPr>
          <w:rFonts w:ascii="Calibri" w:hAnsi="Calibri" w:cs="Times Roman"/>
        </w:rPr>
        <w:t xml:space="preserve"> </w:t>
      </w:r>
      <w:r w:rsidRPr="003558F4">
        <w:rPr>
          <w:rFonts w:ascii="Calibri" w:hAnsi="Calibri" w:cs="Times Roman"/>
        </w:rPr>
        <w:t xml:space="preserve">were 1.08, 1.02, and 1.08, respectively.  No adverse events were reported by the participants.  </w:t>
      </w:r>
      <w:r w:rsidRPr="003558F4">
        <w:rPr>
          <w:rFonts w:ascii="Calibri" w:hAnsi="Calibri" w:cs="Arial"/>
        </w:rPr>
        <w:t>This study did not find any statistically significant differences in AUC or Cmax concentrations between generic and brand topiramate, and were within the bioequivalence limits of 0.80 – 1.25 (90% CI</w:t>
      </w:r>
      <w:r w:rsidRPr="008B6367">
        <w:rPr>
          <w:rFonts w:ascii="Calibri" w:hAnsi="Calibri" w:cs="Arial"/>
        </w:rPr>
        <w:t>).  (</w:t>
      </w:r>
      <w:r w:rsidRPr="008B6367">
        <w:rPr>
          <w:rFonts w:ascii="Calibri" w:hAnsi="Calibri" w:cs="Times Roman"/>
        </w:rPr>
        <w:t>Pineyro-Lopez 2009)</w:t>
      </w:r>
    </w:p>
    <w:p w14:paraId="408166F2" w14:textId="77777777" w:rsidR="00160A0A" w:rsidRPr="008B6367" w:rsidRDefault="00160A0A" w:rsidP="005B72F7">
      <w:pPr>
        <w:jc w:val="both"/>
        <w:rPr>
          <w:rFonts w:ascii="Calibri" w:hAnsi="Calibri" w:cs="TimesNewRomanTur"/>
          <w:color w:val="000000"/>
        </w:rPr>
      </w:pPr>
    </w:p>
    <w:p w14:paraId="3F5730A9" w14:textId="77777777" w:rsidR="00160A0A" w:rsidRPr="008B6367" w:rsidRDefault="00160A0A" w:rsidP="005B72F7">
      <w:pPr>
        <w:autoSpaceDE w:val="0"/>
        <w:autoSpaceDN w:val="0"/>
        <w:adjustRightInd w:val="0"/>
        <w:jc w:val="both"/>
        <w:rPr>
          <w:rFonts w:ascii="Calibri" w:hAnsi="Calibri"/>
          <w:color w:val="131413"/>
        </w:rPr>
      </w:pPr>
      <w:r w:rsidRPr="008B6367">
        <w:rPr>
          <w:rFonts w:ascii="Calibri" w:hAnsi="Calibri"/>
          <w:color w:val="000000"/>
        </w:rPr>
        <w:t>A Dutch study looked at looked at bioequivalence data in 2008 from submissions to the Dutch Medicines Evaluation Board for generic AEDs.  There were 13 different 200mg generic topiramate products with approval based on 7 different bioequivalence studies each using the same brand, Topamax (Janssen-Cilag).  Interstudy comparison of topiramate found mean AUCs from 125.3 to 158.6 mcg/ml, and Cmax from 4.17 to 5.05 mcg/ml.  The average of the mean AUC and Cmax of all brand arms was calculated and the study with the closest to average value was used as a reference standard. The absolute AUC and Cmax of each generic were corrected</w:t>
      </w:r>
      <w:r w:rsidRPr="008B6367">
        <w:rPr>
          <w:rFonts w:ascii="Calibri" w:hAnsi="Calibri"/>
          <w:color w:val="131413"/>
        </w:rPr>
        <w:t xml:space="preserve"> using the ratio of the reference standard vs the brand AUC and Cmax of the bioequivalence study in question.  After this normalisation, the 90% confidence intervals were estimated. For all the bioequivalence studies the mean point estimate for the AUC ratio was 101.16%, and 99.55% for the Cmax ratio. For all topiramate generic-generic comparisons, 90% confidence intervals obtained using exposure-normalised AUC and Cmax values were within the 80–125% range. </w:t>
      </w:r>
    </w:p>
    <w:p w14:paraId="0EF2A45B" w14:textId="77777777" w:rsidR="00160A0A" w:rsidRPr="008B6367" w:rsidRDefault="00160A0A" w:rsidP="005B72F7">
      <w:pPr>
        <w:autoSpaceDE w:val="0"/>
        <w:autoSpaceDN w:val="0"/>
        <w:adjustRightInd w:val="0"/>
        <w:jc w:val="both"/>
        <w:rPr>
          <w:rFonts w:ascii="Calibri" w:hAnsi="Calibri"/>
          <w:color w:val="131413"/>
        </w:rPr>
      </w:pPr>
    </w:p>
    <w:p w14:paraId="0D97EC30" w14:textId="77777777" w:rsidR="00160A0A" w:rsidRPr="008B6367" w:rsidRDefault="00160A0A" w:rsidP="005B72F7">
      <w:pPr>
        <w:autoSpaceDE w:val="0"/>
        <w:autoSpaceDN w:val="0"/>
        <w:adjustRightInd w:val="0"/>
        <w:jc w:val="both"/>
        <w:rPr>
          <w:rFonts w:ascii="Calibri" w:hAnsi="Calibri"/>
          <w:color w:val="800080"/>
        </w:rPr>
      </w:pPr>
      <w:r w:rsidRPr="008B6367">
        <w:rPr>
          <w:rFonts w:ascii="Calibri" w:hAnsi="Calibri"/>
          <w:color w:val="131413"/>
        </w:rPr>
        <w:t>Comparison of the absolute, not-normalised AUC and Cmax, both for the generic and the brand Topamax, yielded a number of 90% confidence intervals outside the 80–125% range for bioequivalence. However, a very similar pattern of 90% confidence intervals was observed for the generic-generic and brand-brand exchange, despite the fact that the brand Topamax was identical in all studies</w:t>
      </w:r>
      <w:r w:rsidRPr="008B6367">
        <w:rPr>
          <w:rFonts w:ascii="Calibri" w:hAnsi="Calibri"/>
          <w:color w:val="000000"/>
        </w:rPr>
        <w:t xml:space="preserve">.  </w:t>
      </w:r>
    </w:p>
    <w:p w14:paraId="184C9899" w14:textId="77777777" w:rsidR="00160A0A" w:rsidRPr="008B6367" w:rsidRDefault="00160A0A" w:rsidP="005B72F7">
      <w:pPr>
        <w:autoSpaceDE w:val="0"/>
        <w:autoSpaceDN w:val="0"/>
        <w:adjustRightInd w:val="0"/>
        <w:jc w:val="both"/>
        <w:rPr>
          <w:rFonts w:ascii="Calibri" w:hAnsi="Calibri" w:cs="HelveticaNeue-Light"/>
        </w:rPr>
      </w:pPr>
      <w:r w:rsidRPr="000F2C3E">
        <w:rPr>
          <w:rFonts w:ascii="Calibri" w:hAnsi="Calibri"/>
          <w:color w:val="000000"/>
          <w:lang w:val="en-US"/>
        </w:rPr>
        <w:t xml:space="preserve">(Maliepaard 2011, </w:t>
      </w:r>
      <w:r w:rsidRPr="008B6367">
        <w:rPr>
          <w:rFonts w:ascii="Calibri" w:hAnsi="Calibri" w:cs="TimesNewRomanTur"/>
        </w:rPr>
        <w:t>Banishki</w:t>
      </w:r>
      <w:r w:rsidRPr="008B6367">
        <w:rPr>
          <w:rFonts w:ascii="Calibri" w:hAnsi="Calibri" w:cs="TimesNewRomanCE"/>
        </w:rPr>
        <w:t xml:space="preserve"> </w:t>
      </w:r>
      <w:r w:rsidRPr="008B6367">
        <w:rPr>
          <w:rFonts w:ascii="Calibri" w:hAnsi="Calibri" w:cs="HelveticaNeue-Light"/>
        </w:rPr>
        <w:t>2009)</w:t>
      </w:r>
    </w:p>
    <w:p w14:paraId="4D86F109" w14:textId="77777777" w:rsidR="00160A0A" w:rsidRPr="008B6367" w:rsidRDefault="00160A0A" w:rsidP="005B72F7">
      <w:pPr>
        <w:autoSpaceDE w:val="0"/>
        <w:autoSpaceDN w:val="0"/>
        <w:adjustRightInd w:val="0"/>
        <w:jc w:val="both"/>
        <w:rPr>
          <w:rFonts w:ascii="Calibri" w:hAnsi="Calibri" w:cs="Arial"/>
        </w:rPr>
      </w:pPr>
    </w:p>
    <w:p w14:paraId="4CD9BCBC" w14:textId="77777777" w:rsidR="00160A0A" w:rsidRPr="008B6367" w:rsidRDefault="00160A0A" w:rsidP="005B72F7">
      <w:pPr>
        <w:autoSpaceDE w:val="0"/>
        <w:autoSpaceDN w:val="0"/>
        <w:adjustRightInd w:val="0"/>
        <w:jc w:val="both"/>
        <w:rPr>
          <w:rFonts w:ascii="Calibri" w:hAnsi="Calibri"/>
          <w:color w:val="000000"/>
        </w:rPr>
      </w:pPr>
      <w:r w:rsidRPr="008B6367">
        <w:rPr>
          <w:rFonts w:ascii="Calibri" w:hAnsi="Calibri" w:cs="Arial"/>
        </w:rPr>
        <w:t>The third study (abstract only reviewed) used very similar methodology to the Mexican study and also found no significant differences in AUC or Cmax according to the recommended limits 0.80 – 1.25 (90% CI).</w:t>
      </w:r>
      <w:r w:rsidRPr="008B6367">
        <w:rPr>
          <w:rFonts w:ascii="Calibri" w:hAnsi="Calibri"/>
        </w:rPr>
        <w:t xml:space="preserve"> (Saavedra</w:t>
      </w:r>
      <w:r w:rsidRPr="008B6367">
        <w:rPr>
          <w:rFonts w:ascii="Calibri" w:hAnsi="Calibri"/>
          <w:color w:val="000000"/>
        </w:rPr>
        <w:t xml:space="preserve"> </w:t>
      </w:r>
      <w:r w:rsidRPr="00BF6370">
        <w:rPr>
          <w:rFonts w:ascii="Calibri" w:hAnsi="Calibri"/>
          <w:color w:val="000000"/>
        </w:rPr>
        <w:t>2010</w:t>
      </w:r>
      <w:r w:rsidR="00BF6370">
        <w:rPr>
          <w:rFonts w:ascii="Calibri" w:hAnsi="Calibri"/>
          <w:color w:val="000000"/>
        </w:rPr>
        <w:t xml:space="preserve"> - </w:t>
      </w:r>
      <w:r w:rsidRPr="00BF6370">
        <w:rPr>
          <w:rStyle w:val="Strong"/>
          <w:rFonts w:ascii="Calibri" w:hAnsi="Calibri"/>
          <w:b w:val="0"/>
          <w:color w:val="000000"/>
        </w:rPr>
        <w:t>Abstract only)</w:t>
      </w:r>
    </w:p>
    <w:p w14:paraId="582A69AA" w14:textId="77777777" w:rsidR="00160A0A" w:rsidRPr="008B6367" w:rsidRDefault="00160A0A" w:rsidP="005B72F7">
      <w:pPr>
        <w:jc w:val="both"/>
        <w:rPr>
          <w:rFonts w:ascii="Calibri" w:hAnsi="Calibri" w:cs="Arial"/>
        </w:rPr>
      </w:pPr>
    </w:p>
    <w:p w14:paraId="6E2471C7" w14:textId="77777777" w:rsidR="00160A0A" w:rsidRPr="008B6367" w:rsidRDefault="00160A0A" w:rsidP="005B72F7">
      <w:pPr>
        <w:jc w:val="both"/>
        <w:rPr>
          <w:rFonts w:ascii="Calibri" w:hAnsi="Calibri" w:cs="Arial"/>
          <w:color w:val="000000"/>
        </w:rPr>
      </w:pPr>
      <w:r w:rsidRPr="008B6367">
        <w:rPr>
          <w:rFonts w:ascii="Calibri" w:hAnsi="Calibri" w:cs="Arial"/>
          <w:color w:val="000000"/>
        </w:rPr>
        <w:t>Two studies sponsored by Janssen-Cilag (Topamax manufacturers) analysed the medical and pharmacy claims of epilepsy patients treated with topiramate in Canada.</w:t>
      </w:r>
      <w:r w:rsidRPr="008B6367">
        <w:rPr>
          <w:rFonts w:ascii="Calibri" w:hAnsi="Calibri" w:cs="TimesNewRomanPS"/>
          <w:color w:val="000000"/>
        </w:rPr>
        <w:t xml:space="preserve">  The data collected in these studies appears to have some overlap because they both used data from </w:t>
      </w:r>
      <w:r w:rsidRPr="008B6367">
        <w:rPr>
          <w:rFonts w:ascii="Calibri" w:hAnsi="Calibri" w:cs="Arial"/>
          <w:color w:val="000000"/>
        </w:rPr>
        <w:t>Re´gie de l’Assurance-Maladie du Que´bec; one from January 2006 to October 2007 and the other between January 2006 and September 2008.</w:t>
      </w:r>
    </w:p>
    <w:p w14:paraId="072DC307" w14:textId="77777777" w:rsidR="00160A0A" w:rsidRPr="008B6367" w:rsidRDefault="00160A0A" w:rsidP="005B72F7">
      <w:pPr>
        <w:jc w:val="both"/>
        <w:rPr>
          <w:rFonts w:ascii="Calibri" w:hAnsi="Calibri" w:cs="TimesNewRomanPS"/>
          <w:color w:val="000000"/>
        </w:rPr>
      </w:pPr>
    </w:p>
    <w:p w14:paraId="019F8E08" w14:textId="77777777" w:rsidR="00160A0A" w:rsidRPr="008B6367" w:rsidRDefault="00160A0A" w:rsidP="005B72F7">
      <w:pPr>
        <w:jc w:val="both"/>
        <w:rPr>
          <w:rFonts w:ascii="Calibri" w:hAnsi="Calibri" w:cs="TimesNewRomanPS"/>
          <w:color w:val="000000"/>
        </w:rPr>
      </w:pPr>
      <w:r w:rsidRPr="008B6367">
        <w:rPr>
          <w:rFonts w:ascii="Calibri" w:hAnsi="Calibri" w:cs="TimesNewRomanPS"/>
          <w:color w:val="000000"/>
        </w:rPr>
        <w:t>The study reviewing data between January 2006 and September 2008 compared the medical and pharmacy resource utilisation (number of events/person/year) of patients with epilepsy treated with topiram</w:t>
      </w:r>
      <w:r w:rsidR="00BF6370">
        <w:rPr>
          <w:rFonts w:ascii="Calibri" w:hAnsi="Calibri" w:cs="TimesNewRomanPS"/>
          <w:color w:val="000000"/>
        </w:rPr>
        <w:t>ate.</w:t>
      </w:r>
      <w:r w:rsidRPr="008B6367">
        <w:rPr>
          <w:rFonts w:ascii="Calibri" w:hAnsi="Calibri" w:cs="TimesNewRomanPS"/>
          <w:color w:val="000000"/>
        </w:rPr>
        <w:t xml:space="preserve"> 1164 topiramate users were observed on average for 946.1 (SD 110.6) days. Approximately 39% (n=453) switched to generic topiramate, and of which 55.6% received multiple-generic versions and 15.7% switched back to brand. Multiple-generic use was associated with increased utilisation of AEDs (adjusted incidence ratio [IRR] 1.10, p&lt;0.0001) and also non-AED drugs (IRR 1.34, p&lt;0.0001), compared to brand and single-generic use (other AEDs: IRR 1.01, p=0.5487; non-AED prescriptions: IRR 1.28, p&lt;0.0001). The rate of hospitalisation (IRR 1.32, p=0.0003) and length of stay (IRR 1.32, p&lt;0.0001) was also significantly different in the multiple-generic periods of use vs the brand periods.</w:t>
      </w:r>
    </w:p>
    <w:p w14:paraId="61187C01" w14:textId="77777777" w:rsidR="00160A0A" w:rsidRPr="008B6367" w:rsidRDefault="00160A0A" w:rsidP="005B72F7">
      <w:pPr>
        <w:autoSpaceDE w:val="0"/>
        <w:autoSpaceDN w:val="0"/>
        <w:adjustRightInd w:val="0"/>
        <w:jc w:val="both"/>
        <w:rPr>
          <w:rFonts w:ascii="Calibri" w:hAnsi="Calibri" w:cs="Arial"/>
          <w:color w:val="000000"/>
        </w:rPr>
      </w:pPr>
      <w:r w:rsidRPr="008B6367">
        <w:rPr>
          <w:rFonts w:ascii="Calibri" w:hAnsi="Calibri" w:cs="TimesNewRomanPS-Bold"/>
          <w:bCs/>
          <w:color w:val="000000"/>
        </w:rPr>
        <w:t>The authors suggest that</w:t>
      </w:r>
      <w:r w:rsidRPr="008B6367">
        <w:rPr>
          <w:rFonts w:ascii="Calibri" w:hAnsi="Calibri" w:cs="TimesNewRomanPS"/>
          <w:color w:val="000000"/>
        </w:rPr>
        <w:t xml:space="preserve"> multiple-generic substitution of topiramate was associated with significantly higher rates of hospitalisation and pharmacy dispensings and increased direct medical costs. (</w:t>
      </w:r>
      <w:r w:rsidRPr="008B6367">
        <w:rPr>
          <w:rFonts w:ascii="Calibri" w:hAnsi="Calibri" w:cs="TimesNewRomanTur"/>
          <w:color w:val="000000"/>
        </w:rPr>
        <w:t xml:space="preserve">Paradis Neurology </w:t>
      </w:r>
      <w:r w:rsidRPr="008B6367">
        <w:rPr>
          <w:rFonts w:ascii="Calibri" w:hAnsi="Calibri" w:cs="HelveticaNeue-Light"/>
          <w:color w:val="000000"/>
        </w:rPr>
        <w:t>2009)</w:t>
      </w:r>
    </w:p>
    <w:p w14:paraId="035A2DED" w14:textId="77777777" w:rsidR="00160A0A" w:rsidRPr="008B6367" w:rsidRDefault="00160A0A" w:rsidP="005B72F7">
      <w:pPr>
        <w:jc w:val="both"/>
        <w:rPr>
          <w:rFonts w:ascii="Calibri" w:hAnsi="Calibri" w:cs="Arial"/>
          <w:color w:val="000000"/>
        </w:rPr>
      </w:pPr>
    </w:p>
    <w:p w14:paraId="35A089D5" w14:textId="77777777" w:rsidR="00160A0A" w:rsidRPr="008B6367" w:rsidRDefault="00160A0A" w:rsidP="005B72F7">
      <w:pPr>
        <w:autoSpaceDE w:val="0"/>
        <w:autoSpaceDN w:val="0"/>
        <w:adjustRightInd w:val="0"/>
        <w:jc w:val="both"/>
        <w:rPr>
          <w:rFonts w:ascii="Calibri" w:hAnsi="Calibri" w:cs="Arial"/>
          <w:color w:val="000000"/>
        </w:rPr>
      </w:pPr>
      <w:r w:rsidRPr="008B6367">
        <w:rPr>
          <w:rFonts w:ascii="Calibri" w:hAnsi="Calibri" w:cs="Arial"/>
          <w:color w:val="000000"/>
        </w:rPr>
        <w:t>The second study between January 2006 and October 2007 investigated the clinical and economic consequences following generic substitution of one vs multiple generics of topiramate.  948 patients on topiramate, of which 70 – 72% were on polytherapy, were observed for an average of 665 days.  37.8% of patients switched to generic topiramate and 12.5% switched back to brand.  23% of the generic users received at least two different generic versions.  Compared to brand use, multiple generic use was associated with higher utilisation of other prescription drugs (incidence rate ratio [IRR] 1.27,95% CI 1.24–1.31), higher hospitalisation rates (0.48 vs 0.83 visit/person-year, IRR 1.65,95% CI 1.28–2.13), and longer hospital stays (2.6 vs 3.9 days/person-year, IRR 1.43, 95% CI 1.27– 1.60), but the effect was less pronounced in single-generic use (hospitalisation: IRR 1.08, 95% CI 0.88–1.34, length of stay: IRR 1.12, 95% CI 1.03–1.23). The risk of head injury or fracture was nearly three times higher (hazard ratio 2.84, 95% CI 1.24–6.48) following a generic-to-generic switch compared to</w:t>
      </w:r>
      <w:r w:rsidR="00BF6370">
        <w:rPr>
          <w:rFonts w:ascii="Calibri" w:hAnsi="Calibri" w:cs="Arial"/>
          <w:color w:val="000000"/>
        </w:rPr>
        <w:t xml:space="preserve"> brand use. The total annual</w:t>
      </w:r>
      <w:r w:rsidRPr="008B6367">
        <w:rPr>
          <w:rFonts w:ascii="Calibri" w:hAnsi="Calibri" w:cs="Arial"/>
          <w:color w:val="000000"/>
        </w:rPr>
        <w:t xml:space="preserve"> health care cost per patient was higher in the multiple-generic than brand periods by $1,716 (Canadian) (cost ratio 1.21, </w:t>
      </w:r>
      <w:r w:rsidRPr="008B6367">
        <w:rPr>
          <w:rFonts w:ascii="Calibri" w:hAnsi="Calibri" w:cs="Arial"/>
          <w:iCs/>
          <w:color w:val="000000"/>
        </w:rPr>
        <w:t>p</w:t>
      </w:r>
      <w:r w:rsidRPr="008B6367">
        <w:rPr>
          <w:rFonts w:ascii="Calibri" w:hAnsi="Calibri" w:cs="Arial"/>
          <w:color w:val="000000"/>
        </w:rPr>
        <w:t xml:space="preserve">=0.0420).  </w:t>
      </w:r>
      <w:r w:rsidRPr="008B6367">
        <w:rPr>
          <w:rFonts w:ascii="Calibri" w:hAnsi="Calibri" w:cs="Arial"/>
          <w:bCs/>
          <w:color w:val="000000"/>
        </w:rPr>
        <w:t>The authors concluded that m</w:t>
      </w:r>
      <w:r w:rsidRPr="008B6367">
        <w:rPr>
          <w:rFonts w:ascii="Calibri" w:hAnsi="Calibri" w:cs="Arial"/>
          <w:color w:val="000000"/>
        </w:rPr>
        <w:t xml:space="preserve">ultiple-generic substitution of topiramate was significantly associated with negative outcomes, such as hospitalisations and injuries, and increased health care costs. (Duh </w:t>
      </w:r>
      <w:r w:rsidRPr="008B6367">
        <w:rPr>
          <w:rFonts w:ascii="Calibri" w:hAnsi="Calibri" w:cs="Arial"/>
          <w:bCs/>
          <w:color w:val="000000"/>
        </w:rPr>
        <w:t>2009)</w:t>
      </w:r>
    </w:p>
    <w:p w14:paraId="6AD474B6" w14:textId="77777777" w:rsidR="00160A0A" w:rsidRPr="008B6367" w:rsidRDefault="00160A0A" w:rsidP="005B72F7">
      <w:pPr>
        <w:autoSpaceDE w:val="0"/>
        <w:autoSpaceDN w:val="0"/>
        <w:adjustRightInd w:val="0"/>
        <w:jc w:val="both"/>
        <w:rPr>
          <w:rFonts w:ascii="Calibri" w:hAnsi="Calibri" w:cs="Arial"/>
          <w:color w:val="000000"/>
        </w:rPr>
      </w:pPr>
    </w:p>
    <w:p w14:paraId="738E5D21" w14:textId="77777777" w:rsidR="00160A0A" w:rsidRPr="008B6367" w:rsidRDefault="00160A0A" w:rsidP="005B72F7">
      <w:pPr>
        <w:autoSpaceDE w:val="0"/>
        <w:autoSpaceDN w:val="0"/>
        <w:adjustRightInd w:val="0"/>
        <w:jc w:val="both"/>
        <w:rPr>
          <w:rFonts w:ascii="Calibri" w:hAnsi="Calibri" w:cs="Arial"/>
          <w:color w:val="000000"/>
        </w:rPr>
      </w:pPr>
      <w:r w:rsidRPr="008B6367">
        <w:rPr>
          <w:rFonts w:ascii="Calibri" w:hAnsi="Calibri" w:cs="Arial"/>
          <w:color w:val="000000"/>
        </w:rPr>
        <w:t>Another study based on the same data from Re´gie de l’Assurance-Maladie du Que´bec for 1164 patients between January 2006 and September 2008 predicted that the total healthcare costs would be expected to increase in the UK by 3.5% one year after generic entry. (Paradis Curr Med Res Opin 2009)</w:t>
      </w:r>
    </w:p>
    <w:p w14:paraId="3797B44C" w14:textId="77777777" w:rsidR="00160A0A" w:rsidRPr="008B6367" w:rsidRDefault="00160A0A" w:rsidP="005B72F7">
      <w:pPr>
        <w:autoSpaceDE w:val="0"/>
        <w:autoSpaceDN w:val="0"/>
        <w:adjustRightInd w:val="0"/>
        <w:jc w:val="both"/>
        <w:rPr>
          <w:rFonts w:ascii="Calibri" w:hAnsi="Calibri" w:cs="Arial"/>
          <w:color w:val="000000"/>
        </w:rPr>
      </w:pPr>
    </w:p>
    <w:p w14:paraId="51ECA472" w14:textId="77777777" w:rsidR="00160A0A" w:rsidRPr="008B6367" w:rsidRDefault="00160A0A" w:rsidP="005B72F7">
      <w:pPr>
        <w:jc w:val="both"/>
        <w:rPr>
          <w:rFonts w:ascii="Calibri" w:hAnsi="Calibri" w:cs="Arial"/>
        </w:rPr>
      </w:pPr>
      <w:r w:rsidRPr="008B6367">
        <w:rPr>
          <w:rFonts w:ascii="Calibri" w:hAnsi="Calibri" w:cs="Arial"/>
        </w:rPr>
        <w:t>A Russia</w:t>
      </w:r>
      <w:r w:rsidR="00BF6370">
        <w:rPr>
          <w:rFonts w:ascii="Calibri" w:hAnsi="Calibri" w:cs="Arial"/>
        </w:rPr>
        <w:t>n study</w:t>
      </w:r>
      <w:r w:rsidRPr="008B6367">
        <w:rPr>
          <w:rFonts w:ascii="Calibri" w:hAnsi="Calibri" w:cs="Arial"/>
        </w:rPr>
        <w:t xml:space="preserve"> reviewed 220 epilepsy patients who lost seizure control of 1 year or more duration.  Loss of seizure control in 60.4% cases was caused by a switch from brand to generic AED with 28.2% patients being switched to topiramate generics.  The investigators also reviewed 160 patients who switched from brand topiramate to generic and compared to a control group (52 patients) who continued to receive the brand.  Following a switch, remission was lost in 75.6% of patients and 51.9% needed emergency care and hospitalisation.  Switching back to the original medication was done in 86.2% of patients with increases of initial doses in 58% and transition from mono- to polytherapy in 60%.  The baseline level of seizure control was achieved in 32.9% of patients. The fulltext of this study was not available so no further details are available on the generics used or the patients’ clinical background and no blood levels were reported. </w:t>
      </w:r>
      <w:r w:rsidRPr="008B6367">
        <w:rPr>
          <w:rFonts w:ascii="Calibri" w:hAnsi="Calibri"/>
        </w:rPr>
        <w:t xml:space="preserve"> (Rudakova 2011</w:t>
      </w:r>
      <w:r w:rsidR="00BF6370">
        <w:rPr>
          <w:rFonts w:ascii="Calibri" w:hAnsi="Calibri"/>
          <w:color w:val="000000"/>
        </w:rPr>
        <w:t xml:space="preserve"> - </w:t>
      </w:r>
      <w:r w:rsidRPr="00BF6370">
        <w:rPr>
          <w:rFonts w:ascii="Calibri" w:hAnsi="Calibri"/>
          <w:color w:val="000000"/>
        </w:rPr>
        <w:t>Abstract only)</w:t>
      </w:r>
    </w:p>
    <w:p w14:paraId="7E6D8546" w14:textId="77777777" w:rsidR="00160A0A" w:rsidRPr="008B6367" w:rsidRDefault="00160A0A" w:rsidP="005B72F7">
      <w:pPr>
        <w:jc w:val="both"/>
        <w:rPr>
          <w:rFonts w:ascii="Calibri" w:hAnsi="Calibri" w:cs="Arial"/>
        </w:rPr>
      </w:pPr>
    </w:p>
    <w:p w14:paraId="4A9EC2CB" w14:textId="77777777" w:rsidR="00160A0A" w:rsidRPr="008B6367" w:rsidRDefault="00160A0A" w:rsidP="005B72F7">
      <w:pPr>
        <w:jc w:val="both"/>
        <w:rPr>
          <w:rFonts w:ascii="Calibri" w:hAnsi="Calibri"/>
        </w:rPr>
      </w:pPr>
      <w:r w:rsidRPr="008B6367">
        <w:rPr>
          <w:rFonts w:ascii="Calibri" w:eastAsia="AdvPS_TIR" w:hAnsi="Calibri"/>
        </w:rPr>
        <w:t>A Polish study reviewed 646 drug-resistant epilepsy patients with partial seizures treated with 1–3 new generation AEDs.  Patients were switched from a brand to generic AED.  The group included 68 patients on two brand agents switched to generic drugs. There were 182 gabapentin patients, 284 on lamotrigine and 160 on topiramate.  The authors concluded that switching any of these drugs to generics did not increase seizure frequency (mean seizure frequency per month before and after a switch was 9.9 vs 9.6 for topiramate (6.7 vs 6.9 for lamotrigine and 8.2 vs 8.0 for gabapentin). The percentage of patients that needed to be switched back to the original medication w</w:t>
      </w:r>
      <w:r w:rsidR="00BF6370">
        <w:rPr>
          <w:rFonts w:ascii="Calibri" w:eastAsia="AdvPS_TIR" w:hAnsi="Calibri"/>
        </w:rPr>
        <w:t>as between 0  and</w:t>
      </w:r>
      <w:r w:rsidRPr="008B6367">
        <w:rPr>
          <w:rFonts w:ascii="Calibri" w:eastAsia="AdvPS_TIR" w:hAnsi="Calibri"/>
        </w:rPr>
        <w:t xml:space="preserve"> 2.1%. </w:t>
      </w:r>
      <w:r w:rsidRPr="008B6367">
        <w:rPr>
          <w:rFonts w:ascii="Calibri" w:eastAsia="AdvPS_TII" w:hAnsi="Calibri"/>
        </w:rPr>
        <w:t>(Czapinski</w:t>
      </w:r>
      <w:r w:rsidRPr="008B6367">
        <w:rPr>
          <w:rFonts w:ascii="Calibri" w:hAnsi="Calibri"/>
        </w:rPr>
        <w:t xml:space="preserve"> 2009)</w:t>
      </w:r>
    </w:p>
    <w:p w14:paraId="47A3C308" w14:textId="77777777" w:rsidR="00846DE7" w:rsidRPr="008B6367" w:rsidRDefault="00846DE7" w:rsidP="005B72F7">
      <w:pPr>
        <w:jc w:val="both"/>
        <w:rPr>
          <w:rFonts w:ascii="Calibri" w:hAnsi="Calibri"/>
        </w:rPr>
      </w:pPr>
    </w:p>
    <w:p w14:paraId="707DE936" w14:textId="77777777" w:rsidR="00846DE7" w:rsidRPr="008B6367" w:rsidRDefault="00846DE7" w:rsidP="005B72F7">
      <w:pPr>
        <w:jc w:val="both"/>
        <w:rPr>
          <w:rFonts w:ascii="Calibri" w:hAnsi="Calibri"/>
        </w:rPr>
      </w:pPr>
    </w:p>
    <w:p w14:paraId="2968BE9F" w14:textId="77777777" w:rsidR="009670D3" w:rsidRPr="008B6367" w:rsidRDefault="009670D3" w:rsidP="005B72F7">
      <w:pPr>
        <w:jc w:val="both"/>
        <w:rPr>
          <w:rFonts w:ascii="Calibri" w:hAnsi="Calibri"/>
        </w:rPr>
      </w:pPr>
    </w:p>
    <w:p w14:paraId="326592EF" w14:textId="77777777" w:rsidR="009670D3" w:rsidRPr="008B6367" w:rsidRDefault="009670D3" w:rsidP="005B72F7">
      <w:pPr>
        <w:jc w:val="both"/>
        <w:rPr>
          <w:rFonts w:ascii="Calibri" w:hAnsi="Calibri"/>
        </w:rPr>
      </w:pPr>
    </w:p>
    <w:p w14:paraId="7DC2A500" w14:textId="77777777" w:rsidR="009670D3" w:rsidRPr="008B6367" w:rsidRDefault="009670D3" w:rsidP="005B72F7">
      <w:pPr>
        <w:jc w:val="both"/>
        <w:rPr>
          <w:rFonts w:ascii="Calibri" w:hAnsi="Calibri"/>
        </w:rPr>
      </w:pPr>
    </w:p>
    <w:p w14:paraId="2F40EA76" w14:textId="77777777" w:rsidR="009670D3" w:rsidRPr="008B6367" w:rsidRDefault="009670D3" w:rsidP="005B72F7">
      <w:pPr>
        <w:jc w:val="both"/>
        <w:rPr>
          <w:rFonts w:ascii="Calibri" w:hAnsi="Calibri"/>
        </w:rPr>
      </w:pPr>
    </w:p>
    <w:p w14:paraId="686F7546" w14:textId="77777777" w:rsidR="009670D3" w:rsidRDefault="009670D3" w:rsidP="005B72F7">
      <w:pPr>
        <w:jc w:val="both"/>
        <w:rPr>
          <w:rFonts w:ascii="Calibri" w:hAnsi="Calibri"/>
        </w:rPr>
      </w:pPr>
    </w:p>
    <w:p w14:paraId="16F2F86A" w14:textId="77777777" w:rsidR="008B6367" w:rsidRDefault="008B6367" w:rsidP="005B72F7">
      <w:pPr>
        <w:jc w:val="both"/>
        <w:rPr>
          <w:rFonts w:ascii="Calibri" w:hAnsi="Calibri"/>
        </w:rPr>
      </w:pPr>
    </w:p>
    <w:p w14:paraId="0230C943" w14:textId="77777777" w:rsidR="008B6367" w:rsidRDefault="008B6367" w:rsidP="005B72F7">
      <w:pPr>
        <w:jc w:val="both"/>
        <w:rPr>
          <w:rFonts w:ascii="Calibri" w:hAnsi="Calibri"/>
        </w:rPr>
      </w:pPr>
    </w:p>
    <w:p w14:paraId="24A5BF25" w14:textId="77777777" w:rsidR="008B6367" w:rsidRDefault="008B6367" w:rsidP="005B72F7">
      <w:pPr>
        <w:jc w:val="both"/>
        <w:rPr>
          <w:rFonts w:ascii="Calibri" w:hAnsi="Calibri"/>
        </w:rPr>
      </w:pPr>
    </w:p>
    <w:p w14:paraId="05A2C3F1" w14:textId="77777777" w:rsidR="008B6367" w:rsidRPr="008B6367" w:rsidRDefault="008B6367" w:rsidP="005B72F7">
      <w:pPr>
        <w:jc w:val="both"/>
        <w:rPr>
          <w:rFonts w:ascii="Calibri" w:hAnsi="Calibri"/>
        </w:rPr>
      </w:pPr>
    </w:p>
    <w:p w14:paraId="5043A255" w14:textId="77777777" w:rsidR="009670D3" w:rsidRPr="008B6367" w:rsidRDefault="009670D3" w:rsidP="005B72F7">
      <w:pPr>
        <w:jc w:val="both"/>
        <w:rPr>
          <w:rFonts w:ascii="Calibri" w:hAnsi="Calibri"/>
        </w:rPr>
      </w:pPr>
    </w:p>
    <w:p w14:paraId="4DB7700B" w14:textId="77777777" w:rsidR="009670D3" w:rsidRDefault="009670D3" w:rsidP="005B72F7">
      <w:pPr>
        <w:jc w:val="both"/>
        <w:rPr>
          <w:rFonts w:ascii="Calibri" w:hAnsi="Calibri"/>
        </w:rPr>
      </w:pPr>
    </w:p>
    <w:p w14:paraId="115235AF" w14:textId="77777777" w:rsidR="009670D3" w:rsidRDefault="009670D3" w:rsidP="005B72F7">
      <w:pPr>
        <w:jc w:val="both"/>
        <w:rPr>
          <w:rFonts w:ascii="Calibri" w:hAnsi="Calibri"/>
        </w:rPr>
      </w:pPr>
    </w:p>
    <w:p w14:paraId="19E22C54" w14:textId="77777777" w:rsidR="009670D3" w:rsidRDefault="009670D3" w:rsidP="005B72F7">
      <w:pPr>
        <w:jc w:val="both"/>
        <w:rPr>
          <w:rFonts w:ascii="Calibri" w:hAnsi="Calibri"/>
        </w:rPr>
      </w:pPr>
    </w:p>
    <w:p w14:paraId="14CB5D5F" w14:textId="77777777" w:rsidR="009670D3" w:rsidRDefault="009670D3" w:rsidP="005B72F7">
      <w:pPr>
        <w:jc w:val="both"/>
        <w:rPr>
          <w:rFonts w:ascii="Calibri" w:hAnsi="Calibri"/>
        </w:rPr>
      </w:pPr>
    </w:p>
    <w:p w14:paraId="58C9CA98" w14:textId="77777777" w:rsidR="009670D3" w:rsidRDefault="009670D3" w:rsidP="005B72F7">
      <w:pPr>
        <w:jc w:val="both"/>
        <w:rPr>
          <w:rFonts w:ascii="Calibri" w:hAnsi="Calibri"/>
        </w:rPr>
      </w:pPr>
    </w:p>
    <w:p w14:paraId="506E1531" w14:textId="77777777" w:rsidR="009670D3" w:rsidRDefault="009670D3" w:rsidP="005B72F7">
      <w:pPr>
        <w:jc w:val="both"/>
        <w:rPr>
          <w:rFonts w:ascii="Calibri" w:hAnsi="Calibri"/>
        </w:rPr>
      </w:pPr>
    </w:p>
    <w:p w14:paraId="2A2FC8D3" w14:textId="77777777" w:rsidR="009670D3" w:rsidRDefault="009670D3" w:rsidP="005B72F7">
      <w:pPr>
        <w:jc w:val="both"/>
        <w:rPr>
          <w:rFonts w:ascii="Calibri" w:hAnsi="Calibri"/>
        </w:rPr>
      </w:pPr>
    </w:p>
    <w:p w14:paraId="06382032" w14:textId="77777777" w:rsidR="009670D3" w:rsidRDefault="009670D3" w:rsidP="005B72F7">
      <w:pPr>
        <w:jc w:val="both"/>
        <w:rPr>
          <w:rFonts w:ascii="Calibri" w:hAnsi="Calibri"/>
        </w:rPr>
      </w:pPr>
    </w:p>
    <w:p w14:paraId="3237D3F7" w14:textId="77777777" w:rsidR="009670D3" w:rsidRDefault="009670D3" w:rsidP="005B72F7">
      <w:pPr>
        <w:jc w:val="both"/>
        <w:rPr>
          <w:rFonts w:ascii="Calibri" w:hAnsi="Calibri"/>
        </w:rPr>
      </w:pPr>
    </w:p>
    <w:p w14:paraId="22CB6E3E" w14:textId="77777777" w:rsidR="009670D3" w:rsidRDefault="009670D3" w:rsidP="005B72F7">
      <w:pPr>
        <w:jc w:val="both"/>
        <w:rPr>
          <w:rFonts w:ascii="Calibri" w:hAnsi="Calibri"/>
        </w:rPr>
      </w:pPr>
    </w:p>
    <w:p w14:paraId="71510D3F" w14:textId="598F0CD0" w:rsidR="009670D3" w:rsidRDefault="009670D3" w:rsidP="005B72F7">
      <w:pPr>
        <w:jc w:val="both"/>
        <w:rPr>
          <w:rFonts w:ascii="Calibri" w:hAnsi="Calibri"/>
        </w:rPr>
      </w:pPr>
    </w:p>
    <w:p w14:paraId="5FEB6EE3" w14:textId="6609E6CF" w:rsidR="00D02DC3" w:rsidRDefault="00D02DC3" w:rsidP="005B72F7">
      <w:pPr>
        <w:jc w:val="both"/>
        <w:rPr>
          <w:rFonts w:ascii="Calibri" w:hAnsi="Calibri"/>
        </w:rPr>
      </w:pPr>
    </w:p>
    <w:p w14:paraId="24E88611" w14:textId="076BFF1D" w:rsidR="00D02DC3" w:rsidRDefault="00D02DC3" w:rsidP="005B72F7">
      <w:pPr>
        <w:jc w:val="both"/>
        <w:rPr>
          <w:rFonts w:ascii="Calibri" w:hAnsi="Calibri"/>
        </w:rPr>
      </w:pPr>
    </w:p>
    <w:p w14:paraId="5526B335" w14:textId="48B5D085" w:rsidR="00D02DC3" w:rsidRDefault="00D02DC3" w:rsidP="005B72F7">
      <w:pPr>
        <w:jc w:val="both"/>
        <w:rPr>
          <w:rFonts w:ascii="Calibri" w:hAnsi="Calibri"/>
        </w:rPr>
      </w:pPr>
    </w:p>
    <w:p w14:paraId="020D571C" w14:textId="54D38A03" w:rsidR="00D02DC3" w:rsidRDefault="00D02DC3" w:rsidP="005B72F7">
      <w:pPr>
        <w:jc w:val="both"/>
        <w:rPr>
          <w:rFonts w:ascii="Calibri" w:hAnsi="Calibri"/>
        </w:rPr>
      </w:pPr>
    </w:p>
    <w:p w14:paraId="526281D0" w14:textId="77777777" w:rsidR="00D02DC3" w:rsidRDefault="00D02DC3" w:rsidP="005B72F7">
      <w:pPr>
        <w:jc w:val="both"/>
        <w:rPr>
          <w:rFonts w:ascii="Calibri" w:hAnsi="Calibri"/>
        </w:rPr>
      </w:pPr>
    </w:p>
    <w:p w14:paraId="4D762A17" w14:textId="5182351E" w:rsidR="009670D3" w:rsidRDefault="009670D3" w:rsidP="005B72F7">
      <w:pPr>
        <w:jc w:val="both"/>
        <w:rPr>
          <w:rFonts w:ascii="Calibri" w:hAnsi="Calibri"/>
        </w:rPr>
      </w:pPr>
    </w:p>
    <w:p w14:paraId="0B3CA61B" w14:textId="30BD03FF" w:rsidR="003405F8" w:rsidRDefault="003405F8" w:rsidP="005B72F7">
      <w:pPr>
        <w:jc w:val="both"/>
        <w:rPr>
          <w:rFonts w:ascii="Calibri" w:hAnsi="Calibri"/>
        </w:rPr>
      </w:pPr>
    </w:p>
    <w:p w14:paraId="5E4F0B3A" w14:textId="196E95C0" w:rsidR="003405F8" w:rsidRDefault="003405F8" w:rsidP="005B72F7">
      <w:pPr>
        <w:jc w:val="both"/>
        <w:rPr>
          <w:rFonts w:ascii="Calibri" w:hAnsi="Calibri"/>
        </w:rPr>
      </w:pPr>
    </w:p>
    <w:p w14:paraId="4273ACE2" w14:textId="6ABC348A" w:rsidR="003405F8" w:rsidRDefault="003405F8" w:rsidP="005B72F7">
      <w:pPr>
        <w:jc w:val="both"/>
        <w:rPr>
          <w:rFonts w:ascii="Calibri" w:hAnsi="Calibri"/>
        </w:rPr>
      </w:pPr>
    </w:p>
    <w:p w14:paraId="51387530" w14:textId="7DF49138" w:rsidR="003405F8" w:rsidRDefault="003405F8" w:rsidP="005B72F7">
      <w:pPr>
        <w:jc w:val="both"/>
        <w:rPr>
          <w:rFonts w:ascii="Calibri" w:hAnsi="Calibri"/>
        </w:rPr>
      </w:pPr>
    </w:p>
    <w:p w14:paraId="2A7408EE" w14:textId="40876867" w:rsidR="003405F8" w:rsidRDefault="003405F8" w:rsidP="005B72F7">
      <w:pPr>
        <w:jc w:val="both"/>
        <w:rPr>
          <w:rFonts w:ascii="Calibri" w:hAnsi="Calibri"/>
        </w:rPr>
      </w:pPr>
    </w:p>
    <w:p w14:paraId="25BD1E5F" w14:textId="77777777" w:rsidR="003405F8" w:rsidRDefault="003405F8" w:rsidP="005B72F7">
      <w:pPr>
        <w:jc w:val="both"/>
        <w:rPr>
          <w:rFonts w:ascii="Calibri" w:hAnsi="Calibri"/>
        </w:rPr>
      </w:pPr>
    </w:p>
    <w:p w14:paraId="4939861A" w14:textId="77777777" w:rsidR="000E181B" w:rsidRDefault="000E181B" w:rsidP="005B72F7">
      <w:pPr>
        <w:pStyle w:val="Heading1"/>
        <w:jc w:val="both"/>
        <w:rPr>
          <w:rFonts w:ascii="Calibri" w:hAnsi="Calibri"/>
        </w:rPr>
      </w:pPr>
      <w:bookmarkStart w:id="32" w:name="_Appendix_8"/>
      <w:bookmarkEnd w:id="32"/>
      <w:r>
        <w:rPr>
          <w:rFonts w:ascii="Calibri" w:hAnsi="Calibri"/>
        </w:rPr>
        <w:t xml:space="preserve">Appendix </w:t>
      </w:r>
      <w:r w:rsidR="008B6367">
        <w:rPr>
          <w:rFonts w:ascii="Calibri" w:hAnsi="Calibri"/>
        </w:rPr>
        <w:t>8</w:t>
      </w:r>
    </w:p>
    <w:p w14:paraId="3EDA73CE" w14:textId="77777777" w:rsidR="000E181B" w:rsidRDefault="000E181B" w:rsidP="005B72F7">
      <w:pPr>
        <w:pStyle w:val="Heading1"/>
        <w:jc w:val="both"/>
        <w:rPr>
          <w:rFonts w:ascii="Calibri" w:hAnsi="Calibri"/>
        </w:rPr>
      </w:pPr>
      <w:r>
        <w:rPr>
          <w:rFonts w:ascii="Calibri" w:hAnsi="Calibri"/>
        </w:rPr>
        <w:t>Review of the evidence for sodium valproate (and salts)</w:t>
      </w:r>
    </w:p>
    <w:p w14:paraId="5D996FF0" w14:textId="77777777" w:rsidR="000E181B" w:rsidRPr="00901A8D" w:rsidRDefault="000E181B" w:rsidP="005B72F7">
      <w:pPr>
        <w:autoSpaceDE w:val="0"/>
        <w:autoSpaceDN w:val="0"/>
        <w:adjustRightInd w:val="0"/>
        <w:jc w:val="both"/>
        <w:rPr>
          <w:rFonts w:ascii="Calibri" w:hAnsi="Calibri"/>
          <w:color w:val="241F20"/>
        </w:rPr>
      </w:pPr>
    </w:p>
    <w:p w14:paraId="62683CAD" w14:textId="77777777" w:rsidR="000E181B" w:rsidRPr="008B6367" w:rsidRDefault="000E181B" w:rsidP="005B72F7">
      <w:pPr>
        <w:autoSpaceDE w:val="0"/>
        <w:autoSpaceDN w:val="0"/>
        <w:adjustRightInd w:val="0"/>
        <w:jc w:val="both"/>
        <w:rPr>
          <w:rFonts w:ascii="Calibri" w:hAnsi="Calibri"/>
          <w:color w:val="000000"/>
        </w:rPr>
      </w:pPr>
      <w:r>
        <w:rPr>
          <w:rFonts w:ascii="Calibri" w:hAnsi="Calibri"/>
          <w:color w:val="241F20"/>
        </w:rPr>
        <w:t>A study</w:t>
      </w:r>
      <w:r w:rsidRPr="00901A8D">
        <w:rPr>
          <w:rFonts w:ascii="Calibri" w:hAnsi="Calibri"/>
          <w:color w:val="241F20"/>
        </w:rPr>
        <w:t xml:space="preserve"> used bioequivalence data for approved generic AED formulations </w:t>
      </w:r>
      <w:r>
        <w:rPr>
          <w:rFonts w:ascii="Calibri" w:hAnsi="Calibri"/>
          <w:color w:val="241F20"/>
        </w:rPr>
        <w:t>in the US</w:t>
      </w:r>
      <w:r w:rsidRPr="00901A8D">
        <w:rPr>
          <w:rFonts w:ascii="Calibri" w:hAnsi="Calibri"/>
          <w:color w:val="241F20"/>
        </w:rPr>
        <w:t xml:space="preserve"> provided by the FDA Centre for Drug Evaluation and Research, Office of Generic Drugs</w:t>
      </w:r>
      <w:r>
        <w:rPr>
          <w:rFonts w:ascii="Calibri" w:hAnsi="Calibri"/>
          <w:color w:val="241F20"/>
        </w:rPr>
        <w:t xml:space="preserve">. </w:t>
      </w:r>
      <w:r w:rsidRPr="00901A8D">
        <w:rPr>
          <w:rFonts w:ascii="Calibri" w:hAnsi="Calibri"/>
          <w:color w:val="241F20"/>
        </w:rPr>
        <w:t xml:space="preserve"> A total of 141 generic AED products were evaluated in 258 bioequivalenc</w:t>
      </w:r>
      <w:r>
        <w:rPr>
          <w:rFonts w:ascii="Calibri" w:hAnsi="Calibri"/>
          <w:color w:val="241F20"/>
        </w:rPr>
        <w:t>e</w:t>
      </w:r>
      <w:r w:rsidRPr="00901A8D">
        <w:rPr>
          <w:rFonts w:ascii="Calibri" w:hAnsi="Calibri"/>
          <w:color w:val="241F20"/>
        </w:rPr>
        <w:t xml:space="preserve"> studies.  Divalproex, Gabapentin and oxcarbaz</w:t>
      </w:r>
      <w:r>
        <w:rPr>
          <w:rFonts w:ascii="Calibri" w:hAnsi="Calibri"/>
          <w:color w:val="241F20"/>
        </w:rPr>
        <w:t>ep</w:t>
      </w:r>
      <w:r w:rsidRPr="00901A8D">
        <w:rPr>
          <w:rFonts w:ascii="Calibri" w:hAnsi="Calibri"/>
          <w:color w:val="241F20"/>
        </w:rPr>
        <w:t xml:space="preserve">ine had </w:t>
      </w:r>
      <w:r>
        <w:rPr>
          <w:rFonts w:ascii="Calibri" w:hAnsi="Calibri"/>
          <w:color w:val="241F20"/>
        </w:rPr>
        <w:t xml:space="preserve">the greatest </w:t>
      </w:r>
      <w:r w:rsidRPr="00901A8D">
        <w:rPr>
          <w:rFonts w:ascii="Calibri" w:hAnsi="Calibri"/>
          <w:color w:val="241F20"/>
        </w:rPr>
        <w:t xml:space="preserve">proportions of bioequivalence studies in which Cmax </w:t>
      </w:r>
      <w:r w:rsidRPr="008B6367">
        <w:rPr>
          <w:rFonts w:ascii="Calibri" w:hAnsi="Calibri"/>
          <w:color w:val="241F20"/>
        </w:rPr>
        <w:t>varied by 15 to 25% between fasting and fed states of different generic products, compared to other AEDs.  (</w:t>
      </w:r>
      <w:r w:rsidRPr="008B6367">
        <w:rPr>
          <w:rFonts w:ascii="Calibri" w:hAnsi="Calibri"/>
          <w:color w:val="000000"/>
        </w:rPr>
        <w:t>Krauss 2011)</w:t>
      </w:r>
    </w:p>
    <w:p w14:paraId="53ECA7AA" w14:textId="77777777" w:rsidR="000E181B" w:rsidRPr="008B6367" w:rsidRDefault="000E181B" w:rsidP="005B72F7">
      <w:pPr>
        <w:jc w:val="both"/>
        <w:rPr>
          <w:rFonts w:ascii="Calibri" w:hAnsi="Calibri"/>
        </w:rPr>
      </w:pPr>
    </w:p>
    <w:p w14:paraId="38E91766" w14:textId="77777777" w:rsidR="000E181B" w:rsidRPr="008B6367" w:rsidRDefault="000E181B" w:rsidP="005B72F7">
      <w:pPr>
        <w:autoSpaceDE w:val="0"/>
        <w:autoSpaceDN w:val="0"/>
        <w:adjustRightInd w:val="0"/>
        <w:jc w:val="both"/>
        <w:rPr>
          <w:rFonts w:ascii="Calibri" w:hAnsi="Calibri"/>
        </w:rPr>
      </w:pPr>
      <w:r w:rsidRPr="008B6367">
        <w:rPr>
          <w:rStyle w:val="article-articlebody"/>
          <w:rFonts w:ascii="Calibri" w:hAnsi="Calibri"/>
        </w:rPr>
        <w:t xml:space="preserve">A </w:t>
      </w:r>
      <w:r w:rsidRPr="008B6367">
        <w:rPr>
          <w:rFonts w:ascii="Calibri" w:hAnsi="Calibri"/>
        </w:rPr>
        <w:t>large</w:t>
      </w:r>
      <w:r w:rsidRPr="008B6367">
        <w:rPr>
          <w:rStyle w:val="article-articlebody"/>
          <w:rFonts w:ascii="Calibri" w:hAnsi="Calibri"/>
        </w:rPr>
        <w:t xml:space="preserve"> US </w:t>
      </w:r>
      <w:r w:rsidRPr="008B6367">
        <w:rPr>
          <w:rFonts w:ascii="Calibri" w:hAnsi="Calibri"/>
        </w:rPr>
        <w:t>retrospective cohort analysis used pharmacy and medical claims and enrolment data from a claims database (Medicare) between 2002 and 2008.  Epileptic patients taking divalproex, lamotrigine and phenytoin were studied and divided into cohorts of patients who switched from the brand to a generic version and patients who remained on the same brand AED.  Inclusion in the study required &gt; 80% adherence.  Each divalproex cohort had 399 patients (after matching 1:1). The majority of divalproex patients in the study had utilised only one AED during the 6-month pre-index period. However, a significant portion (31.1–32.6%) utilised two AEDs and 6.8 – 8.0% utilised three AEDs and les than 2% utilised four AEDs or more.</w:t>
      </w:r>
    </w:p>
    <w:p w14:paraId="61337A72" w14:textId="77777777" w:rsidR="000E181B" w:rsidRPr="008B6367" w:rsidRDefault="000E181B" w:rsidP="005B72F7">
      <w:pPr>
        <w:autoSpaceDE w:val="0"/>
        <w:autoSpaceDN w:val="0"/>
        <w:adjustRightInd w:val="0"/>
        <w:jc w:val="both"/>
        <w:rPr>
          <w:rFonts w:ascii="Calibri" w:hAnsi="Calibri"/>
        </w:rPr>
      </w:pPr>
    </w:p>
    <w:p w14:paraId="0EED51D1" w14:textId="77777777" w:rsidR="000E181B" w:rsidRPr="008B6367" w:rsidRDefault="00FE31D3" w:rsidP="005B72F7">
      <w:pPr>
        <w:autoSpaceDE w:val="0"/>
        <w:autoSpaceDN w:val="0"/>
        <w:adjustRightInd w:val="0"/>
        <w:jc w:val="both"/>
        <w:rPr>
          <w:rFonts w:ascii="Calibri" w:hAnsi="Calibri"/>
        </w:rPr>
      </w:pPr>
      <w:r>
        <w:rPr>
          <w:rFonts w:ascii="Calibri" w:hAnsi="Calibri"/>
        </w:rPr>
        <w:t>The incident rate</w:t>
      </w:r>
      <w:r w:rsidR="000E181B" w:rsidRPr="008B6367">
        <w:rPr>
          <w:rFonts w:ascii="Calibri" w:hAnsi="Calibri"/>
        </w:rPr>
        <w:t xml:space="preserve"> for: discontinuation of AED, dose change of AED, or AED add-on therapy per person-year was 1.02 (95% CI 0.88 -1.42) for divalproex [1.00 (95% CI 0.84–1.19) for lamotrigine and 1.85 (95% CI 1.50 -2.29) for phenytoin].  </w:t>
      </w:r>
    </w:p>
    <w:p w14:paraId="41686FB4" w14:textId="77777777" w:rsidR="000E181B" w:rsidRPr="008B6367" w:rsidRDefault="000E181B" w:rsidP="005B72F7">
      <w:pPr>
        <w:autoSpaceDE w:val="0"/>
        <w:autoSpaceDN w:val="0"/>
        <w:adjustRightInd w:val="0"/>
        <w:jc w:val="both"/>
        <w:rPr>
          <w:rFonts w:ascii="Calibri" w:hAnsi="Calibri"/>
        </w:rPr>
      </w:pPr>
      <w:r w:rsidRPr="008B6367">
        <w:rPr>
          <w:rFonts w:ascii="Calibri" w:hAnsi="Calibri"/>
        </w:rPr>
        <w:t>The event rates of all-cause emergency department visits and hospitalisations per person-year comparing the generic switch cohort with the nonswitch cohort was 0.84 (95% CI 0.66 -1.06) for divalproex, [0.97 (95% CI 0.80 - 1.17) for lamotrigine and 0.96 (95% CI 0.80 -1.16) for phenytoin]</w:t>
      </w:r>
    </w:p>
    <w:p w14:paraId="5E922FBE" w14:textId="77777777" w:rsidR="000E181B" w:rsidRPr="008B6367" w:rsidRDefault="000E181B" w:rsidP="005B72F7">
      <w:pPr>
        <w:autoSpaceDE w:val="0"/>
        <w:autoSpaceDN w:val="0"/>
        <w:adjustRightInd w:val="0"/>
        <w:jc w:val="both"/>
        <w:rPr>
          <w:rFonts w:ascii="Calibri" w:hAnsi="Calibri"/>
        </w:rPr>
      </w:pPr>
    </w:p>
    <w:p w14:paraId="293E86AF" w14:textId="77777777" w:rsidR="000E181B" w:rsidRPr="008B6367" w:rsidRDefault="000E181B" w:rsidP="005B72F7">
      <w:pPr>
        <w:autoSpaceDE w:val="0"/>
        <w:autoSpaceDN w:val="0"/>
        <w:adjustRightInd w:val="0"/>
        <w:jc w:val="both"/>
        <w:rPr>
          <w:rFonts w:ascii="Calibri" w:hAnsi="Calibri"/>
        </w:rPr>
      </w:pPr>
      <w:r w:rsidRPr="008B6367">
        <w:rPr>
          <w:rFonts w:ascii="Calibri" w:hAnsi="Calibri"/>
        </w:rPr>
        <w:t xml:space="preserve">The authors suggest that for similar patient populations taking divalproex, brand to generic switches can be made without risking serious adverse events requiring medical attention. (Erickson 2011)    </w:t>
      </w:r>
    </w:p>
    <w:p w14:paraId="5EC1A850" w14:textId="77777777" w:rsidR="000E181B" w:rsidRPr="008B6367" w:rsidRDefault="000E181B" w:rsidP="005B72F7">
      <w:pPr>
        <w:autoSpaceDE w:val="0"/>
        <w:autoSpaceDN w:val="0"/>
        <w:adjustRightInd w:val="0"/>
        <w:jc w:val="both"/>
        <w:rPr>
          <w:rFonts w:ascii="Calibri" w:hAnsi="Calibri"/>
        </w:rPr>
      </w:pPr>
    </w:p>
    <w:p w14:paraId="4662DC81" w14:textId="77777777" w:rsidR="000E181B" w:rsidRPr="008B6367" w:rsidRDefault="000E181B" w:rsidP="005B72F7">
      <w:pPr>
        <w:autoSpaceDE w:val="0"/>
        <w:autoSpaceDN w:val="0"/>
        <w:adjustRightInd w:val="0"/>
        <w:jc w:val="both"/>
        <w:rPr>
          <w:rFonts w:ascii="Calibri" w:hAnsi="Calibri" w:cs="Times-Roman"/>
        </w:rPr>
      </w:pPr>
      <w:r w:rsidRPr="008B6367">
        <w:rPr>
          <w:rFonts w:ascii="Calibri" w:hAnsi="Calibri"/>
        </w:rPr>
        <w:t xml:space="preserve">A Canadian study analysed </w:t>
      </w:r>
      <w:r w:rsidRPr="008B6367">
        <w:rPr>
          <w:rFonts w:ascii="Calibri" w:hAnsi="Calibri" w:cs="Times-Roman"/>
        </w:rPr>
        <w:t>prescription drug dispensing claims paid for b</w:t>
      </w:r>
      <w:r w:rsidR="00FE31D3">
        <w:rPr>
          <w:rFonts w:ascii="Calibri" w:hAnsi="Calibri" w:cs="Times-Roman"/>
        </w:rPr>
        <w:t>y the Ontario Drug Benefit</w:t>
      </w:r>
      <w:r w:rsidRPr="008B6367">
        <w:rPr>
          <w:rFonts w:ascii="Calibri" w:hAnsi="Calibri" w:cs="Times-Roman"/>
        </w:rPr>
        <w:t xml:space="preserve"> Formulary to identify patients on lamotrigine, clobazam or valproic acid / divalproex in January 2002 to March 2006.  Rates of switch back to brand were determined [Lamictal, Frisium and Depakene (</w:t>
      </w:r>
      <w:r w:rsidR="00FE31D3">
        <w:rPr>
          <w:rFonts w:ascii="Calibri" w:hAnsi="Calibri" w:cs="Times-Roman"/>
        </w:rPr>
        <w:t>valproic acid</w:t>
      </w:r>
      <w:r w:rsidRPr="008B6367">
        <w:rPr>
          <w:rFonts w:ascii="Calibri" w:hAnsi="Calibri" w:cs="Times-Roman"/>
        </w:rPr>
        <w:t>; divalproex)] an</w:t>
      </w:r>
      <w:r w:rsidR="00FE31D3">
        <w:rPr>
          <w:rFonts w:ascii="Calibri" w:hAnsi="Calibri" w:cs="Times-Roman"/>
        </w:rPr>
        <w:t>d these were compared with non-</w:t>
      </w:r>
      <w:r w:rsidRPr="008B6367">
        <w:rPr>
          <w:rFonts w:ascii="Calibri" w:hAnsi="Calibri" w:cs="Times-Roman"/>
        </w:rPr>
        <w:t xml:space="preserve">AED long-term therapies, antihyperlipidemics and antidepressants. </w:t>
      </w:r>
    </w:p>
    <w:p w14:paraId="59B219BA" w14:textId="77777777" w:rsidR="000E181B" w:rsidRPr="008B6367" w:rsidRDefault="000E181B" w:rsidP="005B72F7">
      <w:pPr>
        <w:autoSpaceDE w:val="0"/>
        <w:autoSpaceDN w:val="0"/>
        <w:adjustRightInd w:val="0"/>
        <w:jc w:val="both"/>
        <w:rPr>
          <w:rFonts w:ascii="Calibri" w:hAnsi="Calibri"/>
          <w:color w:val="000000"/>
        </w:rPr>
      </w:pPr>
      <w:r w:rsidRPr="008B6367">
        <w:rPr>
          <w:rFonts w:ascii="Calibri" w:hAnsi="Calibri"/>
          <w:color w:val="000000"/>
        </w:rPr>
        <w:t xml:space="preserve">There were 1770 valproic acid / divalproex patients (719 monotherapy and 1051 polytherapy 59.4%).  </w:t>
      </w:r>
      <w:r w:rsidRPr="008B6367">
        <w:rPr>
          <w:rFonts w:ascii="Calibri" w:hAnsi="Calibri" w:cs="Times-Roman"/>
        </w:rPr>
        <w:t>Depakene (20.9%) and Frisium (20.7%) patients experienced the highest switchback rates, followed by 12.9% for Lamictal patients. The switchback rates for non-</w:t>
      </w:r>
      <w:r w:rsidR="00FE31D3">
        <w:rPr>
          <w:rFonts w:ascii="Calibri" w:hAnsi="Calibri" w:cs="Times-Roman"/>
        </w:rPr>
        <w:t>narrow-therapeutic-index</w:t>
      </w:r>
      <w:r w:rsidRPr="008B6367">
        <w:rPr>
          <w:rFonts w:ascii="Calibri" w:hAnsi="Calibri" w:cs="Times-Roman"/>
        </w:rPr>
        <w:t xml:space="preserve"> drugs were substantially lower at 1.5–2.9% for the statins and SSRIs under study.  A larger share of polytherapy patients switched back in the case for Depakene (21.3 vs. 20.6%).  (</w:t>
      </w:r>
      <w:r w:rsidRPr="008B6367">
        <w:rPr>
          <w:rFonts w:ascii="Calibri" w:hAnsi="Calibri"/>
          <w:color w:val="000000"/>
        </w:rPr>
        <w:t>Andermann</w:t>
      </w:r>
      <w:r w:rsidRPr="008B6367">
        <w:rPr>
          <w:rFonts w:ascii="Calibri" w:hAnsi="Calibri"/>
          <w:iCs/>
          <w:color w:val="000000"/>
        </w:rPr>
        <w:t xml:space="preserve"> </w:t>
      </w:r>
      <w:r w:rsidRPr="008B6367">
        <w:rPr>
          <w:rFonts w:ascii="Calibri" w:hAnsi="Calibri"/>
          <w:color w:val="000000"/>
        </w:rPr>
        <w:t>2007)</w:t>
      </w:r>
    </w:p>
    <w:p w14:paraId="2091DEBF" w14:textId="77777777" w:rsidR="000E181B" w:rsidRPr="008B6367" w:rsidRDefault="000E181B" w:rsidP="005B72F7">
      <w:pPr>
        <w:jc w:val="both"/>
        <w:rPr>
          <w:rFonts w:ascii="Calibri" w:hAnsi="Calibri"/>
        </w:rPr>
      </w:pPr>
    </w:p>
    <w:p w14:paraId="171B07A0" w14:textId="77777777" w:rsidR="000E181B" w:rsidRPr="008B6367" w:rsidRDefault="000E181B" w:rsidP="005B72F7">
      <w:pPr>
        <w:autoSpaceDE w:val="0"/>
        <w:autoSpaceDN w:val="0"/>
        <w:adjustRightInd w:val="0"/>
        <w:jc w:val="both"/>
        <w:rPr>
          <w:rFonts w:ascii="Calibri" w:hAnsi="Calibri"/>
        </w:rPr>
      </w:pPr>
      <w:r w:rsidRPr="008B6367">
        <w:rPr>
          <w:rFonts w:ascii="Calibri" w:hAnsi="Calibri"/>
          <w:color w:val="000000"/>
        </w:rPr>
        <w:t xml:space="preserve">A survey of physicians in the US found that </w:t>
      </w:r>
      <w:r w:rsidRPr="008B6367">
        <w:rPr>
          <w:rFonts w:ascii="Calibri" w:hAnsi="Calibri"/>
        </w:rPr>
        <w:t>293 (65%) out of 451 neurologists who completed the online survey had a patient who experienced a loss of seizure control caused by either a switch from a brand to a generic AED or from uncontrolled switching between generic forms of an AED.   50/293 cases were chosen randomly for further review.  There were 14</w:t>
      </w:r>
      <w:r w:rsidRPr="008B6367">
        <w:rPr>
          <w:rFonts w:ascii="Calibri" w:eastAsia="MinionPro-Regular" w:hAnsi="Calibri"/>
        </w:rPr>
        <w:t xml:space="preserve"> patients on valproic acid in the random sample</w:t>
      </w:r>
      <w:r w:rsidRPr="008B6367">
        <w:rPr>
          <w:rFonts w:ascii="Calibri" w:hAnsi="Calibri"/>
        </w:rPr>
        <w:t xml:space="preserve">, who were well-controlled on the brand AED, and who subsequently experienced a breakthrough seizure or increased seizure frequency after switching to a generic without other provoking factors. [Two patients were on a combination of two AEDs, both of which were switched to generics (unknown which AEDs)]. </w:t>
      </w:r>
    </w:p>
    <w:p w14:paraId="03004E7C" w14:textId="77777777" w:rsidR="000E181B" w:rsidRPr="008B6367" w:rsidRDefault="000E181B" w:rsidP="005B72F7">
      <w:pPr>
        <w:autoSpaceDE w:val="0"/>
        <w:autoSpaceDN w:val="0"/>
        <w:adjustRightInd w:val="0"/>
        <w:jc w:val="both"/>
        <w:rPr>
          <w:rFonts w:ascii="Calibri" w:hAnsi="Calibri"/>
        </w:rPr>
      </w:pPr>
    </w:p>
    <w:p w14:paraId="3DCF97DB" w14:textId="77777777" w:rsidR="000E181B" w:rsidRPr="008B6367" w:rsidRDefault="000E181B" w:rsidP="005B72F7">
      <w:pPr>
        <w:jc w:val="both"/>
        <w:rPr>
          <w:rFonts w:ascii="Calibri" w:eastAsia="MinionPro-Regular" w:hAnsi="Calibri"/>
        </w:rPr>
      </w:pPr>
      <w:r w:rsidRPr="008B6367">
        <w:rPr>
          <w:rFonts w:ascii="Calibri" w:hAnsi="Calibri"/>
        </w:rPr>
        <w:t xml:space="preserve">The blood levels of those patients who were switched to generic valproic acid decreased by an average of 34% (compared to carbamazepine 20% and phenytoin 40%).  3 patients had blood levels after switching back to brand and levels returned to within 10% of the original baseline level.  (Berg </w:t>
      </w:r>
      <w:r w:rsidRPr="008B6367">
        <w:rPr>
          <w:rFonts w:ascii="Calibri" w:eastAsia="MinionPro-Regular" w:hAnsi="Calibri"/>
        </w:rPr>
        <w:t>2008)</w:t>
      </w:r>
    </w:p>
    <w:p w14:paraId="600177DD" w14:textId="77777777" w:rsidR="000E181B" w:rsidRPr="008B6367" w:rsidRDefault="000E181B" w:rsidP="005B72F7">
      <w:pPr>
        <w:autoSpaceDE w:val="0"/>
        <w:autoSpaceDN w:val="0"/>
        <w:adjustRightInd w:val="0"/>
        <w:jc w:val="both"/>
        <w:rPr>
          <w:rFonts w:ascii="Calibri" w:hAnsi="Calibri" w:cs="Times-Roman"/>
        </w:rPr>
      </w:pPr>
    </w:p>
    <w:p w14:paraId="336038D2" w14:textId="77777777" w:rsidR="000E181B" w:rsidRPr="008B6367" w:rsidRDefault="000E181B" w:rsidP="005B72F7">
      <w:pPr>
        <w:jc w:val="both"/>
        <w:rPr>
          <w:rFonts w:ascii="Calibri" w:hAnsi="Calibri"/>
        </w:rPr>
      </w:pPr>
      <w:r w:rsidRPr="008B6367">
        <w:rPr>
          <w:rFonts w:ascii="Calibri" w:hAnsi="Calibri"/>
        </w:rPr>
        <w:t xml:space="preserve">There are case reports in India of two mentally retarded adults suffering (myoclonic and generalised tonic clonic) seizures since childhood who were treated with generic sodium valproate 200 mg bd and gradually increased to 1600mg/day and 1400mg/day in three divided doses over a period of 1½ years. For 2 consecutive months, they were maintained on the same dose. The seizures occurred at a frequency of 4/month and 2/month respectively. The serum level of the free valproic acid was 67.87 mcg/ml and 71.16 mcg/ml respectively. A branded form of sodium valproate was substituted for the generic form in the same dose and interval for a period of one month. At the end of one month, the seizure frequency was 2 and 1 per month and the repeat serum level of free valproic acid was 118.40 mcg/ml and 80.58 mcg/ml respectively. No adverse effects were noticed.  (Dhanaraj 2004)   </w:t>
      </w:r>
    </w:p>
    <w:p w14:paraId="0D709A79" w14:textId="77777777" w:rsidR="009670D3" w:rsidRPr="008B6367" w:rsidRDefault="009670D3" w:rsidP="005B72F7">
      <w:pPr>
        <w:jc w:val="both"/>
        <w:rPr>
          <w:rFonts w:ascii="Calibri" w:hAnsi="Calibri"/>
        </w:rPr>
      </w:pPr>
    </w:p>
    <w:p w14:paraId="33E2C0B1" w14:textId="77777777" w:rsidR="009670D3" w:rsidRPr="008B6367" w:rsidRDefault="009670D3" w:rsidP="005B72F7">
      <w:pPr>
        <w:jc w:val="both"/>
        <w:rPr>
          <w:rFonts w:ascii="Calibri" w:hAnsi="Calibri"/>
        </w:rPr>
      </w:pPr>
    </w:p>
    <w:p w14:paraId="1D070AA3" w14:textId="77777777" w:rsidR="009670D3" w:rsidRPr="008B6367" w:rsidRDefault="009670D3" w:rsidP="005B72F7">
      <w:pPr>
        <w:jc w:val="both"/>
        <w:rPr>
          <w:rFonts w:ascii="Calibri" w:hAnsi="Calibri"/>
        </w:rPr>
      </w:pPr>
    </w:p>
    <w:p w14:paraId="322FDBDE" w14:textId="77777777" w:rsidR="009670D3" w:rsidRPr="008B6367" w:rsidRDefault="009670D3" w:rsidP="005B72F7">
      <w:pPr>
        <w:jc w:val="both"/>
        <w:rPr>
          <w:rFonts w:ascii="Calibri" w:hAnsi="Calibri"/>
        </w:rPr>
      </w:pPr>
    </w:p>
    <w:p w14:paraId="7112A684" w14:textId="77777777" w:rsidR="009670D3" w:rsidRPr="008B6367" w:rsidRDefault="009670D3" w:rsidP="005B72F7">
      <w:pPr>
        <w:jc w:val="both"/>
        <w:rPr>
          <w:rFonts w:ascii="Calibri" w:hAnsi="Calibri"/>
        </w:rPr>
      </w:pPr>
    </w:p>
    <w:p w14:paraId="738B121B" w14:textId="77777777" w:rsidR="009670D3" w:rsidRPr="008B6367" w:rsidRDefault="009670D3" w:rsidP="005B72F7">
      <w:pPr>
        <w:jc w:val="both"/>
        <w:rPr>
          <w:rFonts w:ascii="Calibri" w:hAnsi="Calibri"/>
        </w:rPr>
      </w:pPr>
    </w:p>
    <w:p w14:paraId="39429543" w14:textId="77777777" w:rsidR="009670D3" w:rsidRPr="008B6367" w:rsidRDefault="009670D3" w:rsidP="005B72F7">
      <w:pPr>
        <w:jc w:val="both"/>
        <w:rPr>
          <w:rFonts w:ascii="Calibri" w:hAnsi="Calibri"/>
        </w:rPr>
      </w:pPr>
    </w:p>
    <w:p w14:paraId="4A650421" w14:textId="77777777" w:rsidR="009670D3" w:rsidRPr="008B6367" w:rsidRDefault="009670D3" w:rsidP="005B72F7">
      <w:pPr>
        <w:jc w:val="both"/>
        <w:rPr>
          <w:rFonts w:ascii="Calibri" w:hAnsi="Calibri"/>
        </w:rPr>
      </w:pPr>
    </w:p>
    <w:p w14:paraId="205C4932" w14:textId="77777777" w:rsidR="009670D3" w:rsidRPr="008B6367" w:rsidRDefault="009670D3" w:rsidP="005B72F7">
      <w:pPr>
        <w:jc w:val="both"/>
        <w:rPr>
          <w:rFonts w:ascii="Calibri" w:hAnsi="Calibri"/>
        </w:rPr>
      </w:pPr>
    </w:p>
    <w:p w14:paraId="0F70C986" w14:textId="77777777" w:rsidR="009670D3" w:rsidRPr="008B6367" w:rsidRDefault="009670D3" w:rsidP="005B72F7">
      <w:pPr>
        <w:jc w:val="both"/>
        <w:rPr>
          <w:rFonts w:ascii="Calibri" w:hAnsi="Calibri"/>
        </w:rPr>
      </w:pPr>
    </w:p>
    <w:p w14:paraId="74EFE2A8" w14:textId="77777777" w:rsidR="009670D3" w:rsidRPr="008B6367" w:rsidRDefault="009670D3" w:rsidP="005B72F7">
      <w:pPr>
        <w:jc w:val="both"/>
        <w:rPr>
          <w:rFonts w:ascii="Calibri" w:hAnsi="Calibri"/>
        </w:rPr>
      </w:pPr>
    </w:p>
    <w:p w14:paraId="31D74416" w14:textId="77777777" w:rsidR="009670D3" w:rsidRDefault="009670D3" w:rsidP="005B72F7">
      <w:pPr>
        <w:jc w:val="both"/>
        <w:rPr>
          <w:rFonts w:ascii="Calibri" w:hAnsi="Calibri"/>
        </w:rPr>
      </w:pPr>
    </w:p>
    <w:p w14:paraId="2A5BDFFA" w14:textId="77777777" w:rsidR="009670D3" w:rsidRDefault="009670D3" w:rsidP="005B72F7">
      <w:pPr>
        <w:jc w:val="both"/>
        <w:rPr>
          <w:rFonts w:ascii="Calibri" w:hAnsi="Calibri"/>
        </w:rPr>
      </w:pPr>
    </w:p>
    <w:p w14:paraId="21AC4773" w14:textId="77777777" w:rsidR="009670D3" w:rsidRDefault="009670D3" w:rsidP="005B72F7">
      <w:pPr>
        <w:jc w:val="both"/>
        <w:rPr>
          <w:rFonts w:ascii="Calibri" w:hAnsi="Calibri"/>
        </w:rPr>
      </w:pPr>
    </w:p>
    <w:p w14:paraId="693DC125" w14:textId="77777777" w:rsidR="009670D3" w:rsidRDefault="009670D3" w:rsidP="005B72F7">
      <w:pPr>
        <w:jc w:val="both"/>
        <w:rPr>
          <w:rFonts w:ascii="Calibri" w:hAnsi="Calibri"/>
        </w:rPr>
      </w:pPr>
    </w:p>
    <w:p w14:paraId="01279564" w14:textId="77777777" w:rsidR="009670D3" w:rsidRDefault="009670D3" w:rsidP="005B72F7">
      <w:pPr>
        <w:jc w:val="both"/>
        <w:rPr>
          <w:rFonts w:ascii="Calibri" w:hAnsi="Calibri"/>
        </w:rPr>
      </w:pPr>
    </w:p>
    <w:p w14:paraId="669AD4D9" w14:textId="77777777" w:rsidR="009670D3" w:rsidRDefault="009670D3" w:rsidP="005B72F7">
      <w:pPr>
        <w:jc w:val="both"/>
        <w:rPr>
          <w:rFonts w:ascii="Calibri" w:hAnsi="Calibri"/>
        </w:rPr>
      </w:pPr>
    </w:p>
    <w:p w14:paraId="5CE47986" w14:textId="77777777" w:rsidR="009670D3" w:rsidRDefault="009670D3" w:rsidP="005B72F7">
      <w:pPr>
        <w:jc w:val="both"/>
        <w:rPr>
          <w:rFonts w:ascii="Calibri" w:hAnsi="Calibri"/>
        </w:rPr>
      </w:pPr>
    </w:p>
    <w:p w14:paraId="4E7F7745" w14:textId="77777777" w:rsidR="003405F8" w:rsidRDefault="003405F8" w:rsidP="008D0B19">
      <w:pPr>
        <w:pStyle w:val="Heading1"/>
        <w:rPr>
          <w:rFonts w:ascii="Calibri" w:hAnsi="Calibri"/>
          <w:lang w:val="nl-NL"/>
        </w:rPr>
      </w:pPr>
      <w:bookmarkStart w:id="33" w:name="_References"/>
      <w:bookmarkEnd w:id="33"/>
    </w:p>
    <w:p w14:paraId="67F6889C" w14:textId="77777777" w:rsidR="003405F8" w:rsidRDefault="003405F8" w:rsidP="008D0B19">
      <w:pPr>
        <w:pStyle w:val="Heading1"/>
        <w:rPr>
          <w:rFonts w:ascii="Calibri" w:hAnsi="Calibri"/>
          <w:lang w:val="nl-NL"/>
        </w:rPr>
      </w:pPr>
    </w:p>
    <w:p w14:paraId="67AD9BBC" w14:textId="0B0F6085" w:rsidR="00D1137E" w:rsidRPr="000262AE" w:rsidRDefault="00D1137E" w:rsidP="008D0B19">
      <w:pPr>
        <w:pStyle w:val="Heading1"/>
        <w:rPr>
          <w:rFonts w:ascii="Calibri" w:hAnsi="Calibri"/>
          <w:lang w:val="nl-NL"/>
        </w:rPr>
      </w:pPr>
      <w:r w:rsidRPr="000262AE">
        <w:rPr>
          <w:rFonts w:ascii="Calibri" w:hAnsi="Calibri"/>
          <w:lang w:val="nl-NL"/>
        </w:rPr>
        <w:t>References</w:t>
      </w:r>
    </w:p>
    <w:p w14:paraId="0A3C6BC5" w14:textId="20CF9FF8" w:rsidR="004D7181" w:rsidRDefault="004D7181" w:rsidP="00B628E6">
      <w:pPr>
        <w:autoSpaceDE w:val="0"/>
        <w:autoSpaceDN w:val="0"/>
        <w:adjustRightInd w:val="0"/>
        <w:rPr>
          <w:rFonts w:ascii="Calibri" w:hAnsi="Calibri"/>
          <w:b/>
          <w:color w:val="000000"/>
          <w:lang w:val="nl-NL"/>
        </w:rPr>
      </w:pPr>
    </w:p>
    <w:p w14:paraId="5838BE17" w14:textId="51E8E5C1" w:rsidR="00DC0519" w:rsidRPr="00763112" w:rsidRDefault="00F54252" w:rsidP="00B628E6">
      <w:pPr>
        <w:autoSpaceDE w:val="0"/>
        <w:autoSpaceDN w:val="0"/>
        <w:adjustRightInd w:val="0"/>
        <w:rPr>
          <w:rFonts w:ascii="Calibri" w:hAnsi="Calibri" w:cs="Calibri"/>
          <w:b/>
          <w:bCs/>
          <w:color w:val="000000"/>
          <w:lang w:val="en-US"/>
        </w:rPr>
      </w:pPr>
      <w:r w:rsidRPr="00763112">
        <w:rPr>
          <w:rFonts w:ascii="Calibri" w:hAnsi="Calibri" w:cs="Calibri"/>
          <w:b/>
          <w:color w:val="000000"/>
          <w:lang w:val="nl-NL"/>
        </w:rPr>
        <w:t xml:space="preserve">Al-aqeel S et al.  </w:t>
      </w:r>
      <w:r w:rsidRPr="00763112">
        <w:rPr>
          <w:rFonts w:ascii="Calibri" w:hAnsi="Calibri" w:cs="Calibri"/>
          <w:b/>
          <w:color w:val="000000"/>
          <w:lang w:val="en-US"/>
        </w:rPr>
        <w:t>Strategies for improving adherence to antiepileptic drug treatment in people with epilepsy. Cochrane Datab</w:t>
      </w:r>
      <w:r w:rsidR="00CC4D88" w:rsidRPr="00763112">
        <w:rPr>
          <w:rFonts w:ascii="Calibri" w:hAnsi="Calibri" w:cs="Calibri"/>
          <w:b/>
          <w:color w:val="000000"/>
          <w:lang w:val="en-US"/>
        </w:rPr>
        <w:t>a</w:t>
      </w:r>
      <w:r w:rsidRPr="00763112">
        <w:rPr>
          <w:rFonts w:ascii="Calibri" w:hAnsi="Calibri" w:cs="Calibri"/>
          <w:b/>
          <w:color w:val="000000"/>
          <w:lang w:val="en-US"/>
        </w:rPr>
        <w:t xml:space="preserve">se </w:t>
      </w:r>
      <w:r w:rsidR="00CC4D88" w:rsidRPr="00763112">
        <w:rPr>
          <w:rFonts w:ascii="Calibri" w:hAnsi="Calibri" w:cs="Calibri"/>
          <w:b/>
          <w:color w:val="000000"/>
          <w:lang w:val="en-US"/>
        </w:rPr>
        <w:t>of</w:t>
      </w:r>
      <w:r w:rsidRPr="00763112">
        <w:rPr>
          <w:rFonts w:ascii="Calibri" w:hAnsi="Calibri" w:cs="Calibri"/>
          <w:b/>
          <w:color w:val="000000"/>
          <w:lang w:val="en-US"/>
        </w:rPr>
        <w:t xml:space="preserve"> Systematic Reviews</w:t>
      </w:r>
      <w:r w:rsidR="00C370C2" w:rsidRPr="00763112">
        <w:rPr>
          <w:rFonts w:ascii="Calibri" w:hAnsi="Calibri" w:cs="Calibri"/>
          <w:b/>
          <w:color w:val="000000"/>
          <w:lang w:val="en-US"/>
        </w:rPr>
        <w:t xml:space="preserve"> </w:t>
      </w:r>
      <w:r w:rsidR="00C370C2" w:rsidRPr="00763112">
        <w:rPr>
          <w:rFonts w:ascii="Calibri" w:hAnsi="Calibri" w:cs="Calibri"/>
          <w:b/>
          <w:bCs/>
          <w:color w:val="000000"/>
        </w:rPr>
        <w:t>2017, Issue 2. Art. No.: CD008312.</w:t>
      </w:r>
    </w:p>
    <w:p w14:paraId="4AFF0A54" w14:textId="77777777" w:rsidR="00B628E6" w:rsidRDefault="00B628E6" w:rsidP="00B628E6">
      <w:pPr>
        <w:autoSpaceDE w:val="0"/>
        <w:autoSpaceDN w:val="0"/>
        <w:adjustRightInd w:val="0"/>
        <w:rPr>
          <w:rFonts w:ascii="Calibri" w:hAnsi="Calibri"/>
          <w:b/>
          <w:color w:val="000000"/>
        </w:rPr>
      </w:pPr>
      <w:r w:rsidRPr="009345C6">
        <w:rPr>
          <w:rFonts w:ascii="Calibri" w:hAnsi="Calibri"/>
          <w:b/>
          <w:color w:val="000000"/>
          <w:lang w:val="en-US"/>
        </w:rPr>
        <w:t xml:space="preserve">Aldenkamp AP, Rentmeester T, Hulsman J, Majoie M,  Doelman J,  Diepman L et al.  </w:t>
      </w:r>
      <w:r w:rsidRPr="00E03443">
        <w:rPr>
          <w:rFonts w:ascii="Calibri" w:hAnsi="Calibri"/>
          <w:b/>
          <w:color w:val="000000"/>
        </w:rPr>
        <w:t>Pharmacokinetics and cognitive effects of carbamazepine formulations with different dissolution rates.  Eur J Clin Pharmacol 1998</w:t>
      </w:r>
      <w:r>
        <w:rPr>
          <w:rFonts w:ascii="Calibri" w:hAnsi="Calibri"/>
          <w:b/>
          <w:color w:val="000000"/>
        </w:rPr>
        <w:t>;</w:t>
      </w:r>
      <w:r w:rsidRPr="00E03443">
        <w:rPr>
          <w:rFonts w:ascii="Calibri" w:hAnsi="Calibri"/>
          <w:b/>
          <w:color w:val="000000"/>
        </w:rPr>
        <w:t xml:space="preserve"> 54: 185 </w:t>
      </w:r>
      <w:r>
        <w:rPr>
          <w:rFonts w:ascii="Calibri" w:hAnsi="Calibri"/>
          <w:b/>
          <w:color w:val="000000"/>
        </w:rPr>
        <w:t>–</w:t>
      </w:r>
      <w:r w:rsidRPr="00E03443">
        <w:rPr>
          <w:rFonts w:ascii="Calibri" w:hAnsi="Calibri"/>
          <w:b/>
          <w:color w:val="000000"/>
        </w:rPr>
        <w:t xml:space="preserve"> 192</w:t>
      </w:r>
      <w:r>
        <w:rPr>
          <w:rFonts w:ascii="Calibri" w:hAnsi="Calibri"/>
          <w:b/>
          <w:color w:val="000000"/>
        </w:rPr>
        <w:t>.</w:t>
      </w:r>
    </w:p>
    <w:p w14:paraId="353C2756" w14:textId="77777777" w:rsidR="00DF4A56" w:rsidRDefault="00DF4A56" w:rsidP="00B628E6">
      <w:pPr>
        <w:autoSpaceDE w:val="0"/>
        <w:autoSpaceDN w:val="0"/>
        <w:adjustRightInd w:val="0"/>
        <w:rPr>
          <w:rFonts w:ascii="Calibri" w:hAnsi="Calibri"/>
          <w:b/>
          <w:color w:val="000000"/>
        </w:rPr>
      </w:pPr>
    </w:p>
    <w:p w14:paraId="5FBDDA85" w14:textId="77777777" w:rsidR="00DF4A56" w:rsidRDefault="00DF4A56" w:rsidP="00DF4A56">
      <w:pPr>
        <w:rPr>
          <w:rFonts w:ascii="Calibri" w:hAnsi="Calibri" w:cs="AdvTimes"/>
          <w:b/>
        </w:rPr>
      </w:pPr>
      <w:r w:rsidRPr="007B7801">
        <w:rPr>
          <w:rFonts w:ascii="Calibri" w:hAnsi="Calibri" w:cs="AdvTimes"/>
          <w:b/>
        </w:rPr>
        <w:t>Andermann F, Duh MS, Gosselin A,</w:t>
      </w:r>
      <w:r>
        <w:rPr>
          <w:rFonts w:ascii="Calibri" w:hAnsi="Calibri" w:cs="AdvTimes"/>
          <w:b/>
        </w:rPr>
        <w:t xml:space="preserve"> Paradis PE. </w:t>
      </w:r>
      <w:r w:rsidRPr="007B7801">
        <w:rPr>
          <w:rFonts w:ascii="Calibri" w:hAnsi="Calibri" w:cs="AdvTimes"/>
          <w:b/>
        </w:rPr>
        <w:t xml:space="preserve"> Compulsory</w:t>
      </w:r>
      <w:r>
        <w:rPr>
          <w:rFonts w:ascii="Calibri" w:hAnsi="Calibri" w:cs="AdvTimes"/>
          <w:b/>
        </w:rPr>
        <w:t xml:space="preserve"> </w:t>
      </w:r>
      <w:r w:rsidRPr="007B7801">
        <w:rPr>
          <w:rFonts w:ascii="Calibri" w:hAnsi="Calibri" w:cs="AdvTimes"/>
          <w:b/>
        </w:rPr>
        <w:t>generic switching of antiepileptic drugs: high switchback</w:t>
      </w:r>
      <w:r>
        <w:rPr>
          <w:rFonts w:ascii="Calibri" w:hAnsi="Calibri" w:cs="AdvTimes"/>
          <w:b/>
        </w:rPr>
        <w:t xml:space="preserve"> </w:t>
      </w:r>
      <w:r w:rsidRPr="007B7801">
        <w:rPr>
          <w:rFonts w:ascii="Calibri" w:hAnsi="Calibri" w:cs="AdvTimes"/>
          <w:b/>
        </w:rPr>
        <w:t>rates to branded compounds compared with other drug</w:t>
      </w:r>
      <w:r>
        <w:rPr>
          <w:rFonts w:ascii="Calibri" w:hAnsi="Calibri" w:cs="AdvTimes"/>
          <w:b/>
        </w:rPr>
        <w:t xml:space="preserve"> </w:t>
      </w:r>
      <w:r w:rsidRPr="007B7801">
        <w:rPr>
          <w:rFonts w:ascii="Calibri" w:hAnsi="Calibri" w:cs="AdvTimes"/>
          <w:b/>
        </w:rPr>
        <w:t>classes. Epilepsia Mar 2007; 48 (3): 464-9</w:t>
      </w:r>
      <w:r>
        <w:rPr>
          <w:rFonts w:ascii="Calibri" w:hAnsi="Calibri" w:cs="AdvTimes"/>
          <w:b/>
        </w:rPr>
        <w:t>.</w:t>
      </w:r>
    </w:p>
    <w:p w14:paraId="1174F6B6" w14:textId="77777777" w:rsidR="001A1720" w:rsidRDefault="001A1720" w:rsidP="008D0B19">
      <w:pPr>
        <w:pStyle w:val="Heading1"/>
        <w:rPr>
          <w:rFonts w:ascii="Calibri" w:hAnsi="Calibri"/>
          <w:b/>
          <w:color w:val="000000"/>
          <w:sz w:val="24"/>
          <w:szCs w:val="24"/>
        </w:rPr>
      </w:pPr>
    </w:p>
    <w:p w14:paraId="4F296827" w14:textId="77777777" w:rsidR="001A1720" w:rsidRDefault="001A1720" w:rsidP="001A1720">
      <w:pPr>
        <w:autoSpaceDE w:val="0"/>
        <w:autoSpaceDN w:val="0"/>
        <w:adjustRightInd w:val="0"/>
        <w:rPr>
          <w:rFonts w:ascii="Calibri" w:hAnsi="Calibri"/>
          <w:b/>
        </w:rPr>
      </w:pPr>
      <w:r w:rsidRPr="00935FAA">
        <w:rPr>
          <w:rFonts w:ascii="Calibri" w:hAnsi="Calibri" w:cs="AdvP7B72"/>
          <w:b/>
        </w:rPr>
        <w:t xml:space="preserve">Anderson GD.  </w:t>
      </w:r>
      <w:r w:rsidR="00E46362" w:rsidRPr="00935FAA">
        <w:rPr>
          <w:rFonts w:ascii="Calibri" w:hAnsi="Calibri" w:cs="AdvPS9779"/>
          <w:b/>
        </w:rPr>
        <w:t>Pharmacokinetic, pharmacodynamic, and pharmacogenetic targeted t</w:t>
      </w:r>
      <w:r w:rsidRPr="00935FAA">
        <w:rPr>
          <w:rFonts w:ascii="Calibri" w:hAnsi="Calibri" w:cs="AdvPS9779"/>
          <w:b/>
        </w:rPr>
        <w:t xml:space="preserve">herapy </w:t>
      </w:r>
      <w:r w:rsidR="00E46362" w:rsidRPr="00935FAA">
        <w:rPr>
          <w:rFonts w:ascii="Calibri" w:hAnsi="Calibri" w:cs="AdvPS9779"/>
          <w:b/>
        </w:rPr>
        <w:t>of antiepileptic d</w:t>
      </w:r>
      <w:r w:rsidRPr="00935FAA">
        <w:rPr>
          <w:rFonts w:ascii="Calibri" w:hAnsi="Calibri" w:cs="AdvPS9779"/>
          <w:b/>
        </w:rPr>
        <w:t>rugs.</w:t>
      </w:r>
      <w:r w:rsidRPr="00935FAA">
        <w:rPr>
          <w:rFonts w:ascii="Calibri" w:hAnsi="Calibri"/>
          <w:b/>
        </w:rPr>
        <w:t xml:space="preserve"> Ther Drug Monit April 2008; 30 (2): 173 – 180.</w:t>
      </w:r>
    </w:p>
    <w:p w14:paraId="028D7750" w14:textId="77777777" w:rsidR="001A1720" w:rsidRPr="006D2965" w:rsidRDefault="001A1720" w:rsidP="001A1720">
      <w:pPr>
        <w:autoSpaceDE w:val="0"/>
        <w:autoSpaceDN w:val="0"/>
        <w:adjustRightInd w:val="0"/>
        <w:rPr>
          <w:rFonts w:ascii="Calibri" w:hAnsi="Calibri" w:cs="AdvPS9779"/>
          <w:b/>
        </w:rPr>
      </w:pPr>
    </w:p>
    <w:p w14:paraId="0826F50F" w14:textId="77777777" w:rsidR="001A1720" w:rsidRDefault="001A1720" w:rsidP="001A1720">
      <w:pPr>
        <w:autoSpaceDE w:val="0"/>
        <w:autoSpaceDN w:val="0"/>
        <w:adjustRightInd w:val="0"/>
        <w:rPr>
          <w:rFonts w:ascii="Calibri" w:hAnsi="Calibri" w:cs="Arial"/>
          <w:b/>
          <w:bCs/>
          <w:color w:val="000000"/>
        </w:rPr>
      </w:pPr>
      <w:r w:rsidRPr="00B557DF">
        <w:rPr>
          <w:rFonts w:ascii="Calibri" w:hAnsi="Calibri" w:cs="Arial"/>
          <w:b/>
          <w:bCs/>
          <w:color w:val="000000"/>
        </w:rPr>
        <w:t>A</w:t>
      </w:r>
      <w:r>
        <w:rPr>
          <w:rFonts w:ascii="Calibri" w:hAnsi="Calibri" w:cs="Arial"/>
          <w:b/>
          <w:bCs/>
          <w:color w:val="000000"/>
        </w:rPr>
        <w:t xml:space="preserve">merican </w:t>
      </w:r>
      <w:r w:rsidRPr="00B557DF">
        <w:rPr>
          <w:rFonts w:ascii="Calibri" w:hAnsi="Calibri" w:cs="Arial"/>
          <w:b/>
          <w:bCs/>
          <w:color w:val="000000"/>
        </w:rPr>
        <w:t>A</w:t>
      </w:r>
      <w:r>
        <w:rPr>
          <w:rFonts w:ascii="Calibri" w:hAnsi="Calibri" w:cs="Arial"/>
          <w:b/>
          <w:bCs/>
          <w:color w:val="000000"/>
        </w:rPr>
        <w:t xml:space="preserve">cademy of </w:t>
      </w:r>
      <w:r w:rsidRPr="00B557DF">
        <w:rPr>
          <w:rFonts w:ascii="Calibri" w:hAnsi="Calibri" w:cs="Arial"/>
          <w:b/>
          <w:bCs/>
          <w:color w:val="000000"/>
        </w:rPr>
        <w:t>N</w:t>
      </w:r>
      <w:r>
        <w:rPr>
          <w:rFonts w:ascii="Calibri" w:hAnsi="Calibri" w:cs="Arial"/>
          <w:b/>
          <w:bCs/>
          <w:color w:val="000000"/>
        </w:rPr>
        <w:t xml:space="preserve">eurology Nov 2006.  Position statement on the coverage of anticonvulsant drugs for the treatment of epilepsy. </w:t>
      </w:r>
      <w:r w:rsidRPr="00B557DF">
        <w:rPr>
          <w:rFonts w:ascii="Calibri" w:hAnsi="Calibri" w:cs="Arial"/>
          <w:b/>
          <w:bCs/>
          <w:color w:val="000000"/>
        </w:rPr>
        <w:t xml:space="preserve"> </w:t>
      </w:r>
      <w:hyperlink r:id="rId14" w:history="1">
        <w:r w:rsidR="00594256" w:rsidRPr="00935FAA">
          <w:rPr>
            <w:rStyle w:val="Hyperlink"/>
            <w:rFonts w:ascii="Calibri" w:hAnsi="Calibri" w:cs="Arial"/>
            <w:b/>
            <w:bCs/>
            <w:color w:val="000000"/>
          </w:rPr>
          <w:t>www.aan.com</w:t>
        </w:r>
      </w:hyperlink>
      <w:r w:rsidR="00162981" w:rsidRPr="00935FAA">
        <w:rPr>
          <w:rFonts w:ascii="Calibri" w:hAnsi="Calibri" w:cs="Arial"/>
          <w:b/>
          <w:bCs/>
          <w:color w:val="000000"/>
        </w:rPr>
        <w:t>.</w:t>
      </w:r>
    </w:p>
    <w:p w14:paraId="5993EE62" w14:textId="77777777" w:rsidR="00162981" w:rsidRDefault="00162981" w:rsidP="001A1720">
      <w:pPr>
        <w:autoSpaceDE w:val="0"/>
        <w:autoSpaceDN w:val="0"/>
        <w:adjustRightInd w:val="0"/>
        <w:rPr>
          <w:rFonts w:ascii="Calibri" w:hAnsi="Calibri" w:cs="Arial"/>
          <w:b/>
          <w:bCs/>
          <w:color w:val="000000"/>
        </w:rPr>
      </w:pPr>
    </w:p>
    <w:p w14:paraId="1B2CFD56" w14:textId="77777777" w:rsidR="00162981" w:rsidRDefault="00162981" w:rsidP="00162981">
      <w:pPr>
        <w:autoSpaceDE w:val="0"/>
        <w:autoSpaceDN w:val="0"/>
        <w:adjustRightInd w:val="0"/>
        <w:rPr>
          <w:rFonts w:ascii="Calibri" w:hAnsi="Calibri" w:cs="Arial"/>
          <w:color w:val="000000"/>
          <w:sz w:val="20"/>
          <w:szCs w:val="20"/>
        </w:rPr>
      </w:pPr>
      <w:r>
        <w:rPr>
          <w:rFonts w:ascii="Calibri" w:hAnsi="Calibri" w:cs="Arial"/>
          <w:b/>
        </w:rPr>
        <w:t>Armstrong T</w:t>
      </w:r>
      <w:r w:rsidRPr="000F1901">
        <w:rPr>
          <w:rFonts w:ascii="Calibri" w:hAnsi="Calibri" w:cs="Arial"/>
          <w:b/>
        </w:rPr>
        <w:t>S, Choi S, Walker J, Gilbert MR.</w:t>
      </w:r>
      <w:r>
        <w:rPr>
          <w:rFonts w:ascii="Calibri" w:hAnsi="Calibri" w:cs="Arial"/>
          <w:b/>
        </w:rPr>
        <w:t xml:space="preserve">  </w:t>
      </w:r>
      <w:r w:rsidRPr="000F1901">
        <w:rPr>
          <w:rFonts w:ascii="Calibri" w:hAnsi="Calibri" w:cs="Arial"/>
          <w:b/>
        </w:rPr>
        <w:t>Seizure risk in brain tumor patients with conversion to generic levetiracetam</w:t>
      </w:r>
      <w:r>
        <w:rPr>
          <w:rFonts w:ascii="Calibri" w:hAnsi="Calibri" w:cs="Arial"/>
          <w:b/>
        </w:rPr>
        <w:t xml:space="preserve">.  </w:t>
      </w:r>
      <w:r w:rsidRPr="000F1901">
        <w:rPr>
          <w:rFonts w:ascii="Calibri" w:hAnsi="Calibri" w:cs="Arial"/>
          <w:b/>
        </w:rPr>
        <w:t>J Neurooncol 2010</w:t>
      </w:r>
      <w:r>
        <w:rPr>
          <w:rFonts w:ascii="Calibri" w:hAnsi="Calibri" w:cs="Arial"/>
          <w:b/>
        </w:rPr>
        <w:t>;</w:t>
      </w:r>
      <w:r w:rsidRPr="000F1901">
        <w:rPr>
          <w:rFonts w:ascii="Calibri" w:hAnsi="Calibri" w:cs="Arial"/>
          <w:b/>
        </w:rPr>
        <w:t xml:space="preserve"> 98 (1)</w:t>
      </w:r>
      <w:r>
        <w:rPr>
          <w:rFonts w:ascii="Calibri" w:hAnsi="Calibri" w:cs="Arial"/>
          <w:b/>
        </w:rPr>
        <w:t xml:space="preserve">: </w:t>
      </w:r>
      <w:r w:rsidRPr="000F1901">
        <w:rPr>
          <w:rFonts w:ascii="Calibri" w:hAnsi="Calibri" w:cs="Arial"/>
          <w:b/>
        </w:rPr>
        <w:t>137–141</w:t>
      </w:r>
      <w:r>
        <w:rPr>
          <w:rFonts w:ascii="Calibri" w:hAnsi="Calibri" w:cs="Arial"/>
          <w:b/>
        </w:rPr>
        <w:t>.</w:t>
      </w:r>
    </w:p>
    <w:p w14:paraId="27FF8B55" w14:textId="6FC68425" w:rsidR="00B628E6" w:rsidRPr="00763112" w:rsidRDefault="00B628E6" w:rsidP="001A1720">
      <w:pPr>
        <w:autoSpaceDE w:val="0"/>
        <w:autoSpaceDN w:val="0"/>
        <w:adjustRightInd w:val="0"/>
        <w:rPr>
          <w:rFonts w:ascii="Calibri" w:hAnsi="Calibri" w:cs="Calibri"/>
          <w:b/>
          <w:bCs/>
          <w:color w:val="000000"/>
        </w:rPr>
      </w:pPr>
    </w:p>
    <w:p w14:paraId="2DC865CB" w14:textId="21D5EDE9" w:rsidR="00C62B04" w:rsidRPr="00763112" w:rsidRDefault="00C62B04" w:rsidP="001A1720">
      <w:pPr>
        <w:autoSpaceDE w:val="0"/>
        <w:autoSpaceDN w:val="0"/>
        <w:adjustRightInd w:val="0"/>
        <w:rPr>
          <w:rFonts w:ascii="Calibri" w:hAnsi="Calibri" w:cs="Calibri"/>
          <w:b/>
          <w:bCs/>
          <w:color w:val="000000"/>
        </w:rPr>
      </w:pPr>
      <w:r w:rsidRPr="00763112">
        <w:rPr>
          <w:rFonts w:ascii="Calibri" w:hAnsi="Calibri" w:cs="Calibri"/>
          <w:b/>
          <w:bCs/>
          <w:color w:val="000000"/>
        </w:rPr>
        <w:t xml:space="preserve">Australian Government Department of Health,. Therapeutic Goods Administration. Scheduling medicines and poisons.  Feb 2017 </w:t>
      </w:r>
      <w:hyperlink r:id="rId15" w:history="1">
        <w:r w:rsidR="00025A3D" w:rsidRPr="00763112">
          <w:rPr>
            <w:rFonts w:ascii="Calibri" w:hAnsi="Calibri" w:cs="Calibri"/>
            <w:b/>
            <w:bCs/>
            <w:color w:val="0000FF"/>
            <w:u w:val="single"/>
          </w:rPr>
          <w:t>https://www.tga.gov.au/book-page/310-brivaracetam#</w:t>
        </w:r>
      </w:hyperlink>
    </w:p>
    <w:p w14:paraId="7ECD3B2C" w14:textId="77777777" w:rsidR="00C62B04" w:rsidRPr="00B557DF" w:rsidRDefault="00C62B04" w:rsidP="001A1720">
      <w:pPr>
        <w:autoSpaceDE w:val="0"/>
        <w:autoSpaceDN w:val="0"/>
        <w:adjustRightInd w:val="0"/>
        <w:rPr>
          <w:rFonts w:ascii="Calibri" w:hAnsi="Calibri" w:cs="Arial"/>
          <w:color w:val="000000"/>
        </w:rPr>
      </w:pPr>
    </w:p>
    <w:p w14:paraId="11911379" w14:textId="77777777" w:rsidR="00B628E6" w:rsidRPr="006C7EBE" w:rsidRDefault="00B628E6" w:rsidP="00B628E6">
      <w:pPr>
        <w:autoSpaceDE w:val="0"/>
        <w:autoSpaceDN w:val="0"/>
        <w:adjustRightInd w:val="0"/>
        <w:rPr>
          <w:rFonts w:ascii="Calibri" w:hAnsi="Calibri" w:cs="TimesNewRomanPS"/>
          <w:b/>
          <w:lang w:val="en-US"/>
        </w:rPr>
      </w:pPr>
      <w:r w:rsidRPr="008E4E6E">
        <w:rPr>
          <w:rFonts w:ascii="Calibri" w:hAnsi="Calibri" w:cs="TimesNewRomanPS"/>
          <w:b/>
        </w:rPr>
        <w:t>Berg MJ, Gross RA, Tomaszewski KJ, Zingaro WM, Haskins LS.</w:t>
      </w:r>
      <w:r>
        <w:rPr>
          <w:rFonts w:ascii="Calibri" w:hAnsi="Calibri" w:cs="TimesNewRomanPS"/>
          <w:b/>
        </w:rPr>
        <w:t xml:space="preserve"> </w:t>
      </w:r>
      <w:r w:rsidRPr="008E4E6E">
        <w:rPr>
          <w:rFonts w:ascii="Calibri" w:hAnsi="Calibri" w:cs="TimesNewRomanPS"/>
          <w:b/>
        </w:rPr>
        <w:t>Generic substitution in the treatment of epilepsy: case evidence of</w:t>
      </w:r>
      <w:r>
        <w:rPr>
          <w:rFonts w:ascii="Calibri" w:hAnsi="Calibri" w:cs="TimesNewRomanPS"/>
          <w:b/>
        </w:rPr>
        <w:t xml:space="preserve"> </w:t>
      </w:r>
      <w:r w:rsidRPr="008E4E6E">
        <w:rPr>
          <w:rFonts w:ascii="Calibri" w:hAnsi="Calibri" w:cs="TimesNewRomanPS"/>
          <w:b/>
        </w:rPr>
        <w:t xml:space="preserve">breakthrough seizures. </w:t>
      </w:r>
      <w:r w:rsidRPr="006C7EBE">
        <w:rPr>
          <w:rFonts w:ascii="Calibri" w:hAnsi="Calibri" w:cs="TimesNewRomanPS-Italic"/>
          <w:b/>
          <w:iCs/>
          <w:lang w:val="en-US"/>
        </w:rPr>
        <w:t>Neurology</w:t>
      </w:r>
      <w:r w:rsidRPr="006C7EBE">
        <w:rPr>
          <w:rFonts w:ascii="Calibri" w:hAnsi="Calibri" w:cs="TimesNewRomanPS"/>
          <w:b/>
          <w:lang w:val="en-US"/>
        </w:rPr>
        <w:t>. Aug 2008; 71 (7): 525–530.</w:t>
      </w:r>
    </w:p>
    <w:p w14:paraId="7031CAB3" w14:textId="77777777" w:rsidR="00CE6844" w:rsidRDefault="00CE6844" w:rsidP="00CE6844">
      <w:pPr>
        <w:spacing w:after="80"/>
        <w:rPr>
          <w:rFonts w:ascii="Calibri" w:hAnsi="Calibri" w:cs="Calibri"/>
          <w:b/>
          <w:bCs/>
          <w:color w:val="000000"/>
        </w:rPr>
      </w:pPr>
    </w:p>
    <w:p w14:paraId="2852E73E" w14:textId="0F7E027A" w:rsidR="00CE6844" w:rsidRPr="006C7EBE" w:rsidRDefault="00CE6844" w:rsidP="00CE6844">
      <w:pPr>
        <w:spacing w:after="80"/>
        <w:rPr>
          <w:rFonts w:ascii="Calibri" w:hAnsi="Calibri" w:cs="Calibri"/>
          <w:b/>
          <w:bCs/>
          <w:color w:val="000000"/>
          <w:lang w:val="it-IT"/>
        </w:rPr>
      </w:pPr>
      <w:r w:rsidRPr="00CE6844">
        <w:rPr>
          <w:rFonts w:ascii="Calibri" w:hAnsi="Calibri" w:cs="Calibri"/>
          <w:b/>
          <w:bCs/>
          <w:color w:val="000000"/>
        </w:rPr>
        <w:t xml:space="preserve">Berg M et al. Bioequivalence between generic and branded lamotrigine in people with epilepsy: The EQUIGEN randomized clinical trial. </w:t>
      </w:r>
      <w:r w:rsidRPr="006C7EBE">
        <w:rPr>
          <w:rFonts w:ascii="Calibri" w:hAnsi="Calibri" w:cs="Calibri"/>
          <w:b/>
          <w:bCs/>
          <w:color w:val="000000"/>
          <w:lang w:val="it-IT"/>
        </w:rPr>
        <w:t>JAMA Neurology; Aug 2017; vol. 74 (no. 8); p. 919-926</w:t>
      </w:r>
    </w:p>
    <w:p w14:paraId="05A4C966" w14:textId="77777777" w:rsidR="001A1720" w:rsidRPr="00F07D02" w:rsidRDefault="001A1720" w:rsidP="001A1720">
      <w:pPr>
        <w:pStyle w:val="Heading1"/>
        <w:rPr>
          <w:rFonts w:ascii="Calibri" w:hAnsi="Calibri"/>
          <w:b/>
          <w:color w:val="000000"/>
          <w:sz w:val="24"/>
          <w:szCs w:val="24"/>
          <w:lang w:val="it-IT"/>
        </w:rPr>
      </w:pPr>
    </w:p>
    <w:p w14:paraId="1DCF09A0" w14:textId="77777777" w:rsidR="00B277BA" w:rsidRDefault="00B277BA" w:rsidP="00B277BA">
      <w:pPr>
        <w:rPr>
          <w:rFonts w:ascii="Calibri" w:hAnsi="Calibri"/>
          <w:b/>
        </w:rPr>
      </w:pPr>
      <w:r w:rsidRPr="003E59C2">
        <w:rPr>
          <w:rFonts w:ascii="Calibri" w:hAnsi="Calibri"/>
          <w:b/>
          <w:lang w:val="pt-BR"/>
        </w:rPr>
        <w:t xml:space="preserve">Bialer M, Arcavi L, Sussan S, Volosov A, Yacobi A, Moros D et al.  </w:t>
      </w:r>
      <w:r w:rsidR="00B26119" w:rsidRPr="00B26119">
        <w:rPr>
          <w:rFonts w:ascii="Calibri" w:hAnsi="Calibri"/>
          <w:b/>
        </w:rPr>
        <w:t>Existing and new criteria for bioequivalence evaluation of new controlled release (CR) products of carbamazepine</w:t>
      </w:r>
      <w:r w:rsidR="00B26119">
        <w:rPr>
          <w:rFonts w:ascii="Calibri" w:hAnsi="Calibri"/>
          <w:b/>
        </w:rPr>
        <w:t xml:space="preserve">. </w:t>
      </w:r>
      <w:r w:rsidRPr="00F94896">
        <w:rPr>
          <w:rFonts w:ascii="Calibri" w:hAnsi="Calibri"/>
          <w:b/>
        </w:rPr>
        <w:t>Epilepsy Research 1998;</w:t>
      </w:r>
      <w:r>
        <w:rPr>
          <w:rFonts w:ascii="Calibri" w:hAnsi="Calibri"/>
          <w:b/>
        </w:rPr>
        <w:t xml:space="preserve"> </w:t>
      </w:r>
      <w:r w:rsidR="00B26119">
        <w:rPr>
          <w:rFonts w:ascii="Calibri" w:hAnsi="Calibri"/>
          <w:b/>
        </w:rPr>
        <w:t>32: 371-37</w:t>
      </w:r>
      <w:r w:rsidRPr="00F94896">
        <w:rPr>
          <w:rFonts w:ascii="Calibri" w:hAnsi="Calibri"/>
          <w:b/>
        </w:rPr>
        <w:t>8.</w:t>
      </w:r>
    </w:p>
    <w:p w14:paraId="2AB1021D" w14:textId="77777777" w:rsidR="00B277BA" w:rsidRPr="00F94896" w:rsidRDefault="00B277BA" w:rsidP="00B277BA">
      <w:pPr>
        <w:rPr>
          <w:rFonts w:ascii="Calibri" w:hAnsi="Calibri"/>
          <w:b/>
          <w:bCs/>
          <w:color w:val="CC99FF"/>
        </w:rPr>
      </w:pPr>
    </w:p>
    <w:p w14:paraId="63AAD4D8" w14:textId="77777777" w:rsidR="001A1720" w:rsidRPr="00AA3894" w:rsidRDefault="001A1720" w:rsidP="001A1720">
      <w:pPr>
        <w:pStyle w:val="Heading1"/>
        <w:rPr>
          <w:rFonts w:ascii="Calibri" w:hAnsi="Calibri"/>
          <w:b/>
          <w:color w:val="000000"/>
          <w:sz w:val="24"/>
          <w:szCs w:val="24"/>
        </w:rPr>
      </w:pPr>
      <w:r w:rsidRPr="00AA3894">
        <w:rPr>
          <w:rFonts w:ascii="Calibri" w:hAnsi="Calibri"/>
          <w:b/>
          <w:color w:val="000000"/>
          <w:sz w:val="24"/>
          <w:szCs w:val="24"/>
        </w:rPr>
        <w:t>Bialer M, Midha KK.  Generic products of antiepileptic drugs: A perspective on</w:t>
      </w:r>
    </w:p>
    <w:p w14:paraId="2BB45928" w14:textId="77777777" w:rsidR="001A1720" w:rsidRDefault="001A1720" w:rsidP="001A1720">
      <w:pPr>
        <w:autoSpaceDE w:val="0"/>
        <w:autoSpaceDN w:val="0"/>
        <w:adjustRightInd w:val="0"/>
        <w:rPr>
          <w:rFonts w:ascii="Calibri" w:eastAsia="AdvPS_TII" w:hAnsi="Calibri" w:cs="AdvPS_TIR"/>
          <w:b/>
          <w:color w:val="000000"/>
        </w:rPr>
      </w:pPr>
      <w:r w:rsidRPr="00AA3894">
        <w:rPr>
          <w:rFonts w:ascii="Calibri" w:hAnsi="Calibri" w:cs="AdvGSANS-B"/>
          <w:b/>
          <w:color w:val="000000"/>
        </w:rPr>
        <w:t xml:space="preserve">bioequivalence and interchangeability.  </w:t>
      </w:r>
      <w:r w:rsidRPr="00AA3894">
        <w:rPr>
          <w:rFonts w:ascii="Calibri" w:eastAsia="AdvPS_TII" w:hAnsi="Calibri" w:cs="AdvPS_TII"/>
          <w:b/>
          <w:color w:val="000000"/>
        </w:rPr>
        <w:t>Epilepsia</w:t>
      </w:r>
      <w:r w:rsidRPr="00AA3894">
        <w:rPr>
          <w:rFonts w:ascii="Calibri" w:eastAsia="AdvPS_TII" w:hAnsi="Calibri" w:cs="AdvPS_TIR"/>
          <w:b/>
          <w:color w:val="000000"/>
        </w:rPr>
        <w:t xml:space="preserve"> 2010; 51 (6): 941–950. </w:t>
      </w:r>
    </w:p>
    <w:p w14:paraId="40CD2295" w14:textId="77777777" w:rsidR="00B628E6" w:rsidRPr="00AA3894" w:rsidRDefault="00B628E6" w:rsidP="001A1720">
      <w:pPr>
        <w:autoSpaceDE w:val="0"/>
        <w:autoSpaceDN w:val="0"/>
        <w:adjustRightInd w:val="0"/>
        <w:rPr>
          <w:rFonts w:ascii="Calibri" w:eastAsia="AdvPS_TII" w:hAnsi="Calibri" w:cs="AdvPS_TII"/>
          <w:b/>
          <w:color w:val="000000"/>
        </w:rPr>
      </w:pPr>
    </w:p>
    <w:p w14:paraId="18B479CF" w14:textId="77777777" w:rsidR="00B628E6" w:rsidRPr="00711504" w:rsidRDefault="00B628E6" w:rsidP="00B628E6">
      <w:pPr>
        <w:autoSpaceDE w:val="0"/>
        <w:autoSpaceDN w:val="0"/>
        <w:adjustRightInd w:val="0"/>
        <w:rPr>
          <w:rFonts w:ascii="Calibri" w:hAnsi="Calibri"/>
          <w:b/>
          <w:bCs/>
          <w:color w:val="000000"/>
        </w:rPr>
      </w:pPr>
      <w:r w:rsidRPr="00711504">
        <w:rPr>
          <w:rFonts w:ascii="Calibri" w:hAnsi="Calibri"/>
          <w:b/>
          <w:color w:val="000000"/>
        </w:rPr>
        <w:t>Bialer M, Yacobi A, Moros D, Lev</w:t>
      </w:r>
      <w:r>
        <w:rPr>
          <w:rFonts w:ascii="Calibri" w:hAnsi="Calibri"/>
          <w:b/>
          <w:color w:val="000000"/>
        </w:rPr>
        <w:t>itt B, Houle J-M, Munsaka M</w:t>
      </w:r>
      <w:r w:rsidRPr="00711504">
        <w:rPr>
          <w:rFonts w:ascii="Calibri" w:hAnsi="Calibri"/>
          <w:b/>
          <w:bCs/>
          <w:color w:val="000000"/>
        </w:rPr>
        <w:t>S.</w:t>
      </w:r>
      <w:r w:rsidRPr="00711504">
        <w:rPr>
          <w:rFonts w:ascii="Calibri" w:hAnsi="Calibri"/>
          <w:b/>
          <w:color w:val="000000"/>
        </w:rPr>
        <w:t xml:space="preserve"> Criteria to Assess In Vivo Performance and Bioequivalence of Generic Controlled-Release Formulations of Carbamazepine.  </w:t>
      </w:r>
      <w:r w:rsidRPr="00711504">
        <w:rPr>
          <w:rFonts w:ascii="Calibri" w:hAnsi="Calibri"/>
          <w:b/>
          <w:bCs/>
          <w:iCs/>
          <w:color w:val="000000"/>
        </w:rPr>
        <w:t>E</w:t>
      </w:r>
      <w:r>
        <w:rPr>
          <w:rFonts w:ascii="Calibri" w:hAnsi="Calibri"/>
          <w:b/>
          <w:bCs/>
          <w:iCs/>
          <w:color w:val="000000"/>
        </w:rPr>
        <w:t>pilepsia</w:t>
      </w:r>
      <w:r w:rsidRPr="00711504">
        <w:rPr>
          <w:rFonts w:ascii="Calibri" w:hAnsi="Calibri"/>
          <w:b/>
          <w:bCs/>
          <w:iCs/>
          <w:color w:val="000000"/>
        </w:rPr>
        <w:t xml:space="preserve"> </w:t>
      </w:r>
      <w:r>
        <w:rPr>
          <w:rFonts w:ascii="Calibri" w:hAnsi="Calibri"/>
          <w:b/>
          <w:bCs/>
          <w:color w:val="000000"/>
        </w:rPr>
        <w:t>1998; 39(5): 513-519.</w:t>
      </w:r>
      <w:r w:rsidRPr="00711504">
        <w:rPr>
          <w:rFonts w:ascii="Calibri" w:hAnsi="Calibri"/>
          <w:b/>
          <w:bCs/>
          <w:color w:val="000000"/>
        </w:rPr>
        <w:t xml:space="preserve"> </w:t>
      </w:r>
    </w:p>
    <w:p w14:paraId="5EB1BF35" w14:textId="77777777" w:rsidR="001A1720" w:rsidRPr="001C6F7B" w:rsidRDefault="001A1720" w:rsidP="001A1720">
      <w:pPr>
        <w:pStyle w:val="CommentText"/>
        <w:rPr>
          <w:rFonts w:ascii="Calibri" w:hAnsi="Calibri"/>
          <w:b/>
          <w:sz w:val="24"/>
          <w:szCs w:val="24"/>
        </w:rPr>
      </w:pPr>
    </w:p>
    <w:p w14:paraId="64013941" w14:textId="77777777" w:rsidR="00162981" w:rsidRPr="001C6F7B" w:rsidRDefault="00162981" w:rsidP="00162981">
      <w:pPr>
        <w:rPr>
          <w:rFonts w:ascii="Calibri" w:hAnsi="Calibri"/>
          <w:b/>
          <w:color w:val="000000"/>
        </w:rPr>
      </w:pPr>
      <w:r w:rsidRPr="001C6F7B">
        <w:rPr>
          <w:rFonts w:ascii="Calibri" w:hAnsi="Calibri"/>
          <w:b/>
          <w:color w:val="000000"/>
        </w:rPr>
        <w:t>Bielmann P, Levac TH, Langlois Y, Tetreault L.  Bioavailability of primidone in epileptic patients. IntJ Clin Pharmacol 1974; 9: 132-137.</w:t>
      </w:r>
      <w:r w:rsidR="004D7181" w:rsidRPr="001C6F7B">
        <w:rPr>
          <w:rFonts w:ascii="Calibri" w:hAnsi="Calibri"/>
          <w:b/>
          <w:color w:val="000000"/>
        </w:rPr>
        <w:t xml:space="preserve"> </w:t>
      </w:r>
    </w:p>
    <w:p w14:paraId="1DFE6D20" w14:textId="77777777" w:rsidR="00162981" w:rsidRPr="001C6F7B" w:rsidRDefault="00162981" w:rsidP="00162981">
      <w:pPr>
        <w:rPr>
          <w:rFonts w:ascii="Calibri" w:hAnsi="Calibri"/>
          <w:b/>
          <w:color w:val="000000"/>
        </w:rPr>
      </w:pPr>
    </w:p>
    <w:p w14:paraId="44AD176D" w14:textId="20482FD1" w:rsidR="00162981" w:rsidRDefault="00162981" w:rsidP="00162981">
      <w:pPr>
        <w:autoSpaceDE w:val="0"/>
        <w:autoSpaceDN w:val="0"/>
        <w:adjustRightInd w:val="0"/>
        <w:rPr>
          <w:rFonts w:ascii="Calibri" w:hAnsi="Calibri"/>
          <w:b/>
          <w:color w:val="000000"/>
        </w:rPr>
      </w:pPr>
      <w:r w:rsidRPr="001C6F7B">
        <w:rPr>
          <w:rFonts w:ascii="Calibri" w:hAnsi="Calibri"/>
          <w:b/>
          <w:color w:val="000000"/>
        </w:rPr>
        <w:t>Borst SI, Lockwood CH. Plasma level studies on different brands of sodium diphenylhydantoin (DPH) and primidone. Int J Clin Pharmacol 1975; 12: 309-314.</w:t>
      </w:r>
    </w:p>
    <w:p w14:paraId="0C5F3148" w14:textId="77777777" w:rsidR="00902AB1" w:rsidRDefault="00902AB1" w:rsidP="00162981">
      <w:pPr>
        <w:autoSpaceDE w:val="0"/>
        <w:autoSpaceDN w:val="0"/>
        <w:adjustRightInd w:val="0"/>
        <w:rPr>
          <w:rFonts w:ascii="Calibri" w:hAnsi="Calibri"/>
          <w:b/>
          <w:color w:val="000000"/>
        </w:rPr>
      </w:pPr>
    </w:p>
    <w:p w14:paraId="75F0570B" w14:textId="77777777" w:rsidR="00902AB1" w:rsidRPr="00902AB1" w:rsidRDefault="00902AB1" w:rsidP="00902AB1">
      <w:pPr>
        <w:spacing w:after="80"/>
        <w:rPr>
          <w:rFonts w:ascii="Calibri" w:hAnsi="Calibri" w:cs="Calibri"/>
          <w:b/>
          <w:bCs/>
          <w:color w:val="000000"/>
        </w:rPr>
      </w:pPr>
      <w:r w:rsidRPr="00902AB1">
        <w:rPr>
          <w:rFonts w:ascii="Calibri" w:hAnsi="Calibri" w:cs="Calibri"/>
          <w:b/>
          <w:bCs/>
          <w:color w:val="000000"/>
        </w:rPr>
        <w:t>Bosak M. Safety of switching from brand-name to generic levetiracetam in patients with epilepsy. Drug Design, Development and Therapy; Aug 2017; vol. 11; p. 2287-2291.</w:t>
      </w:r>
    </w:p>
    <w:p w14:paraId="3BD523A4" w14:textId="77777777" w:rsidR="00D90FA8" w:rsidRPr="00763112" w:rsidRDefault="00D90FA8" w:rsidP="00162981">
      <w:pPr>
        <w:autoSpaceDE w:val="0"/>
        <w:autoSpaceDN w:val="0"/>
        <w:adjustRightInd w:val="0"/>
        <w:rPr>
          <w:rFonts w:ascii="Calibri" w:hAnsi="Calibri" w:cs="Calibri"/>
          <w:b/>
          <w:color w:val="000000"/>
        </w:rPr>
      </w:pPr>
    </w:p>
    <w:p w14:paraId="55F2A012" w14:textId="77777777" w:rsidR="00D90FA8" w:rsidRPr="00763112" w:rsidRDefault="00D90FA8" w:rsidP="00D90FA8">
      <w:pPr>
        <w:pStyle w:val="Normal0"/>
        <w:rPr>
          <w:rFonts w:ascii="Calibri" w:hAnsi="Calibri" w:cs="Calibri"/>
          <w:b/>
          <w:bCs/>
        </w:rPr>
      </w:pPr>
      <w:r w:rsidRPr="00763112">
        <w:rPr>
          <w:rFonts w:ascii="Calibri" w:hAnsi="Calibri" w:cs="Calibri"/>
          <w:b/>
          <w:bCs/>
        </w:rPr>
        <w:t>Bosak M et al. Brand-to-generic oxcarbazepine switch – A prospective observational study. Epilepsy Research March 2019; 151: 75-77.</w:t>
      </w:r>
    </w:p>
    <w:p w14:paraId="3F689048" w14:textId="77777777" w:rsidR="001A1720" w:rsidRPr="00763112" w:rsidRDefault="001A1720" w:rsidP="001A1720">
      <w:pPr>
        <w:pStyle w:val="CommentText"/>
        <w:rPr>
          <w:rFonts w:ascii="Calibri" w:hAnsi="Calibri" w:cs="Calibri"/>
          <w:b/>
          <w:sz w:val="24"/>
          <w:szCs w:val="24"/>
        </w:rPr>
      </w:pPr>
    </w:p>
    <w:p w14:paraId="2973F246" w14:textId="4802052B" w:rsidR="001A1720" w:rsidRPr="00B26119" w:rsidRDefault="001A1720" w:rsidP="001A1720">
      <w:pPr>
        <w:pStyle w:val="CommentText"/>
        <w:rPr>
          <w:rFonts w:ascii="Calibri" w:hAnsi="Calibri"/>
          <w:b/>
          <w:color w:val="000000"/>
          <w:sz w:val="24"/>
          <w:szCs w:val="24"/>
        </w:rPr>
      </w:pPr>
      <w:r w:rsidRPr="00F01F39">
        <w:rPr>
          <w:rFonts w:ascii="Calibri" w:hAnsi="Calibri"/>
          <w:b/>
          <w:sz w:val="24"/>
          <w:szCs w:val="24"/>
        </w:rPr>
        <w:t xml:space="preserve">Brain and Spine Foundation </w:t>
      </w:r>
      <w:r w:rsidR="00596C3B">
        <w:rPr>
          <w:rFonts w:ascii="Calibri" w:hAnsi="Calibri"/>
          <w:b/>
          <w:sz w:val="24"/>
          <w:szCs w:val="24"/>
        </w:rPr>
        <w:t>Jan 2016</w:t>
      </w:r>
      <w:r w:rsidRPr="00F01F39">
        <w:rPr>
          <w:rFonts w:ascii="Calibri" w:hAnsi="Calibri"/>
          <w:b/>
          <w:sz w:val="24"/>
          <w:szCs w:val="24"/>
        </w:rPr>
        <w:t xml:space="preserve">.  Epilepsy. A fact sheet for parents and carers.  </w:t>
      </w:r>
      <w:hyperlink r:id="rId16" w:history="1">
        <w:r w:rsidR="00B628E6" w:rsidRPr="00F01F39">
          <w:rPr>
            <w:rStyle w:val="Hyperlink"/>
            <w:rFonts w:ascii="Calibri" w:hAnsi="Calibri"/>
            <w:b/>
            <w:color w:val="000000"/>
            <w:sz w:val="24"/>
            <w:szCs w:val="24"/>
            <w:u w:val="none"/>
          </w:rPr>
          <w:t>www.brainandspine.org.uk</w:t>
        </w:r>
      </w:hyperlink>
      <w:r w:rsidRPr="00F01F39">
        <w:rPr>
          <w:rFonts w:ascii="Calibri" w:hAnsi="Calibri"/>
          <w:b/>
          <w:color w:val="000000"/>
          <w:sz w:val="24"/>
          <w:szCs w:val="24"/>
        </w:rPr>
        <w:t>.</w:t>
      </w:r>
    </w:p>
    <w:p w14:paraId="60223248" w14:textId="77777777" w:rsidR="00736DE5" w:rsidRDefault="00736DE5" w:rsidP="00162981">
      <w:pPr>
        <w:autoSpaceDE w:val="0"/>
        <w:autoSpaceDN w:val="0"/>
        <w:adjustRightInd w:val="0"/>
        <w:rPr>
          <w:rFonts w:ascii="Calibri" w:hAnsi="Calibri" w:cs="NewCenturySchlbk-Roman"/>
          <w:b/>
        </w:rPr>
      </w:pPr>
    </w:p>
    <w:p w14:paraId="1AEFDF9B" w14:textId="77777777" w:rsidR="00162981" w:rsidRPr="00864E7E" w:rsidRDefault="00162981" w:rsidP="00162981">
      <w:pPr>
        <w:autoSpaceDE w:val="0"/>
        <w:autoSpaceDN w:val="0"/>
        <w:adjustRightInd w:val="0"/>
        <w:rPr>
          <w:rFonts w:ascii="Calibri" w:hAnsi="Calibri" w:cs="NewCenturySchlbk-Roman"/>
          <w:b/>
        </w:rPr>
      </w:pPr>
      <w:r w:rsidRPr="00864E7E">
        <w:rPr>
          <w:rFonts w:ascii="Calibri" w:hAnsi="Calibri" w:cs="NewCenturySchlbk-Roman"/>
          <w:b/>
        </w:rPr>
        <w:t>Burkhardt RT, Leppik IE, Blesi K, Scott S</w:t>
      </w:r>
      <w:r>
        <w:rPr>
          <w:rFonts w:ascii="Calibri" w:hAnsi="Calibri" w:cs="NewCenturySchlbk-Roman"/>
          <w:b/>
        </w:rPr>
        <w:t>,</w:t>
      </w:r>
      <w:r w:rsidRPr="00864E7E">
        <w:rPr>
          <w:rFonts w:ascii="Calibri" w:hAnsi="Calibri" w:cs="NewCenturySchlbk-Roman"/>
          <w:b/>
        </w:rPr>
        <w:t xml:space="preserve"> Gapany SR, Cloyd JC</w:t>
      </w:r>
      <w:r>
        <w:rPr>
          <w:rFonts w:ascii="Calibri" w:hAnsi="Calibri" w:cs="NewCenturySchlbk-Roman"/>
          <w:b/>
        </w:rPr>
        <w:t xml:space="preserve">.  </w:t>
      </w:r>
      <w:r w:rsidRPr="00864E7E">
        <w:rPr>
          <w:rFonts w:ascii="Calibri" w:hAnsi="Calibri" w:cs="NewCenturySchlbk-Bold"/>
          <w:b/>
          <w:bCs/>
        </w:rPr>
        <w:t>Lower phenytoin serum levels in</w:t>
      </w:r>
      <w:r>
        <w:rPr>
          <w:rFonts w:ascii="Calibri" w:hAnsi="Calibri" w:cs="NewCenturySchlbk-Bold"/>
          <w:b/>
          <w:bCs/>
        </w:rPr>
        <w:t xml:space="preserve"> </w:t>
      </w:r>
      <w:r w:rsidRPr="00864E7E">
        <w:rPr>
          <w:rFonts w:ascii="Calibri" w:hAnsi="Calibri" w:cs="NewCenturySchlbk-Bold"/>
          <w:b/>
          <w:bCs/>
        </w:rPr>
        <w:t>persons switched from brand to</w:t>
      </w:r>
      <w:r>
        <w:rPr>
          <w:rFonts w:ascii="Calibri" w:hAnsi="Calibri" w:cs="NewCenturySchlbk-Bold"/>
          <w:b/>
          <w:bCs/>
        </w:rPr>
        <w:t xml:space="preserve"> </w:t>
      </w:r>
      <w:r w:rsidRPr="00864E7E">
        <w:rPr>
          <w:rFonts w:ascii="Calibri" w:hAnsi="Calibri" w:cs="NewCenturySchlbk-Bold"/>
          <w:b/>
          <w:bCs/>
        </w:rPr>
        <w:t>generic phenytoin</w:t>
      </w:r>
      <w:r>
        <w:rPr>
          <w:rFonts w:ascii="Calibri" w:hAnsi="Calibri" w:cs="NewCenturySchlbk-Bold"/>
          <w:b/>
          <w:bCs/>
        </w:rPr>
        <w:t xml:space="preserve">.  </w:t>
      </w:r>
      <w:r w:rsidRPr="00864E7E">
        <w:rPr>
          <w:rFonts w:ascii="Calibri" w:hAnsi="Calibri" w:cs="NewCenturySchlbk-Roman"/>
          <w:b/>
        </w:rPr>
        <w:t>N</w:t>
      </w:r>
      <w:r>
        <w:rPr>
          <w:rFonts w:ascii="Calibri" w:hAnsi="Calibri" w:cs="NewCenturySchlbk-Roman"/>
          <w:b/>
        </w:rPr>
        <w:t xml:space="preserve">eurology </w:t>
      </w:r>
      <w:r w:rsidRPr="00864E7E">
        <w:rPr>
          <w:rFonts w:ascii="Calibri" w:hAnsi="Calibri" w:cs="NewCenturySchlbk-Roman"/>
          <w:b/>
        </w:rPr>
        <w:t>2004;</w:t>
      </w:r>
      <w:r>
        <w:rPr>
          <w:rFonts w:ascii="Calibri" w:hAnsi="Calibri" w:cs="NewCenturySchlbk-Roman"/>
          <w:b/>
        </w:rPr>
        <w:t xml:space="preserve"> </w:t>
      </w:r>
      <w:r w:rsidRPr="00864E7E">
        <w:rPr>
          <w:rFonts w:ascii="Calibri" w:hAnsi="Calibri" w:cs="NewCenturySchlbk-Roman"/>
          <w:b/>
        </w:rPr>
        <w:t>63:</w:t>
      </w:r>
      <w:r>
        <w:rPr>
          <w:rFonts w:ascii="Calibri" w:hAnsi="Calibri" w:cs="NewCenturySchlbk-Roman"/>
          <w:b/>
        </w:rPr>
        <w:t xml:space="preserve"> </w:t>
      </w:r>
      <w:r w:rsidRPr="00864E7E">
        <w:rPr>
          <w:rFonts w:ascii="Calibri" w:hAnsi="Calibri" w:cs="NewCenturySchlbk-Roman"/>
          <w:b/>
        </w:rPr>
        <w:t>1494–1496</w:t>
      </w:r>
      <w:r>
        <w:rPr>
          <w:rFonts w:ascii="Calibri" w:hAnsi="Calibri" w:cs="NewCenturySchlbk-Roman"/>
          <w:b/>
        </w:rPr>
        <w:t>.</w:t>
      </w:r>
    </w:p>
    <w:p w14:paraId="7F6202EA" w14:textId="77777777" w:rsidR="00162981" w:rsidRDefault="00162981" w:rsidP="001A1720">
      <w:pPr>
        <w:pStyle w:val="CommentText"/>
        <w:rPr>
          <w:rFonts w:ascii="Calibri" w:hAnsi="Calibri"/>
          <w:b/>
          <w:sz w:val="24"/>
          <w:szCs w:val="24"/>
          <w:u w:val="single"/>
        </w:rPr>
      </w:pPr>
    </w:p>
    <w:p w14:paraId="6E16C164" w14:textId="77777777" w:rsidR="00162981" w:rsidRDefault="00162981" w:rsidP="00162981">
      <w:pPr>
        <w:autoSpaceDE w:val="0"/>
        <w:autoSpaceDN w:val="0"/>
        <w:adjustRightInd w:val="0"/>
        <w:rPr>
          <w:rFonts w:ascii="Calibri" w:hAnsi="Calibri"/>
          <w:b/>
        </w:rPr>
      </w:pPr>
      <w:r w:rsidRPr="000F1901">
        <w:rPr>
          <w:rFonts w:ascii="Calibri" w:hAnsi="Calibri" w:cs="AdvGSANS-B"/>
          <w:b/>
        </w:rPr>
        <w:t xml:space="preserve">Chaluvadi S, </w:t>
      </w:r>
      <w:r>
        <w:rPr>
          <w:rFonts w:ascii="Calibri" w:hAnsi="Calibri" w:cs="AdvGSANS-B"/>
          <w:b/>
        </w:rPr>
        <w:t>Chiang S, Tran L, Goldsmith CE, Friedman D</w:t>
      </w:r>
      <w:r w:rsidRPr="000F1901">
        <w:rPr>
          <w:rFonts w:ascii="Calibri" w:hAnsi="Calibri" w:cs="AdvGSANS-B"/>
          <w:b/>
        </w:rPr>
        <w:t>E</w:t>
      </w:r>
      <w:r>
        <w:rPr>
          <w:rFonts w:ascii="Calibri" w:hAnsi="Calibri" w:cs="AdvGSANS-B"/>
          <w:b/>
        </w:rPr>
        <w:t xml:space="preserve">.  </w:t>
      </w:r>
      <w:r w:rsidRPr="000F1901">
        <w:rPr>
          <w:rFonts w:ascii="Calibri" w:hAnsi="Calibri"/>
          <w:b/>
        </w:rPr>
        <w:t>Clinical Experience with generic levetiracetam in people with epilepsy</w:t>
      </w:r>
      <w:r>
        <w:rPr>
          <w:rFonts w:ascii="Calibri" w:hAnsi="Calibri"/>
          <w:b/>
        </w:rPr>
        <w:t xml:space="preserve">.  </w:t>
      </w:r>
      <w:r w:rsidRPr="000F1901">
        <w:rPr>
          <w:rFonts w:ascii="Calibri" w:hAnsi="Calibri"/>
          <w:b/>
        </w:rPr>
        <w:t>Epilepsi</w:t>
      </w:r>
      <w:r>
        <w:rPr>
          <w:rFonts w:ascii="Calibri" w:hAnsi="Calibri"/>
          <w:b/>
        </w:rPr>
        <w:t>a April 2011; 52 (4): 810 – 815.</w:t>
      </w:r>
    </w:p>
    <w:p w14:paraId="7A06193A" w14:textId="77777777" w:rsidR="00162981" w:rsidRPr="000F1901" w:rsidRDefault="00162981" w:rsidP="00162981">
      <w:pPr>
        <w:autoSpaceDE w:val="0"/>
        <w:autoSpaceDN w:val="0"/>
        <w:adjustRightInd w:val="0"/>
        <w:rPr>
          <w:rFonts w:ascii="Calibri" w:hAnsi="Calibri"/>
          <w:b/>
        </w:rPr>
      </w:pPr>
    </w:p>
    <w:p w14:paraId="5702C8AB" w14:textId="2C486813" w:rsidR="00162981" w:rsidRDefault="00162981" w:rsidP="00162981">
      <w:pPr>
        <w:rPr>
          <w:rFonts w:ascii="Calibri" w:hAnsi="Calibri"/>
          <w:b/>
        </w:rPr>
      </w:pPr>
      <w:r>
        <w:rPr>
          <w:rFonts w:ascii="Calibri" w:hAnsi="Calibri"/>
          <w:b/>
          <w:bCs/>
        </w:rPr>
        <w:t xml:space="preserve">Chen SS, Allen J, Oxley J, </w:t>
      </w:r>
      <w:r w:rsidRPr="0048046D">
        <w:rPr>
          <w:rFonts w:ascii="Calibri" w:hAnsi="Calibri"/>
          <w:b/>
          <w:bCs/>
        </w:rPr>
        <w:t>Richens A.</w:t>
      </w:r>
      <w:r w:rsidRPr="0048046D">
        <w:rPr>
          <w:rFonts w:ascii="Calibri" w:hAnsi="Calibri"/>
          <w:b/>
        </w:rPr>
        <w:t xml:space="preserve"> Comparative </w:t>
      </w:r>
      <w:r>
        <w:rPr>
          <w:rFonts w:ascii="Calibri" w:hAnsi="Calibri"/>
          <w:b/>
        </w:rPr>
        <w:t>b</w:t>
      </w:r>
      <w:r w:rsidRPr="0048046D">
        <w:rPr>
          <w:rFonts w:ascii="Calibri" w:hAnsi="Calibri"/>
          <w:b/>
        </w:rPr>
        <w:t xml:space="preserve">ioavailability of </w:t>
      </w:r>
      <w:r>
        <w:rPr>
          <w:rFonts w:ascii="Calibri" w:hAnsi="Calibri"/>
          <w:b/>
        </w:rPr>
        <w:t>phenytoin from generic f</w:t>
      </w:r>
      <w:r w:rsidRPr="0048046D">
        <w:rPr>
          <w:rFonts w:ascii="Calibri" w:hAnsi="Calibri"/>
          <w:b/>
        </w:rPr>
        <w:t>ormulations in the United Kingdom.  Epilepsia 1982</w:t>
      </w:r>
      <w:r>
        <w:rPr>
          <w:rFonts w:ascii="Calibri" w:hAnsi="Calibri"/>
          <w:b/>
        </w:rPr>
        <w:t>;</w:t>
      </w:r>
      <w:r w:rsidRPr="0048046D">
        <w:rPr>
          <w:rFonts w:ascii="Calibri" w:hAnsi="Calibri"/>
          <w:b/>
        </w:rPr>
        <w:t xml:space="preserve"> 23</w:t>
      </w:r>
      <w:r>
        <w:rPr>
          <w:rFonts w:ascii="Calibri" w:hAnsi="Calibri"/>
          <w:b/>
        </w:rPr>
        <w:t xml:space="preserve">: </w:t>
      </w:r>
      <w:r w:rsidRPr="0048046D">
        <w:rPr>
          <w:rFonts w:ascii="Calibri" w:hAnsi="Calibri"/>
          <w:b/>
        </w:rPr>
        <w:t>149 – 152</w:t>
      </w:r>
      <w:r>
        <w:rPr>
          <w:rFonts w:ascii="Calibri" w:hAnsi="Calibri"/>
          <w:b/>
        </w:rPr>
        <w:t>.</w:t>
      </w:r>
    </w:p>
    <w:p w14:paraId="70CD5C51" w14:textId="77777777" w:rsidR="007E201F" w:rsidRPr="0048046D" w:rsidRDefault="007E201F" w:rsidP="00162981">
      <w:pPr>
        <w:rPr>
          <w:rFonts w:ascii="Calibri" w:hAnsi="Calibri"/>
          <w:b/>
        </w:rPr>
      </w:pPr>
    </w:p>
    <w:p w14:paraId="6FB2753C" w14:textId="77777777" w:rsidR="007E201F" w:rsidRPr="007E201F" w:rsidRDefault="007E201F" w:rsidP="007E201F">
      <w:pPr>
        <w:spacing w:after="80"/>
        <w:rPr>
          <w:rFonts w:ascii="Calibri" w:hAnsi="Calibri" w:cs="Calibri"/>
          <w:b/>
          <w:bCs/>
        </w:rPr>
      </w:pPr>
      <w:r w:rsidRPr="007E201F">
        <w:rPr>
          <w:rFonts w:ascii="Calibri" w:hAnsi="Calibri" w:cs="Calibri"/>
          <w:b/>
          <w:bCs/>
        </w:rPr>
        <w:t>Contin M. et al.  Intrapatient variation in antiepileptic drug plasma concentration after generic substitution vs stable brand-name drug regimens. Epilepsy Research; May 2016; vol. 122 ; p. 79-83.</w:t>
      </w:r>
    </w:p>
    <w:p w14:paraId="20D9390A" w14:textId="77777777" w:rsidR="00B628E6" w:rsidRDefault="00B628E6" w:rsidP="001A1720">
      <w:pPr>
        <w:pStyle w:val="CommentText"/>
        <w:rPr>
          <w:rFonts w:ascii="Calibri" w:hAnsi="Calibri"/>
          <w:b/>
          <w:sz w:val="24"/>
          <w:szCs w:val="24"/>
          <w:u w:val="single"/>
        </w:rPr>
      </w:pPr>
    </w:p>
    <w:p w14:paraId="486E0435" w14:textId="77777777" w:rsidR="00B628E6" w:rsidRPr="00E81975" w:rsidRDefault="00B628E6" w:rsidP="00B628E6">
      <w:pPr>
        <w:pStyle w:val="Normal1"/>
        <w:rPr>
          <w:rFonts w:ascii="Calibri" w:hAnsi="Calibri"/>
          <w:b/>
        </w:rPr>
      </w:pPr>
      <w:r w:rsidRPr="00E03443">
        <w:rPr>
          <w:rFonts w:ascii="Calibri" w:hAnsi="Calibri"/>
          <w:b/>
          <w:color w:val="000000"/>
        </w:rPr>
        <w:t>Crawford P, Feely M, Guberman A, Kramer G.</w:t>
      </w:r>
      <w:r w:rsidRPr="00E03443">
        <w:rPr>
          <w:rFonts w:ascii="Calibri" w:hAnsi="Calibri"/>
          <w:b/>
        </w:rPr>
        <w:t xml:space="preserve"> </w:t>
      </w:r>
      <w:r w:rsidRPr="00E03443">
        <w:rPr>
          <w:rFonts w:ascii="Calibri" w:hAnsi="Calibri"/>
          <w:b/>
          <w:color w:val="000000"/>
        </w:rPr>
        <w:t xml:space="preserve">Are there potential problems with generic substitution of antiepileptic drugs? A review of issues. </w:t>
      </w:r>
      <w:r w:rsidRPr="00E03443">
        <w:rPr>
          <w:rFonts w:ascii="Calibri" w:hAnsi="Calibri"/>
          <w:b/>
        </w:rPr>
        <w:t>Seizure 2006</w:t>
      </w:r>
      <w:r>
        <w:rPr>
          <w:rFonts w:ascii="Calibri" w:hAnsi="Calibri"/>
          <w:b/>
        </w:rPr>
        <w:t xml:space="preserve">; 15: </w:t>
      </w:r>
      <w:r w:rsidRPr="00E03443">
        <w:rPr>
          <w:rFonts w:ascii="Calibri" w:hAnsi="Calibri"/>
          <w:b/>
        </w:rPr>
        <w:t>165—176.</w:t>
      </w:r>
    </w:p>
    <w:p w14:paraId="3FA43B59" w14:textId="77777777" w:rsidR="00B628E6" w:rsidRDefault="00B628E6" w:rsidP="001A1720">
      <w:pPr>
        <w:pStyle w:val="CommentText"/>
        <w:rPr>
          <w:rFonts w:ascii="Calibri" w:hAnsi="Calibri"/>
          <w:b/>
          <w:sz w:val="24"/>
          <w:szCs w:val="24"/>
        </w:rPr>
      </w:pPr>
    </w:p>
    <w:p w14:paraId="1A8593DC" w14:textId="77777777" w:rsidR="00162981" w:rsidRDefault="00162981" w:rsidP="00162981">
      <w:pPr>
        <w:rPr>
          <w:rFonts w:ascii="Calibri" w:hAnsi="Calibri"/>
          <w:b/>
        </w:rPr>
      </w:pPr>
      <w:r>
        <w:rPr>
          <w:rFonts w:ascii="Calibri" w:hAnsi="Calibri"/>
          <w:b/>
        </w:rPr>
        <w:t>Czapinski P</w:t>
      </w:r>
      <w:r w:rsidRPr="00AA11B0">
        <w:rPr>
          <w:rFonts w:ascii="Calibri" w:hAnsi="Calibri"/>
          <w:b/>
        </w:rPr>
        <w:t>, Czapinska E.  Clinical effect of a switch from an original to a generic agent in drug-resistant epilepsy - Prospective study</w:t>
      </w:r>
      <w:r>
        <w:rPr>
          <w:rFonts w:ascii="Calibri" w:hAnsi="Calibri"/>
          <w:b/>
        </w:rPr>
        <w:t>.  Epilepsia April 2009; 50: 111.</w:t>
      </w:r>
    </w:p>
    <w:p w14:paraId="11862030" w14:textId="77777777" w:rsidR="00162981" w:rsidRPr="007663F4" w:rsidRDefault="00162981" w:rsidP="001A1720">
      <w:pPr>
        <w:pStyle w:val="CommentText"/>
        <w:rPr>
          <w:rFonts w:ascii="Calibri" w:hAnsi="Calibri"/>
          <w:b/>
          <w:sz w:val="24"/>
          <w:szCs w:val="24"/>
        </w:rPr>
      </w:pPr>
    </w:p>
    <w:p w14:paraId="618D8CEE" w14:textId="77777777" w:rsidR="00162981" w:rsidRDefault="00162981" w:rsidP="00162981">
      <w:pPr>
        <w:rPr>
          <w:rFonts w:ascii="Calibri" w:hAnsi="Calibri"/>
          <w:b/>
          <w:color w:val="000000"/>
        </w:rPr>
      </w:pPr>
      <w:r>
        <w:rPr>
          <w:rFonts w:ascii="Calibri" w:hAnsi="Calibri"/>
          <w:b/>
          <w:color w:val="000000"/>
        </w:rPr>
        <w:t>Dhanaraj</w:t>
      </w:r>
      <w:r w:rsidRPr="005C3951">
        <w:rPr>
          <w:rFonts w:ascii="Calibri" w:hAnsi="Calibri"/>
          <w:b/>
          <w:color w:val="000000"/>
        </w:rPr>
        <w:t xml:space="preserve"> M, Jayavelu A. </w:t>
      </w:r>
      <w:r>
        <w:rPr>
          <w:rFonts w:ascii="Calibri" w:hAnsi="Calibri"/>
          <w:b/>
          <w:color w:val="000000"/>
        </w:rPr>
        <w:t>(</w:t>
      </w:r>
      <w:r w:rsidRPr="005C3951">
        <w:rPr>
          <w:rFonts w:ascii="Calibri" w:hAnsi="Calibri"/>
          <w:b/>
          <w:color w:val="000000"/>
        </w:rPr>
        <w:t>L</w:t>
      </w:r>
      <w:r>
        <w:rPr>
          <w:rFonts w:ascii="Calibri" w:hAnsi="Calibri"/>
          <w:b/>
          <w:color w:val="000000"/>
        </w:rPr>
        <w:t>etter).</w:t>
      </w:r>
      <w:r w:rsidRPr="005C3951">
        <w:rPr>
          <w:rFonts w:ascii="Calibri" w:hAnsi="Calibri"/>
          <w:b/>
          <w:color w:val="000000"/>
        </w:rPr>
        <w:t xml:space="preserve"> Neurology India Sept 2004</w:t>
      </w:r>
      <w:r>
        <w:rPr>
          <w:rFonts w:ascii="Calibri" w:hAnsi="Calibri"/>
          <w:b/>
          <w:color w:val="000000"/>
        </w:rPr>
        <w:t>;</w:t>
      </w:r>
      <w:r w:rsidRPr="005C3951">
        <w:rPr>
          <w:rFonts w:ascii="Calibri" w:hAnsi="Calibri"/>
          <w:b/>
          <w:color w:val="000000"/>
        </w:rPr>
        <w:t xml:space="preserve"> 52 </w:t>
      </w:r>
      <w:r>
        <w:rPr>
          <w:rFonts w:ascii="Calibri" w:hAnsi="Calibri"/>
          <w:b/>
          <w:color w:val="000000"/>
        </w:rPr>
        <w:t>(</w:t>
      </w:r>
      <w:r w:rsidRPr="005C3951">
        <w:rPr>
          <w:rFonts w:ascii="Calibri" w:hAnsi="Calibri"/>
          <w:b/>
          <w:color w:val="000000"/>
        </w:rPr>
        <w:t>3</w:t>
      </w:r>
      <w:r>
        <w:rPr>
          <w:rFonts w:ascii="Calibri" w:hAnsi="Calibri"/>
          <w:b/>
          <w:color w:val="000000"/>
        </w:rPr>
        <w:t xml:space="preserve">): </w:t>
      </w:r>
      <w:r w:rsidRPr="005C3951">
        <w:rPr>
          <w:rFonts w:ascii="Calibri" w:hAnsi="Calibri"/>
          <w:b/>
          <w:color w:val="000000"/>
        </w:rPr>
        <w:t>398</w:t>
      </w:r>
      <w:r>
        <w:rPr>
          <w:rFonts w:ascii="Calibri" w:hAnsi="Calibri"/>
          <w:b/>
          <w:color w:val="000000"/>
        </w:rPr>
        <w:t>.</w:t>
      </w:r>
    </w:p>
    <w:p w14:paraId="0E6468D8" w14:textId="77777777" w:rsidR="0037790E" w:rsidRPr="0037790E" w:rsidRDefault="0037790E" w:rsidP="00162981">
      <w:pPr>
        <w:rPr>
          <w:rFonts w:ascii="Calibri" w:hAnsi="Calibri"/>
          <w:b/>
          <w:color w:val="000000"/>
        </w:rPr>
      </w:pPr>
    </w:p>
    <w:p w14:paraId="3D16ECE7" w14:textId="77777777" w:rsidR="00B628E6" w:rsidRDefault="00B628E6" w:rsidP="00B628E6">
      <w:pPr>
        <w:pStyle w:val="Normal1"/>
        <w:rPr>
          <w:rFonts w:ascii="Calibri" w:hAnsi="Calibri"/>
          <w:b/>
        </w:rPr>
      </w:pPr>
      <w:r>
        <w:rPr>
          <w:rFonts w:ascii="Calibri" w:hAnsi="Calibri"/>
          <w:b/>
        </w:rPr>
        <w:t>Department of Health July 2010. Equity and Excellence.  Liberating the NHS. The White Paper.  Department of Health.</w:t>
      </w:r>
    </w:p>
    <w:p w14:paraId="338B29DE" w14:textId="77777777" w:rsidR="00FE72C8" w:rsidRDefault="00FE72C8" w:rsidP="00B628E6">
      <w:pPr>
        <w:pStyle w:val="Normal1"/>
        <w:rPr>
          <w:rFonts w:ascii="Calibri" w:hAnsi="Calibri"/>
          <w:b/>
        </w:rPr>
      </w:pPr>
    </w:p>
    <w:p w14:paraId="7CD1FC37" w14:textId="77777777" w:rsidR="00FE72C8" w:rsidRDefault="00FE72C8" w:rsidP="00FE72C8">
      <w:pPr>
        <w:rPr>
          <w:rFonts w:ascii="Calibri" w:hAnsi="Calibri" w:cs="Arial"/>
          <w:b/>
          <w:color w:val="000000"/>
        </w:rPr>
      </w:pPr>
      <w:r w:rsidRPr="00FE72C8">
        <w:rPr>
          <w:rFonts w:ascii="Calibri" w:hAnsi="Calibri" w:cs="Arial"/>
          <w:b/>
          <w:color w:val="000000"/>
        </w:rPr>
        <w:t>Department of Health</w:t>
      </w:r>
      <w:r>
        <w:rPr>
          <w:rFonts w:ascii="Calibri" w:hAnsi="Calibri" w:cs="Arial"/>
          <w:b/>
          <w:color w:val="000000"/>
        </w:rPr>
        <w:t xml:space="preserve"> March 2005</w:t>
      </w:r>
      <w:r w:rsidRPr="00FE72C8">
        <w:rPr>
          <w:rFonts w:ascii="Calibri" w:hAnsi="Calibri" w:cs="Arial"/>
          <w:b/>
          <w:color w:val="000000"/>
        </w:rPr>
        <w:t>. Treatment for epilepsy: generic lamotrigine.</w:t>
      </w:r>
      <w:r>
        <w:rPr>
          <w:rFonts w:ascii="Calibri" w:hAnsi="Calibri" w:cs="Arial"/>
          <w:b/>
          <w:color w:val="000000"/>
        </w:rPr>
        <w:t xml:space="preserve"> Archived content. </w:t>
      </w:r>
      <w:r w:rsidRPr="00FE72C8">
        <w:rPr>
          <w:rFonts w:ascii="Calibri" w:hAnsi="Calibri" w:cs="Arial"/>
          <w:b/>
          <w:color w:val="000000"/>
        </w:rPr>
        <w:t xml:space="preserve"> Accessed via </w:t>
      </w:r>
      <w:hyperlink r:id="rId17" w:history="1">
        <w:r w:rsidRPr="00FE72C8">
          <w:rPr>
            <w:rStyle w:val="Hyperlink"/>
            <w:rFonts w:ascii="Calibri" w:hAnsi="Calibri" w:cs="Arial"/>
            <w:b/>
            <w:color w:val="000000"/>
            <w:u w:val="none"/>
          </w:rPr>
          <w:t>www.dh.gov.uk/en/Healthcare/Medicinespharmacyandindustry/Prescriptions/DH_4104966</w:t>
        </w:r>
      </w:hyperlink>
      <w:r w:rsidR="00E749D4">
        <w:rPr>
          <w:rFonts w:ascii="Calibri" w:hAnsi="Calibri" w:cs="Arial"/>
          <w:b/>
          <w:color w:val="000000"/>
        </w:rPr>
        <w:t>.</w:t>
      </w:r>
      <w:r w:rsidRPr="00FE72C8">
        <w:rPr>
          <w:rFonts w:ascii="Calibri" w:hAnsi="Calibri" w:cs="Arial"/>
          <w:b/>
          <w:color w:val="000000"/>
        </w:rPr>
        <w:t xml:space="preserve"> </w:t>
      </w:r>
    </w:p>
    <w:p w14:paraId="1EC5D0A1" w14:textId="77777777" w:rsidR="00FD69A1" w:rsidRPr="00FE72C8" w:rsidRDefault="00FD69A1" w:rsidP="00FE72C8">
      <w:pPr>
        <w:rPr>
          <w:rFonts w:ascii="Calibri" w:hAnsi="Calibri"/>
          <w:b/>
          <w:color w:val="000000"/>
        </w:rPr>
      </w:pPr>
    </w:p>
    <w:p w14:paraId="25E173B3" w14:textId="77777777" w:rsidR="00FD69A1" w:rsidRPr="002D4AD7" w:rsidRDefault="00FD69A1" w:rsidP="00FD69A1">
      <w:pPr>
        <w:autoSpaceDE w:val="0"/>
        <w:autoSpaceDN w:val="0"/>
        <w:adjustRightInd w:val="0"/>
        <w:rPr>
          <w:rFonts w:ascii="Calibri" w:hAnsi="Calibri" w:cs="CongressSans-Light"/>
          <w:b/>
        </w:rPr>
      </w:pPr>
      <w:r w:rsidRPr="009C3323">
        <w:rPr>
          <w:rFonts w:ascii="Calibri" w:hAnsi="Calibri" w:cs="CongressSans"/>
          <w:b/>
          <w:lang w:val="fr-FR"/>
        </w:rPr>
        <w:t>Desmarais JE, Beauclair L, Margolese HC.</w:t>
      </w:r>
      <w:r w:rsidRPr="009C3323">
        <w:rPr>
          <w:rFonts w:ascii="Calibri" w:hAnsi="Calibri" w:cs="CongressSans-ExtraBold"/>
          <w:b/>
          <w:bCs/>
          <w:lang w:val="fr-FR"/>
        </w:rPr>
        <w:t xml:space="preserve"> </w:t>
      </w:r>
      <w:r w:rsidRPr="002D4AD7">
        <w:rPr>
          <w:rFonts w:ascii="Calibri" w:hAnsi="Calibri" w:cs="CongressSans-ExtraBold"/>
          <w:b/>
          <w:bCs/>
        </w:rPr>
        <w:t>Switching from Brand-Name to Generic Psychotropic Medications: A Literature Review.</w:t>
      </w:r>
      <w:r>
        <w:rPr>
          <w:rFonts w:ascii="Calibri" w:hAnsi="Calibri" w:cs="CongressSans-ExtraBold"/>
          <w:b/>
          <w:bCs/>
        </w:rPr>
        <w:t xml:space="preserve"> </w:t>
      </w:r>
      <w:r w:rsidRPr="002D4AD7">
        <w:rPr>
          <w:rFonts w:ascii="Calibri" w:hAnsi="Calibri" w:cs="CongressSans-Light"/>
          <w:b/>
        </w:rPr>
        <w:t xml:space="preserve">CNS Neuroscience &amp; Therapeutics </w:t>
      </w:r>
      <w:r w:rsidRPr="002D4AD7">
        <w:rPr>
          <w:rFonts w:ascii="Calibri" w:hAnsi="Calibri" w:cs="CongressSans-Bold"/>
          <w:b/>
          <w:bCs/>
        </w:rPr>
        <w:t xml:space="preserve"> </w:t>
      </w:r>
      <w:r w:rsidRPr="002D4AD7">
        <w:rPr>
          <w:rFonts w:ascii="Calibri" w:hAnsi="Calibri" w:cs="CongressSans-Light"/>
          <w:b/>
        </w:rPr>
        <w:t>2011</w:t>
      </w:r>
      <w:r>
        <w:rPr>
          <w:rFonts w:ascii="Calibri" w:hAnsi="Calibri" w:cs="CongressSans-Light"/>
          <w:b/>
        </w:rPr>
        <w:t xml:space="preserve">; </w:t>
      </w:r>
      <w:r w:rsidRPr="002D4AD7">
        <w:rPr>
          <w:rFonts w:ascii="Calibri" w:hAnsi="Calibri" w:cs="CongressSans-Bold"/>
          <w:b/>
          <w:bCs/>
        </w:rPr>
        <w:t>17</w:t>
      </w:r>
      <w:r>
        <w:rPr>
          <w:rFonts w:ascii="Calibri" w:hAnsi="Calibri" w:cs="CongressSans-Bold"/>
          <w:b/>
          <w:bCs/>
        </w:rPr>
        <w:t xml:space="preserve">: </w:t>
      </w:r>
      <w:r w:rsidRPr="002D4AD7">
        <w:rPr>
          <w:rFonts w:ascii="Calibri" w:hAnsi="Calibri" w:cs="CongressSans-Light"/>
          <w:b/>
        </w:rPr>
        <w:t>750–760</w:t>
      </w:r>
      <w:r>
        <w:rPr>
          <w:rFonts w:ascii="Calibri" w:hAnsi="Calibri" w:cs="CongressSans-Light"/>
          <w:b/>
        </w:rPr>
        <w:t>.</w:t>
      </w:r>
    </w:p>
    <w:p w14:paraId="5520713E" w14:textId="77777777" w:rsidR="00162981" w:rsidRDefault="00162981" w:rsidP="00B628E6">
      <w:pPr>
        <w:pStyle w:val="Normal1"/>
        <w:rPr>
          <w:rFonts w:ascii="Calibri" w:hAnsi="Calibri"/>
          <w:b/>
        </w:rPr>
      </w:pPr>
    </w:p>
    <w:p w14:paraId="58A541D8" w14:textId="77777777" w:rsidR="00162981" w:rsidRPr="009C3323" w:rsidRDefault="00162981" w:rsidP="00162981">
      <w:pPr>
        <w:autoSpaceDE w:val="0"/>
        <w:autoSpaceDN w:val="0"/>
        <w:adjustRightInd w:val="0"/>
        <w:rPr>
          <w:rFonts w:ascii="Calibri" w:hAnsi="Calibri"/>
          <w:b/>
          <w:bCs/>
          <w:lang w:val="fr-FR"/>
        </w:rPr>
      </w:pPr>
      <w:r>
        <w:rPr>
          <w:rFonts w:ascii="Calibri" w:hAnsi="Calibri"/>
          <w:b/>
        </w:rPr>
        <w:t>Duh MS, Andermann F, Paradis P</w:t>
      </w:r>
      <w:r w:rsidRPr="00911F44">
        <w:rPr>
          <w:rFonts w:ascii="Calibri" w:hAnsi="Calibri"/>
          <w:b/>
        </w:rPr>
        <w:t>E, Weiner J, Manjunath R, Cremieux P-Y.  The Economic Consequences of Generic Substitution for Antiepileptic Drugs in a Public Payer Setting: The Case of Lamotrigine.</w:t>
      </w:r>
      <w:r w:rsidRPr="00911F44">
        <w:rPr>
          <w:rFonts w:ascii="Calibri" w:hAnsi="Calibri"/>
        </w:rPr>
        <w:t xml:space="preserve">  </w:t>
      </w:r>
      <w:r w:rsidRPr="009C3323">
        <w:rPr>
          <w:rFonts w:ascii="Calibri" w:hAnsi="Calibri"/>
          <w:b/>
          <w:bCs/>
          <w:lang w:val="fr-FR"/>
        </w:rPr>
        <w:t>Dis Manag 2007; 10 (4): 216 – 225.</w:t>
      </w:r>
    </w:p>
    <w:p w14:paraId="56DBF201" w14:textId="77777777" w:rsidR="00095118" w:rsidRPr="009C3323" w:rsidRDefault="00095118" w:rsidP="00162981">
      <w:pPr>
        <w:autoSpaceDE w:val="0"/>
        <w:autoSpaceDN w:val="0"/>
        <w:adjustRightInd w:val="0"/>
        <w:rPr>
          <w:rFonts w:ascii="Calibri" w:hAnsi="Calibri"/>
          <w:lang w:val="fr-FR"/>
        </w:rPr>
      </w:pPr>
    </w:p>
    <w:p w14:paraId="4EDFF7D7" w14:textId="77777777" w:rsidR="00095118" w:rsidRPr="00381024" w:rsidRDefault="00095118" w:rsidP="00095118">
      <w:pPr>
        <w:rPr>
          <w:rFonts w:ascii="Calibri" w:hAnsi="Calibri" w:cs="Arial"/>
          <w:b/>
          <w:color w:val="000000"/>
        </w:rPr>
      </w:pPr>
      <w:r w:rsidRPr="009C3323">
        <w:rPr>
          <w:rFonts w:ascii="Calibri" w:hAnsi="Calibri" w:cs="Arial"/>
          <w:b/>
          <w:color w:val="000000"/>
          <w:lang w:val="fr-FR"/>
        </w:rPr>
        <w:t>Duh MS, Paradis PE,</w:t>
      </w:r>
      <w:r w:rsidRPr="009C3323">
        <w:rPr>
          <w:rFonts w:ascii="Calibri" w:hAnsi="Calibri" w:cs="TimesNewRomanTur"/>
          <w:b/>
          <w:color w:val="000000"/>
          <w:lang w:val="fr-FR"/>
        </w:rPr>
        <w:t xml:space="preserve"> Latrémouille-Viau D</w:t>
      </w:r>
      <w:r w:rsidRPr="009C3323">
        <w:rPr>
          <w:rFonts w:ascii="Calibri" w:hAnsi="Calibri" w:cs="Arial"/>
          <w:b/>
          <w:color w:val="000000"/>
          <w:lang w:val="fr-FR"/>
        </w:rPr>
        <w:t xml:space="preserve">, Greenberg PE, Lee SP, Durkin MB et al.  </w:t>
      </w:r>
      <w:r w:rsidRPr="00DD3DB3">
        <w:rPr>
          <w:rFonts w:ascii="Calibri" w:hAnsi="Calibri" w:cs="Arial"/>
          <w:b/>
          <w:color w:val="000000"/>
        </w:rPr>
        <w:t xml:space="preserve">The risks and costs of multiple-generic substitution of topiramate. </w:t>
      </w:r>
      <w:r w:rsidRPr="00DD3DB3">
        <w:rPr>
          <w:rFonts w:ascii="Calibri" w:hAnsi="Calibri" w:cs="Arial"/>
          <w:b/>
          <w:bCs/>
          <w:iCs/>
          <w:color w:val="000000"/>
        </w:rPr>
        <w:t>Neurology</w:t>
      </w:r>
      <w:r w:rsidRPr="00DD3DB3">
        <w:rPr>
          <w:rFonts w:ascii="Calibri" w:hAnsi="Calibri" w:cs="Arial"/>
          <w:b/>
          <w:color w:val="000000"/>
        </w:rPr>
        <w:t xml:space="preserve"> 16 June </w:t>
      </w:r>
      <w:r>
        <w:rPr>
          <w:rFonts w:ascii="Calibri" w:hAnsi="Calibri" w:cs="Arial"/>
          <w:b/>
          <w:bCs/>
          <w:color w:val="000000"/>
        </w:rPr>
        <w:t xml:space="preserve">2009; 72: </w:t>
      </w:r>
      <w:r w:rsidRPr="00DD3DB3">
        <w:rPr>
          <w:rFonts w:ascii="Calibri" w:hAnsi="Calibri" w:cs="Arial"/>
          <w:b/>
          <w:bCs/>
          <w:color w:val="000000"/>
        </w:rPr>
        <w:t>2122–2129</w:t>
      </w:r>
      <w:r>
        <w:rPr>
          <w:rFonts w:ascii="Calibri" w:hAnsi="Calibri" w:cs="Arial"/>
          <w:b/>
          <w:bCs/>
          <w:color w:val="000000"/>
        </w:rPr>
        <w:t>.</w:t>
      </w:r>
    </w:p>
    <w:p w14:paraId="0133C708" w14:textId="77777777" w:rsidR="00162981" w:rsidRPr="009345C6" w:rsidRDefault="00162981" w:rsidP="00B628E6">
      <w:pPr>
        <w:pStyle w:val="Normal1"/>
        <w:rPr>
          <w:rFonts w:ascii="Calibri" w:hAnsi="Calibri" w:cs="Calibri"/>
          <w:b/>
          <w:bCs/>
        </w:rPr>
      </w:pPr>
    </w:p>
    <w:p w14:paraId="423A3804" w14:textId="3B122511" w:rsidR="00780A50" w:rsidRPr="009345C6" w:rsidRDefault="004E340A" w:rsidP="00B628E6">
      <w:pPr>
        <w:pStyle w:val="Normal1"/>
        <w:rPr>
          <w:rFonts w:ascii="Calibri" w:hAnsi="Calibri" w:cs="Calibri"/>
          <w:b/>
          <w:bCs/>
        </w:rPr>
      </w:pPr>
      <w:r w:rsidRPr="009345C6">
        <w:rPr>
          <w:rFonts w:ascii="Calibri" w:hAnsi="Calibri" w:cs="Calibri"/>
          <w:b/>
          <w:bCs/>
        </w:rPr>
        <w:t>Eatock J et al. Managing patient adherence and quality of life in epilepsy</w:t>
      </w:r>
      <w:r w:rsidR="00761E00">
        <w:rPr>
          <w:rFonts w:ascii="Calibri" w:hAnsi="Calibri" w:cs="Calibri"/>
          <w:b/>
          <w:bCs/>
        </w:rPr>
        <w:t xml:space="preserve">. </w:t>
      </w:r>
      <w:r w:rsidR="00780A50" w:rsidRPr="009345C6">
        <w:rPr>
          <w:rFonts w:ascii="Calibri" w:hAnsi="Calibri" w:cs="Calibri"/>
          <w:b/>
          <w:bCs/>
        </w:rPr>
        <w:t>Neuropsychiatric Disease and Treatment 2007:3(1) 117–131</w:t>
      </w:r>
    </w:p>
    <w:p w14:paraId="4B4F45B5" w14:textId="77777777" w:rsidR="00780A50" w:rsidRPr="009345C6" w:rsidRDefault="00780A50" w:rsidP="00B628E6">
      <w:pPr>
        <w:pStyle w:val="Normal1"/>
        <w:rPr>
          <w:rFonts w:ascii="Calibri" w:hAnsi="Calibri" w:cs="Calibri"/>
          <w:b/>
          <w:bCs/>
        </w:rPr>
      </w:pPr>
    </w:p>
    <w:p w14:paraId="3A671BCE" w14:textId="4A3DDC53" w:rsidR="009A2202" w:rsidRPr="009A2202" w:rsidRDefault="009A2202" w:rsidP="00B628E6">
      <w:pPr>
        <w:pStyle w:val="Normal1"/>
        <w:rPr>
          <w:rFonts w:ascii="Calibri" w:hAnsi="Calibri"/>
          <w:b/>
        </w:rPr>
      </w:pPr>
      <w:r>
        <w:rPr>
          <w:rFonts w:ascii="Calibri" w:hAnsi="Calibri"/>
          <w:b/>
        </w:rPr>
        <w:t xml:space="preserve">Epilepsy Action 2011.  Getting the same version of your anti-epileptic drugs every time.  Accessed via </w:t>
      </w:r>
      <w:r w:rsidRPr="009A2202">
        <w:rPr>
          <w:rFonts w:ascii="Calibri" w:hAnsi="Calibri"/>
          <w:b/>
        </w:rPr>
        <w:t>http://www.epilepsy.org.uk/info/treatment/generic-prescribing-parallel-importing</w:t>
      </w:r>
      <w:r>
        <w:rPr>
          <w:rFonts w:ascii="Calibri" w:hAnsi="Calibri"/>
          <w:b/>
        </w:rPr>
        <w:t>.</w:t>
      </w:r>
    </w:p>
    <w:p w14:paraId="20A27386" w14:textId="77777777" w:rsidR="009A2202" w:rsidRDefault="009A2202" w:rsidP="00B628E6">
      <w:pPr>
        <w:pStyle w:val="Normal1"/>
        <w:rPr>
          <w:rFonts w:ascii="Calibri" w:hAnsi="Calibri"/>
          <w:b/>
        </w:rPr>
      </w:pPr>
    </w:p>
    <w:p w14:paraId="133697C6" w14:textId="77777777" w:rsidR="00162981" w:rsidRPr="00911F44" w:rsidRDefault="00162981" w:rsidP="00162981">
      <w:pPr>
        <w:rPr>
          <w:rFonts w:ascii="Calibri" w:hAnsi="Calibri"/>
          <w:b/>
        </w:rPr>
      </w:pPr>
      <w:r w:rsidRPr="00911F44">
        <w:rPr>
          <w:rFonts w:ascii="Calibri" w:hAnsi="Calibri"/>
          <w:b/>
        </w:rPr>
        <w:t>Erickson SC</w:t>
      </w:r>
      <w:r>
        <w:rPr>
          <w:rFonts w:ascii="Calibri" w:hAnsi="Calibri"/>
          <w:b/>
        </w:rPr>
        <w:t>, Le</w:t>
      </w:r>
      <w:r w:rsidRPr="00911F44">
        <w:rPr>
          <w:rFonts w:ascii="Calibri" w:hAnsi="Calibri"/>
          <w:b/>
        </w:rPr>
        <w:t xml:space="preserve"> L, Ramsey SD, Solow BK, Zakharyan A, Stockl K M</w:t>
      </w:r>
      <w:r>
        <w:rPr>
          <w:rFonts w:ascii="Calibri" w:hAnsi="Calibri"/>
          <w:b/>
        </w:rPr>
        <w:t xml:space="preserve"> et al.  </w:t>
      </w:r>
      <w:r w:rsidRPr="00911F44">
        <w:rPr>
          <w:rFonts w:ascii="Calibri" w:hAnsi="Calibri" w:cs="AdvGSANS-B"/>
          <w:b/>
        </w:rPr>
        <w:t>Clinical and pharmacy utilization outcomes with brand to</w:t>
      </w:r>
      <w:r>
        <w:rPr>
          <w:rFonts w:ascii="Calibri" w:hAnsi="Calibri" w:cs="AdvGSANS-B"/>
          <w:b/>
        </w:rPr>
        <w:t xml:space="preserve"> </w:t>
      </w:r>
      <w:r w:rsidRPr="00911F44">
        <w:rPr>
          <w:rFonts w:ascii="Calibri" w:hAnsi="Calibri" w:cs="AdvGSANS-B"/>
          <w:b/>
        </w:rPr>
        <w:t>generic antiepileptic switches in patients with epilepsy</w:t>
      </w:r>
      <w:r>
        <w:rPr>
          <w:rFonts w:ascii="Calibri" w:hAnsi="Calibri" w:cs="AdvGSANS-B"/>
          <w:b/>
        </w:rPr>
        <w:t xml:space="preserve">.  </w:t>
      </w:r>
      <w:r w:rsidRPr="00911F44">
        <w:rPr>
          <w:rFonts w:ascii="Calibri" w:hAnsi="Calibri"/>
          <w:b/>
        </w:rPr>
        <w:t>Epilepsia 2011</w:t>
      </w:r>
      <w:r>
        <w:rPr>
          <w:rFonts w:ascii="Calibri" w:hAnsi="Calibri"/>
          <w:b/>
        </w:rPr>
        <w:t>;</w:t>
      </w:r>
      <w:r w:rsidRPr="00911F44">
        <w:rPr>
          <w:rFonts w:ascii="Calibri" w:hAnsi="Calibri"/>
          <w:b/>
        </w:rPr>
        <w:t xml:space="preserve"> 52 (7):</w:t>
      </w:r>
      <w:r>
        <w:rPr>
          <w:rFonts w:ascii="Calibri" w:hAnsi="Calibri"/>
          <w:b/>
        </w:rPr>
        <w:t xml:space="preserve"> </w:t>
      </w:r>
      <w:r w:rsidRPr="00911F44">
        <w:rPr>
          <w:rFonts w:ascii="Calibri" w:hAnsi="Calibri"/>
          <w:b/>
        </w:rPr>
        <w:t>1365–1371</w:t>
      </w:r>
      <w:r>
        <w:rPr>
          <w:rFonts w:ascii="Calibri" w:hAnsi="Calibri"/>
          <w:b/>
        </w:rPr>
        <w:t>.</w:t>
      </w:r>
      <w:r w:rsidRPr="00911F44">
        <w:rPr>
          <w:rFonts w:ascii="Calibri" w:hAnsi="Calibri"/>
          <w:b/>
        </w:rPr>
        <w:t xml:space="preserve">    </w:t>
      </w:r>
    </w:p>
    <w:p w14:paraId="30695455" w14:textId="77777777" w:rsidR="001A1720" w:rsidRDefault="001A1720" w:rsidP="008D0B19">
      <w:pPr>
        <w:pStyle w:val="Heading1"/>
        <w:rPr>
          <w:rFonts w:ascii="Calibri" w:hAnsi="Calibri"/>
          <w:b/>
          <w:color w:val="000000"/>
          <w:sz w:val="24"/>
          <w:szCs w:val="24"/>
        </w:rPr>
      </w:pPr>
    </w:p>
    <w:p w14:paraId="53D50CB5" w14:textId="77777777" w:rsidR="001A1720" w:rsidRDefault="001A1720" w:rsidP="001A1720">
      <w:pPr>
        <w:shd w:val="clear" w:color="auto" w:fill="FFFFFF"/>
        <w:spacing w:line="312" w:lineRule="atLeast"/>
        <w:ind w:left="45"/>
        <w:rPr>
          <w:rFonts w:ascii="Calibri" w:hAnsi="Calibri" w:cs="Arial"/>
          <w:b/>
          <w:color w:val="000000"/>
        </w:rPr>
      </w:pPr>
      <w:r w:rsidRPr="009C1F08">
        <w:rPr>
          <w:rFonts w:ascii="Calibri" w:hAnsi="Calibri" w:cs="Arial"/>
          <w:b/>
          <w:color w:val="000000"/>
        </w:rPr>
        <w:t>Ettinger AB,  Manjunath R, Candrilli SD, Davis KL.  Prevalence and cost of non-adherence to antiepileptic drugs in elderly patients with epilepsy.  Epilepsy and Behavior Feb 2009; 14 (2): p 324 – 329.</w:t>
      </w:r>
    </w:p>
    <w:p w14:paraId="2F554EB3" w14:textId="77777777" w:rsidR="001A1720" w:rsidRPr="00D63102" w:rsidRDefault="001A1720" w:rsidP="001A1720">
      <w:pPr>
        <w:shd w:val="clear" w:color="auto" w:fill="FFFFFF"/>
        <w:spacing w:line="312" w:lineRule="atLeast"/>
        <w:ind w:left="45"/>
        <w:rPr>
          <w:rFonts w:ascii="Calibri" w:hAnsi="Calibri" w:cs="Arial"/>
          <w:b/>
          <w:color w:val="000000"/>
        </w:rPr>
      </w:pPr>
    </w:p>
    <w:p w14:paraId="76B905C9" w14:textId="031FB194" w:rsidR="001A1720" w:rsidRDefault="001A1720" w:rsidP="001A1720">
      <w:pPr>
        <w:autoSpaceDE w:val="0"/>
        <w:autoSpaceDN w:val="0"/>
        <w:adjustRightInd w:val="0"/>
        <w:rPr>
          <w:rFonts w:ascii="Calibri" w:hAnsi="Calibri" w:cs="TimesNewRoman"/>
          <w:b/>
          <w:color w:val="000000"/>
        </w:rPr>
      </w:pPr>
      <w:r w:rsidRPr="00F01F39">
        <w:rPr>
          <w:rFonts w:ascii="Calibri" w:hAnsi="Calibri"/>
          <w:b/>
          <w:bCs/>
          <w:color w:val="000000"/>
        </w:rPr>
        <w:t>European Medicines Agency (EMEA) Committee for Medicinal Products for Human Use 20 January 2010.  Guideline on the investigation of bioequivalence</w:t>
      </w:r>
      <w:r w:rsidRPr="00F01F39">
        <w:rPr>
          <w:rFonts w:ascii="Calibri" w:hAnsi="Calibri" w:cs="TimesNewRoman"/>
          <w:b/>
          <w:color w:val="000000"/>
        </w:rPr>
        <w:t xml:space="preserve"> Ref: </w:t>
      </w:r>
      <w:r w:rsidRPr="00F01F39">
        <w:rPr>
          <w:rFonts w:ascii="Calibri" w:hAnsi="Calibri" w:cs="TimesNewRoman"/>
          <w:b/>
        </w:rPr>
        <w:t xml:space="preserve">CPMP/EWP/QWP/1401/98 Rev. 1/ Corr.  </w:t>
      </w:r>
      <w:r w:rsidRPr="00F01F39">
        <w:rPr>
          <w:rFonts w:ascii="Calibri" w:hAnsi="Calibri" w:cs="TimesNewRoman"/>
          <w:b/>
          <w:color w:val="000000"/>
        </w:rPr>
        <w:t xml:space="preserve"> </w:t>
      </w:r>
      <w:r w:rsidRPr="00F01F39">
        <w:rPr>
          <w:rFonts w:ascii="Calibri" w:hAnsi="Calibri"/>
          <w:b/>
          <w:bCs/>
          <w:color w:val="000000"/>
        </w:rPr>
        <w:t xml:space="preserve">London: </w:t>
      </w:r>
      <w:r w:rsidRPr="00F01F39">
        <w:rPr>
          <w:rFonts w:ascii="Calibri" w:hAnsi="Calibri" w:cs="Arial"/>
          <w:b/>
          <w:color w:val="000000"/>
        </w:rPr>
        <w:t>European Medicines Agency.</w:t>
      </w:r>
      <w:r w:rsidRPr="00441E8C">
        <w:rPr>
          <w:rFonts w:ascii="Calibri" w:hAnsi="Calibri" w:cs="TimesNewRoman"/>
          <w:b/>
          <w:color w:val="000000"/>
        </w:rPr>
        <w:t xml:space="preserve"> </w:t>
      </w:r>
    </w:p>
    <w:p w14:paraId="71EC2BB1" w14:textId="77777777" w:rsidR="00A20115" w:rsidRDefault="00A20115" w:rsidP="001A1720">
      <w:pPr>
        <w:autoSpaceDE w:val="0"/>
        <w:autoSpaceDN w:val="0"/>
        <w:adjustRightInd w:val="0"/>
        <w:rPr>
          <w:rFonts w:ascii="Calibri" w:hAnsi="Calibri" w:cs="TimesNewRoman"/>
          <w:b/>
          <w:color w:val="000000"/>
        </w:rPr>
      </w:pPr>
    </w:p>
    <w:p w14:paraId="37BA5A1C" w14:textId="77777777" w:rsidR="00A20115" w:rsidRPr="00A20115" w:rsidRDefault="00A20115" w:rsidP="00A20115">
      <w:pPr>
        <w:rPr>
          <w:rFonts w:ascii="Calibri" w:hAnsi="Calibri" w:cs="Calibri"/>
          <w:b/>
          <w:bCs/>
          <w:color w:val="000000"/>
        </w:rPr>
      </w:pPr>
      <w:r w:rsidRPr="00A20115">
        <w:rPr>
          <w:rFonts w:ascii="Calibri" w:hAnsi="Calibri" w:cs="Calibri"/>
          <w:b/>
          <w:bCs/>
          <w:color w:val="000000"/>
        </w:rPr>
        <w:t>Fanella M et al. Switch From Originator to Equivalent Drug in the Era of Generic Antiepileptic Drugs: Study of Keppra Versus Epitiram Clinical Equivalence.  Clin Neuropharm 2017;40: 239–242.</w:t>
      </w:r>
    </w:p>
    <w:p w14:paraId="331FEB47" w14:textId="77777777" w:rsidR="00162981" w:rsidRDefault="00162981" w:rsidP="001A1720">
      <w:pPr>
        <w:autoSpaceDE w:val="0"/>
        <w:autoSpaceDN w:val="0"/>
        <w:adjustRightInd w:val="0"/>
        <w:rPr>
          <w:rFonts w:ascii="Calibri" w:hAnsi="Calibri" w:cs="TimesNewRoman"/>
          <w:b/>
          <w:color w:val="000000"/>
        </w:rPr>
      </w:pPr>
    </w:p>
    <w:p w14:paraId="6A91D4FD" w14:textId="77777777" w:rsidR="00162981" w:rsidRPr="000F1901" w:rsidRDefault="00162981" w:rsidP="00162981">
      <w:pPr>
        <w:autoSpaceDE w:val="0"/>
        <w:autoSpaceDN w:val="0"/>
        <w:adjustRightInd w:val="0"/>
        <w:rPr>
          <w:rFonts w:ascii="Calibri" w:hAnsi="Calibri" w:cs="Times-Italic"/>
          <w:b/>
          <w:iCs/>
        </w:rPr>
      </w:pPr>
      <w:r>
        <w:rPr>
          <w:rFonts w:ascii="Calibri" w:hAnsi="Calibri" w:cs="Helvetica"/>
          <w:b/>
        </w:rPr>
        <w:t>Fitzgerald C</w:t>
      </w:r>
      <w:r w:rsidRPr="000F1901">
        <w:rPr>
          <w:rFonts w:ascii="Calibri" w:hAnsi="Calibri" w:cs="Helvetica"/>
          <w:b/>
        </w:rPr>
        <w:t>L, Jacobson MP.</w:t>
      </w:r>
      <w:r>
        <w:rPr>
          <w:rFonts w:ascii="Calibri" w:hAnsi="Calibri" w:cs="Helvetica"/>
          <w:b/>
        </w:rPr>
        <w:t xml:space="preserve">  </w:t>
      </w:r>
      <w:r>
        <w:rPr>
          <w:rFonts w:ascii="Calibri" w:hAnsi="Calibri" w:cs="GillSans-Bold"/>
          <w:b/>
          <w:bCs/>
        </w:rPr>
        <w:t>Generic substitution of levetiracetam resulting in increased incidence of breakthrough s</w:t>
      </w:r>
      <w:r w:rsidRPr="000F1901">
        <w:rPr>
          <w:rFonts w:ascii="Calibri" w:hAnsi="Calibri" w:cs="GillSans-Bold"/>
          <w:b/>
          <w:bCs/>
        </w:rPr>
        <w:t>eizures</w:t>
      </w:r>
      <w:r>
        <w:rPr>
          <w:rFonts w:ascii="Calibri" w:hAnsi="Calibri" w:cs="GillSans-Bold"/>
          <w:b/>
          <w:bCs/>
        </w:rPr>
        <w:t xml:space="preserve">.  </w:t>
      </w:r>
      <w:r w:rsidRPr="000F1901">
        <w:rPr>
          <w:rFonts w:ascii="Calibri" w:hAnsi="Calibri" w:cs="Times-Italic"/>
          <w:b/>
          <w:iCs/>
        </w:rPr>
        <w:t>Annals of Pharmacother</w:t>
      </w:r>
      <w:r>
        <w:rPr>
          <w:rFonts w:ascii="Calibri" w:hAnsi="Calibri" w:cs="Times-Italic"/>
          <w:b/>
          <w:iCs/>
        </w:rPr>
        <w:t xml:space="preserve"> May 2011; </w:t>
      </w:r>
      <w:r w:rsidRPr="000F1901">
        <w:rPr>
          <w:rFonts w:ascii="Calibri" w:hAnsi="Calibri" w:cs="Times-Italic"/>
          <w:b/>
          <w:iCs/>
        </w:rPr>
        <w:t>45 (5)</w:t>
      </w:r>
      <w:r>
        <w:rPr>
          <w:rFonts w:ascii="Calibri" w:hAnsi="Calibri" w:cs="Times-Italic"/>
          <w:b/>
          <w:iCs/>
        </w:rPr>
        <w:t xml:space="preserve">: </w:t>
      </w:r>
      <w:r w:rsidRPr="000F1901">
        <w:rPr>
          <w:rFonts w:ascii="Calibri" w:hAnsi="Calibri" w:cs="Times-Italic"/>
          <w:b/>
          <w:iCs/>
        </w:rPr>
        <w:t>27</w:t>
      </w:r>
      <w:r>
        <w:rPr>
          <w:rFonts w:ascii="Calibri" w:hAnsi="Calibri" w:cs="Times-Italic"/>
          <w:b/>
          <w:iCs/>
        </w:rPr>
        <w:t xml:space="preserve"> – 31.</w:t>
      </w:r>
    </w:p>
    <w:p w14:paraId="77A4D1B6" w14:textId="77777777" w:rsidR="00B628E6" w:rsidRDefault="00B628E6" w:rsidP="001A1720">
      <w:pPr>
        <w:autoSpaceDE w:val="0"/>
        <w:autoSpaceDN w:val="0"/>
        <w:adjustRightInd w:val="0"/>
        <w:rPr>
          <w:rFonts w:ascii="Calibri" w:hAnsi="Calibri" w:cs="TimesNewRoman"/>
          <w:b/>
          <w:color w:val="000000"/>
        </w:rPr>
      </w:pPr>
    </w:p>
    <w:p w14:paraId="090E313A" w14:textId="1CB2C39D" w:rsidR="00B628E6" w:rsidRDefault="00B628E6" w:rsidP="00B628E6">
      <w:pPr>
        <w:autoSpaceDE w:val="0"/>
        <w:autoSpaceDN w:val="0"/>
        <w:adjustRightInd w:val="0"/>
        <w:rPr>
          <w:rFonts w:ascii="Calibri" w:hAnsi="Calibri"/>
          <w:b/>
        </w:rPr>
      </w:pPr>
      <w:r w:rsidRPr="00F01F39">
        <w:rPr>
          <w:rFonts w:ascii="Calibri" w:hAnsi="Calibri"/>
          <w:b/>
        </w:rPr>
        <w:t xml:space="preserve">Glende M, Hüller H, Mai I, Migulla H, Prümke J, Schumann G. Comparative bioavailability of two carbamazepine tablets. Int J Clin Pharmacol Ther Toxicol 1983; 21: </w:t>
      </w:r>
      <w:r w:rsidR="00B26119" w:rsidRPr="00F01F39">
        <w:rPr>
          <w:rFonts w:ascii="Calibri" w:hAnsi="Calibri"/>
          <w:b/>
        </w:rPr>
        <w:t>631-633</w:t>
      </w:r>
      <w:r w:rsidRPr="00F01F39">
        <w:rPr>
          <w:rFonts w:ascii="Calibri" w:hAnsi="Calibri"/>
          <w:b/>
        </w:rPr>
        <w:t>.</w:t>
      </w:r>
    </w:p>
    <w:p w14:paraId="11071436" w14:textId="77777777" w:rsidR="00562ADB" w:rsidRPr="00F94896" w:rsidRDefault="00562ADB" w:rsidP="00B628E6">
      <w:pPr>
        <w:autoSpaceDE w:val="0"/>
        <w:autoSpaceDN w:val="0"/>
        <w:adjustRightInd w:val="0"/>
        <w:rPr>
          <w:rFonts w:ascii="Calibri" w:hAnsi="Calibri"/>
          <w:b/>
        </w:rPr>
      </w:pPr>
    </w:p>
    <w:p w14:paraId="6B5450F5" w14:textId="77777777" w:rsidR="00562ADB" w:rsidRPr="00562ADB" w:rsidRDefault="00562ADB" w:rsidP="00562ADB">
      <w:pPr>
        <w:spacing w:after="80"/>
        <w:rPr>
          <w:rFonts w:ascii="Calibri" w:hAnsi="Calibri" w:cs="Calibri"/>
          <w:b/>
          <w:bCs/>
          <w:color w:val="000000"/>
          <w:lang w:val="en-US"/>
        </w:rPr>
      </w:pPr>
      <w:r w:rsidRPr="006C7EBE">
        <w:rPr>
          <w:rFonts w:ascii="Calibri" w:hAnsi="Calibri" w:cs="Calibri"/>
          <w:b/>
          <w:bCs/>
          <w:color w:val="000000"/>
        </w:rPr>
        <w:t xml:space="preserve">Gha-Hyun L. et al. </w:t>
      </w:r>
      <w:r w:rsidRPr="00562ADB">
        <w:rPr>
          <w:rFonts w:ascii="Calibri" w:hAnsi="Calibri" w:cs="Calibri"/>
          <w:b/>
          <w:bCs/>
          <w:color w:val="000000"/>
        </w:rPr>
        <w:t xml:space="preserve">Brand name to generic substitution of levetiracetam in patients with epilepsy. </w:t>
      </w:r>
      <w:r w:rsidRPr="00562ADB">
        <w:rPr>
          <w:rFonts w:ascii="Calibri" w:hAnsi="Calibri" w:cs="Calibri"/>
          <w:b/>
          <w:bCs/>
          <w:color w:val="000000"/>
          <w:lang w:val="en-US"/>
        </w:rPr>
        <w:t>Seizure; Aug 2018; vol. 60 ; p. 127-131.</w:t>
      </w:r>
    </w:p>
    <w:p w14:paraId="00832629" w14:textId="77777777" w:rsidR="00B628E6" w:rsidRDefault="00B628E6" w:rsidP="001A1720">
      <w:pPr>
        <w:autoSpaceDE w:val="0"/>
        <w:autoSpaceDN w:val="0"/>
        <w:adjustRightInd w:val="0"/>
        <w:rPr>
          <w:rFonts w:ascii="Calibri" w:hAnsi="Calibri" w:cs="TimesNewRoman"/>
          <w:b/>
          <w:color w:val="000000"/>
        </w:rPr>
      </w:pPr>
    </w:p>
    <w:p w14:paraId="425BAD30" w14:textId="77777777" w:rsidR="00B628E6" w:rsidRPr="001E3292" w:rsidRDefault="00B628E6" w:rsidP="00B628E6">
      <w:pPr>
        <w:autoSpaceDE w:val="0"/>
        <w:autoSpaceDN w:val="0"/>
        <w:adjustRightInd w:val="0"/>
        <w:rPr>
          <w:rFonts w:ascii="Calibri" w:hAnsi="Calibri" w:cs="Meridien-Roman"/>
          <w:b/>
        </w:rPr>
      </w:pPr>
      <w:r w:rsidRPr="001E3292">
        <w:rPr>
          <w:rFonts w:ascii="Calibri" w:hAnsi="Calibri" w:cs="Meridien-Roman"/>
          <w:b/>
        </w:rPr>
        <w:t xml:space="preserve">Gilman JT, Alvarez LA, Duchowny M. Carbamazepine toxicity resulting from generic substitution. </w:t>
      </w:r>
      <w:r w:rsidRPr="001E3292">
        <w:rPr>
          <w:rFonts w:ascii="Calibri" w:hAnsi="Calibri" w:cs="Meridien-Italic"/>
          <w:b/>
          <w:iCs/>
        </w:rPr>
        <w:t xml:space="preserve">Neurology </w:t>
      </w:r>
      <w:r w:rsidRPr="001E3292">
        <w:rPr>
          <w:rFonts w:ascii="Calibri" w:hAnsi="Calibri" w:cs="Meridien-Roman"/>
          <w:b/>
        </w:rPr>
        <w:t>1993;</w:t>
      </w:r>
      <w:r>
        <w:rPr>
          <w:rFonts w:ascii="Calibri" w:hAnsi="Calibri" w:cs="Meridien-Roman"/>
          <w:b/>
        </w:rPr>
        <w:t xml:space="preserve"> </w:t>
      </w:r>
      <w:r w:rsidRPr="001E3292">
        <w:rPr>
          <w:rFonts w:ascii="Calibri" w:hAnsi="Calibri" w:cs="Meridien-Bold"/>
          <w:b/>
          <w:bCs/>
        </w:rPr>
        <w:t>43</w:t>
      </w:r>
      <w:r w:rsidRPr="001E3292">
        <w:rPr>
          <w:rFonts w:ascii="Calibri" w:hAnsi="Calibri" w:cs="Meridien-Roman"/>
          <w:b/>
        </w:rPr>
        <w:t>:</w:t>
      </w:r>
      <w:r>
        <w:rPr>
          <w:rFonts w:ascii="Calibri" w:hAnsi="Calibri" w:cs="Meridien-Roman"/>
          <w:b/>
        </w:rPr>
        <w:t xml:space="preserve"> </w:t>
      </w:r>
      <w:r w:rsidRPr="001E3292">
        <w:rPr>
          <w:rFonts w:ascii="Calibri" w:hAnsi="Calibri" w:cs="Meridien-Roman"/>
          <w:b/>
        </w:rPr>
        <w:t>2696–2697.</w:t>
      </w:r>
    </w:p>
    <w:p w14:paraId="520FF06A" w14:textId="77777777" w:rsidR="00B628E6" w:rsidRDefault="00B628E6" w:rsidP="001A1720">
      <w:pPr>
        <w:autoSpaceDE w:val="0"/>
        <w:autoSpaceDN w:val="0"/>
        <w:adjustRightInd w:val="0"/>
        <w:rPr>
          <w:rFonts w:ascii="Calibri" w:hAnsi="Calibri" w:cs="TimesNewRoman"/>
          <w:color w:val="000000"/>
        </w:rPr>
      </w:pPr>
    </w:p>
    <w:p w14:paraId="4886FFFA" w14:textId="77777777" w:rsidR="004F26A9" w:rsidRPr="004F26A9" w:rsidRDefault="004F26A9" w:rsidP="004F26A9">
      <w:pPr>
        <w:autoSpaceDE w:val="0"/>
        <w:autoSpaceDN w:val="0"/>
        <w:adjustRightInd w:val="0"/>
        <w:rPr>
          <w:rFonts w:ascii="Calibri" w:hAnsi="Calibri"/>
          <w:b/>
          <w:bCs/>
        </w:rPr>
      </w:pPr>
      <w:r w:rsidRPr="004F26A9">
        <w:rPr>
          <w:rFonts w:ascii="Calibri" w:hAnsi="Calibri"/>
          <w:b/>
          <w:iCs/>
        </w:rPr>
        <w:t>Guberman A, Corman</w:t>
      </w:r>
      <w:r w:rsidRPr="004F26A9">
        <w:rPr>
          <w:rFonts w:ascii="Calibri" w:hAnsi="Calibri"/>
          <w:b/>
          <w:i/>
          <w:iCs/>
        </w:rPr>
        <w:t xml:space="preserve"> </w:t>
      </w:r>
      <w:r w:rsidRPr="004F26A9">
        <w:rPr>
          <w:rFonts w:ascii="Calibri" w:hAnsi="Calibri"/>
          <w:b/>
          <w:iCs/>
        </w:rPr>
        <w:t xml:space="preserve">C.   </w:t>
      </w:r>
      <w:r w:rsidRPr="004F26A9">
        <w:rPr>
          <w:rFonts w:ascii="Calibri" w:hAnsi="Calibri"/>
          <w:b/>
          <w:bCs/>
        </w:rPr>
        <w:t>Generic Substitution for Brand Name Antiepileptic Drugs: A Survey</w:t>
      </w:r>
      <w:r>
        <w:rPr>
          <w:rFonts w:ascii="Calibri" w:hAnsi="Calibri"/>
          <w:b/>
          <w:bCs/>
        </w:rPr>
        <w:t xml:space="preserve"> </w:t>
      </w:r>
      <w:r w:rsidRPr="004F26A9">
        <w:rPr>
          <w:rFonts w:ascii="Calibri" w:hAnsi="Calibri"/>
          <w:b/>
        </w:rPr>
        <w:t>Can. J. Neurol. Sci. 2000; 27: 37-43.</w:t>
      </w:r>
    </w:p>
    <w:p w14:paraId="7E17021E" w14:textId="77777777" w:rsidR="004F26A9" w:rsidRPr="00441E8C" w:rsidRDefault="004F26A9" w:rsidP="001A1720">
      <w:pPr>
        <w:autoSpaceDE w:val="0"/>
        <w:autoSpaceDN w:val="0"/>
        <w:adjustRightInd w:val="0"/>
        <w:rPr>
          <w:rFonts w:ascii="Calibri" w:hAnsi="Calibri" w:cs="TimesNewRoman"/>
          <w:color w:val="000000"/>
        </w:rPr>
      </w:pPr>
    </w:p>
    <w:p w14:paraId="53B9331B" w14:textId="77777777" w:rsidR="00B628E6" w:rsidRDefault="00B628E6" w:rsidP="00B628E6">
      <w:pPr>
        <w:autoSpaceDE w:val="0"/>
        <w:autoSpaceDN w:val="0"/>
        <w:adjustRightInd w:val="0"/>
        <w:rPr>
          <w:rFonts w:ascii="Calibri" w:hAnsi="Calibri" w:cs="AdvTimes"/>
          <w:b/>
        </w:rPr>
      </w:pPr>
      <w:r w:rsidRPr="002D30ED">
        <w:rPr>
          <w:rFonts w:ascii="Calibri" w:hAnsi="Calibri" w:cs="AdvTimes"/>
          <w:b/>
        </w:rPr>
        <w:t>Hansen RN, Campbell JD, Sullivan SD. Association between</w:t>
      </w:r>
      <w:r>
        <w:rPr>
          <w:rFonts w:ascii="Calibri" w:hAnsi="Calibri" w:cs="AdvTimes"/>
          <w:b/>
        </w:rPr>
        <w:t xml:space="preserve"> </w:t>
      </w:r>
      <w:r w:rsidRPr="002D30ED">
        <w:rPr>
          <w:rFonts w:ascii="Calibri" w:hAnsi="Calibri" w:cs="AdvTimes"/>
          <w:b/>
        </w:rPr>
        <w:t>antiepileptic drug switching and epilepsy-related</w:t>
      </w:r>
      <w:r>
        <w:rPr>
          <w:rFonts w:ascii="Calibri" w:hAnsi="Calibri" w:cs="AdvTimes"/>
          <w:b/>
        </w:rPr>
        <w:t xml:space="preserve"> </w:t>
      </w:r>
      <w:r w:rsidRPr="002D30ED">
        <w:rPr>
          <w:rFonts w:ascii="Calibri" w:hAnsi="Calibri" w:cs="AdvTimes"/>
          <w:b/>
        </w:rPr>
        <w:t>events. Epilepsy Behav Aug</w:t>
      </w:r>
      <w:r>
        <w:rPr>
          <w:rFonts w:ascii="Calibri" w:hAnsi="Calibri" w:cs="AdvTimes"/>
          <w:b/>
        </w:rPr>
        <w:t xml:space="preserve"> 2009; 15 (4): 481-5.</w:t>
      </w:r>
    </w:p>
    <w:p w14:paraId="02EA768B" w14:textId="77777777" w:rsidR="00DF4A56" w:rsidRDefault="00DF4A56" w:rsidP="00DF4A56">
      <w:pPr>
        <w:rPr>
          <w:rFonts w:ascii="Calibri" w:hAnsi="Calibri"/>
          <w:b/>
        </w:rPr>
      </w:pPr>
    </w:p>
    <w:p w14:paraId="77D25CE7" w14:textId="77777777" w:rsidR="00DF4A56" w:rsidRPr="008A2408" w:rsidRDefault="00DF4A56" w:rsidP="00DF4A56">
      <w:r w:rsidRPr="008A2408">
        <w:rPr>
          <w:rFonts w:ascii="Calibri" w:hAnsi="Calibri"/>
          <w:b/>
        </w:rPr>
        <w:t>Hartley R, Aleksandrowicz J, Bowmer CJ, Cawood A, Forsythe WI.  Dissolution and relative bioavailability of two carbamazepine preparations for children with epilepsy. J Pharm Pharmacol 1991; 43: 117—9.</w:t>
      </w:r>
    </w:p>
    <w:p w14:paraId="5C4302C7" w14:textId="77777777" w:rsidR="00B628E6" w:rsidRPr="008A2408" w:rsidRDefault="00B628E6" w:rsidP="00B628E6">
      <w:pPr>
        <w:autoSpaceDE w:val="0"/>
        <w:autoSpaceDN w:val="0"/>
        <w:adjustRightInd w:val="0"/>
        <w:rPr>
          <w:rFonts w:ascii="Calibri" w:hAnsi="Calibri" w:cs="AdvTimes"/>
          <w:b/>
        </w:rPr>
      </w:pPr>
    </w:p>
    <w:p w14:paraId="11CE7C9D" w14:textId="77777777" w:rsidR="00B628E6" w:rsidRPr="00F94896" w:rsidRDefault="00B628E6" w:rsidP="00B628E6">
      <w:pPr>
        <w:rPr>
          <w:rFonts w:ascii="Calibri" w:hAnsi="Calibri"/>
          <w:b/>
        </w:rPr>
      </w:pPr>
      <w:r w:rsidRPr="008A2408">
        <w:rPr>
          <w:rFonts w:ascii="Calibri" w:hAnsi="Calibri"/>
          <w:b/>
        </w:rPr>
        <w:t>Hartley R, Aleksandrowicz J, Ng PC, McLain B, Bowmer CJ, Forsythe WI.   Breakthrough seizures with generic carbamazepine: a consequence of poorer bioavailability? Br J Clin Practice 1990; 44: 270—3.</w:t>
      </w:r>
    </w:p>
    <w:p w14:paraId="398F513A" w14:textId="77777777" w:rsidR="001A1720" w:rsidRDefault="001A1720" w:rsidP="008D0B19">
      <w:pPr>
        <w:pStyle w:val="Heading1"/>
        <w:rPr>
          <w:rFonts w:ascii="Calibri" w:hAnsi="Calibri"/>
          <w:b/>
          <w:color w:val="000000"/>
          <w:sz w:val="24"/>
          <w:szCs w:val="24"/>
        </w:rPr>
      </w:pPr>
    </w:p>
    <w:p w14:paraId="4A2BEEC5" w14:textId="77777777" w:rsidR="001A1720" w:rsidRPr="00BD414C" w:rsidRDefault="001A1720" w:rsidP="001A1720">
      <w:pPr>
        <w:rPr>
          <w:rFonts w:ascii="Calibri" w:hAnsi="Calibri"/>
          <w:b/>
        </w:rPr>
      </w:pPr>
      <w:r w:rsidRPr="00BD414C">
        <w:rPr>
          <w:rFonts w:ascii="Calibri" w:hAnsi="Calibri"/>
          <w:b/>
        </w:rPr>
        <w:t>Hoving</w:t>
      </w:r>
      <w:r w:rsidR="003A4E48">
        <w:rPr>
          <w:rFonts w:ascii="Calibri" w:hAnsi="Calibri"/>
          <w:b/>
        </w:rPr>
        <w:t>a</w:t>
      </w:r>
      <w:r w:rsidRPr="00BD414C">
        <w:rPr>
          <w:rFonts w:ascii="Calibri" w:hAnsi="Calibri"/>
          <w:b/>
          <w:sz w:val="20"/>
          <w:szCs w:val="20"/>
          <w:vertAlign w:val="superscript"/>
        </w:rPr>
        <w:t xml:space="preserve"> </w:t>
      </w:r>
      <w:r w:rsidRPr="00BD414C">
        <w:rPr>
          <w:rFonts w:ascii="Calibri" w:hAnsi="Calibri"/>
          <w:b/>
        </w:rPr>
        <w:t xml:space="preserve">CA, </w:t>
      </w:r>
      <w:r w:rsidRPr="00B628E6">
        <w:rPr>
          <w:rFonts w:ascii="Calibri" w:hAnsi="Calibri"/>
          <w:b/>
        </w:rPr>
        <w:t>Asato MR, Manjunath R, Wheless JW, Phelps SJ, Sheth RD et al. Association of</w:t>
      </w:r>
      <w:r w:rsidR="00B628E6">
        <w:rPr>
          <w:rFonts w:ascii="Calibri" w:hAnsi="Calibri"/>
          <w:b/>
        </w:rPr>
        <w:t xml:space="preserve"> non-adherence </w:t>
      </w:r>
      <w:r w:rsidRPr="00B628E6">
        <w:rPr>
          <w:rFonts w:ascii="Calibri" w:hAnsi="Calibri"/>
          <w:b/>
        </w:rPr>
        <w:t>to antiepileptic drugs and seizures, quality of life, and productivity: Survey of patients with</w:t>
      </w:r>
      <w:r w:rsidR="00B628E6">
        <w:rPr>
          <w:rFonts w:ascii="Calibri" w:hAnsi="Calibri"/>
          <w:b/>
        </w:rPr>
        <w:t xml:space="preserve"> epilepsy </w:t>
      </w:r>
      <w:r w:rsidRPr="00B628E6">
        <w:rPr>
          <w:rFonts w:ascii="Calibri" w:hAnsi="Calibri"/>
          <w:b/>
        </w:rPr>
        <w:t>and</w:t>
      </w:r>
      <w:r w:rsidRPr="00BD414C">
        <w:rPr>
          <w:rFonts w:ascii="Calibri" w:hAnsi="Calibri"/>
          <w:b/>
        </w:rPr>
        <w:t xml:space="preserve"> physicians.  Epilepsy and Behavior Aug 2008; 13 (2): p 316 </w:t>
      </w:r>
      <w:r>
        <w:rPr>
          <w:rFonts w:ascii="Calibri" w:hAnsi="Calibri"/>
          <w:b/>
        </w:rPr>
        <w:t>–</w:t>
      </w:r>
      <w:r w:rsidRPr="00BD414C">
        <w:rPr>
          <w:rFonts w:ascii="Calibri" w:hAnsi="Calibri"/>
          <w:b/>
        </w:rPr>
        <w:t xml:space="preserve"> 322</w:t>
      </w:r>
      <w:r>
        <w:rPr>
          <w:rFonts w:ascii="Calibri" w:hAnsi="Calibri"/>
          <w:b/>
        </w:rPr>
        <w:t>.</w:t>
      </w:r>
    </w:p>
    <w:p w14:paraId="1273C719" w14:textId="77777777" w:rsidR="001A1720" w:rsidRDefault="001A1720" w:rsidP="008D0B19">
      <w:pPr>
        <w:pStyle w:val="Heading1"/>
        <w:rPr>
          <w:rFonts w:ascii="Calibri" w:hAnsi="Calibri"/>
          <w:b/>
          <w:color w:val="000000"/>
          <w:sz w:val="24"/>
          <w:szCs w:val="24"/>
        </w:rPr>
      </w:pPr>
    </w:p>
    <w:p w14:paraId="7EA9C127" w14:textId="77777777" w:rsidR="00EA71A5" w:rsidRDefault="00EA71A5" w:rsidP="00EA71A5">
      <w:pPr>
        <w:autoSpaceDE w:val="0"/>
        <w:autoSpaceDN w:val="0"/>
        <w:adjustRightInd w:val="0"/>
        <w:rPr>
          <w:rFonts w:ascii="AdvTTda6f6cb8.B" w:hAnsi="AdvTTda6f6cb8.B" w:cs="AdvTTda6f6cb8.B"/>
          <w:color w:val="000000"/>
          <w:sz w:val="40"/>
          <w:szCs w:val="40"/>
        </w:rPr>
      </w:pPr>
      <w:r>
        <w:rPr>
          <w:rFonts w:ascii="Calibri" w:hAnsi="Calibri"/>
          <w:b/>
          <w:color w:val="000000"/>
        </w:rPr>
        <w:t xml:space="preserve">Jones RM, Butler JA, Thomas VA, Peveler RC, Prevett M.  Adherence to treatment in patients with epilepsy: Associations with seizure control and illness beliefs.  </w:t>
      </w:r>
    </w:p>
    <w:p w14:paraId="5163E26A" w14:textId="77777777" w:rsidR="00EA71A5" w:rsidRDefault="00EA71A5" w:rsidP="008D0B19">
      <w:pPr>
        <w:pStyle w:val="Heading1"/>
        <w:rPr>
          <w:rFonts w:ascii="Calibri" w:hAnsi="Calibri"/>
          <w:b/>
          <w:color w:val="000000"/>
          <w:sz w:val="24"/>
          <w:szCs w:val="24"/>
        </w:rPr>
      </w:pPr>
      <w:r>
        <w:rPr>
          <w:rFonts w:ascii="Calibri" w:hAnsi="Calibri"/>
          <w:b/>
          <w:color w:val="000000"/>
          <w:sz w:val="24"/>
          <w:szCs w:val="24"/>
        </w:rPr>
        <w:t>Seizure 2006; 15: 504 - 508</w:t>
      </w:r>
    </w:p>
    <w:p w14:paraId="7FF1D00D" w14:textId="77777777" w:rsidR="00EA71A5" w:rsidRDefault="00EA71A5" w:rsidP="008D0B19">
      <w:pPr>
        <w:pStyle w:val="Heading1"/>
        <w:rPr>
          <w:rFonts w:ascii="Calibri" w:hAnsi="Calibri"/>
          <w:b/>
          <w:color w:val="000000"/>
          <w:sz w:val="24"/>
          <w:szCs w:val="24"/>
        </w:rPr>
      </w:pPr>
    </w:p>
    <w:p w14:paraId="7AC770DD" w14:textId="77777777" w:rsidR="00B628E6" w:rsidRDefault="00B628E6" w:rsidP="00B628E6">
      <w:pPr>
        <w:autoSpaceDE w:val="0"/>
        <w:autoSpaceDN w:val="0"/>
        <w:adjustRightInd w:val="0"/>
        <w:rPr>
          <w:rFonts w:ascii="Calibri" w:hAnsi="Calibri"/>
          <w:b/>
          <w:color w:val="000000"/>
        </w:rPr>
      </w:pPr>
      <w:r w:rsidRPr="008E2032">
        <w:rPr>
          <w:rFonts w:ascii="Calibri" w:hAnsi="Calibri"/>
          <w:b/>
          <w:color w:val="000000"/>
        </w:rPr>
        <w:t>Jumao-as A, Bella</w:t>
      </w:r>
      <w:r>
        <w:rPr>
          <w:rFonts w:ascii="Calibri" w:hAnsi="Calibri"/>
          <w:b/>
          <w:color w:val="000000"/>
        </w:rPr>
        <w:t xml:space="preserve"> I</w:t>
      </w:r>
      <w:r w:rsidRPr="008E2032">
        <w:rPr>
          <w:rFonts w:ascii="Calibri" w:hAnsi="Calibri"/>
          <w:b/>
          <w:color w:val="000000"/>
        </w:rPr>
        <w:t>, Cra</w:t>
      </w:r>
      <w:r>
        <w:rPr>
          <w:rFonts w:ascii="Calibri" w:hAnsi="Calibri"/>
          <w:b/>
          <w:color w:val="000000"/>
        </w:rPr>
        <w:t>ig B, Lowe J, and Dasheiff R</w:t>
      </w:r>
      <w:r w:rsidRPr="008E2032">
        <w:rPr>
          <w:rFonts w:ascii="Calibri" w:hAnsi="Calibri"/>
          <w:b/>
          <w:color w:val="000000"/>
        </w:rPr>
        <w:t>M. Comparison of Steady-State Blood Levels of Two Carbamazepine Formulations. Epilepsia 1989</w:t>
      </w:r>
      <w:r>
        <w:rPr>
          <w:rFonts w:ascii="Calibri" w:hAnsi="Calibri"/>
          <w:b/>
          <w:color w:val="000000"/>
        </w:rPr>
        <w:t>;</w:t>
      </w:r>
      <w:r w:rsidRPr="008E2032">
        <w:rPr>
          <w:rFonts w:ascii="Calibri" w:hAnsi="Calibri"/>
          <w:b/>
          <w:color w:val="000000"/>
        </w:rPr>
        <w:t xml:space="preserve"> 30</w:t>
      </w:r>
      <w:r>
        <w:rPr>
          <w:rFonts w:ascii="Calibri" w:hAnsi="Calibri"/>
          <w:b/>
          <w:color w:val="000000"/>
        </w:rPr>
        <w:t xml:space="preserve">: </w:t>
      </w:r>
      <w:r w:rsidRPr="008E2032">
        <w:rPr>
          <w:rFonts w:ascii="Calibri" w:hAnsi="Calibri"/>
          <w:b/>
          <w:color w:val="000000"/>
        </w:rPr>
        <w:t xml:space="preserve">67 </w:t>
      </w:r>
      <w:r>
        <w:rPr>
          <w:rFonts w:ascii="Calibri" w:hAnsi="Calibri"/>
          <w:b/>
          <w:color w:val="000000"/>
        </w:rPr>
        <w:t>–</w:t>
      </w:r>
      <w:r w:rsidRPr="008E2032">
        <w:rPr>
          <w:rFonts w:ascii="Calibri" w:hAnsi="Calibri"/>
          <w:b/>
          <w:color w:val="000000"/>
        </w:rPr>
        <w:t xml:space="preserve"> 70</w:t>
      </w:r>
      <w:r>
        <w:rPr>
          <w:rFonts w:ascii="Calibri" w:hAnsi="Calibri"/>
          <w:b/>
          <w:color w:val="000000"/>
        </w:rPr>
        <w:t>.</w:t>
      </w:r>
    </w:p>
    <w:p w14:paraId="5041CF16" w14:textId="77777777" w:rsidR="00FD69A1" w:rsidRDefault="00FD69A1" w:rsidP="00B628E6">
      <w:pPr>
        <w:autoSpaceDE w:val="0"/>
        <w:autoSpaceDN w:val="0"/>
        <w:adjustRightInd w:val="0"/>
        <w:rPr>
          <w:rFonts w:ascii="Calibri" w:hAnsi="Calibri"/>
          <w:b/>
          <w:color w:val="000000"/>
        </w:rPr>
      </w:pPr>
    </w:p>
    <w:p w14:paraId="07B26220" w14:textId="08212F17" w:rsidR="00FD69A1" w:rsidRPr="006C7EBE" w:rsidRDefault="00FD69A1" w:rsidP="00FD69A1">
      <w:pPr>
        <w:autoSpaceDE w:val="0"/>
        <w:autoSpaceDN w:val="0"/>
        <w:adjustRightInd w:val="0"/>
        <w:rPr>
          <w:rFonts w:ascii="Calibri" w:hAnsi="Calibri" w:cs="AdvP1484"/>
          <w:b/>
          <w:lang w:val="en-US"/>
        </w:rPr>
      </w:pPr>
      <w:r w:rsidRPr="002D4AD7">
        <w:rPr>
          <w:rFonts w:ascii="Calibri" w:hAnsi="Calibri" w:cs="AdvPalI"/>
          <w:b/>
        </w:rPr>
        <w:t>Kesselheim AS,</w:t>
      </w:r>
      <w:r w:rsidRPr="002D4AD7">
        <w:rPr>
          <w:rFonts w:ascii="Calibri" w:hAnsi="Calibri" w:cs="AdvPalR"/>
          <w:b/>
        </w:rPr>
        <w:t xml:space="preserve"> </w:t>
      </w:r>
      <w:r w:rsidRPr="002D4AD7">
        <w:rPr>
          <w:rFonts w:ascii="Calibri" w:hAnsi="Calibri" w:cs="AdvPalI"/>
          <w:b/>
        </w:rPr>
        <w:t>Stedman MR,</w:t>
      </w:r>
      <w:r w:rsidRPr="002D4AD7">
        <w:rPr>
          <w:rFonts w:ascii="Calibri" w:hAnsi="Calibri" w:cs="AdvPalR"/>
          <w:b/>
        </w:rPr>
        <w:t xml:space="preserve"> </w:t>
      </w:r>
      <w:r w:rsidRPr="002D4AD7">
        <w:rPr>
          <w:rFonts w:ascii="Calibri" w:hAnsi="Calibri" w:cs="AdvPalI"/>
          <w:b/>
        </w:rPr>
        <w:t>Bubrick EJ,</w:t>
      </w:r>
      <w:r w:rsidRPr="002D4AD7">
        <w:rPr>
          <w:rFonts w:ascii="Calibri" w:hAnsi="Calibri" w:cs="AdvPalR"/>
          <w:b/>
        </w:rPr>
        <w:t xml:space="preserve"> </w:t>
      </w:r>
      <w:r w:rsidRPr="002D4AD7">
        <w:rPr>
          <w:rFonts w:ascii="Calibri" w:hAnsi="Calibri" w:cs="AdvPalI"/>
          <w:b/>
        </w:rPr>
        <w:t>Gagne JJ, Misono AS,</w:t>
      </w:r>
      <w:r w:rsidRPr="002D4AD7">
        <w:rPr>
          <w:rFonts w:ascii="Calibri" w:hAnsi="Calibri" w:cs="AdvPalR"/>
          <w:b/>
        </w:rPr>
        <w:t xml:space="preserve"> </w:t>
      </w:r>
      <w:r w:rsidRPr="002D4AD7">
        <w:rPr>
          <w:rFonts w:ascii="Calibri" w:hAnsi="Calibri" w:cs="AdvPalI"/>
          <w:b/>
        </w:rPr>
        <w:t>Lee JL,</w:t>
      </w:r>
      <w:r w:rsidRPr="002D4AD7">
        <w:rPr>
          <w:rFonts w:ascii="Calibri" w:hAnsi="Calibri" w:cs="AdvPalR"/>
          <w:b/>
        </w:rPr>
        <w:t xml:space="preserve"> </w:t>
      </w:r>
      <w:r w:rsidRPr="002D4AD7">
        <w:rPr>
          <w:rFonts w:ascii="Calibri" w:hAnsi="Calibri" w:cs="AdvPalI"/>
          <w:b/>
        </w:rPr>
        <w:t>Brookhart MA,</w:t>
      </w:r>
      <w:r w:rsidRPr="002D4AD7">
        <w:rPr>
          <w:rFonts w:ascii="Calibri" w:hAnsi="Calibri" w:cs="AdvPalR"/>
          <w:b/>
        </w:rPr>
        <w:t xml:space="preserve"> </w:t>
      </w:r>
      <w:r w:rsidRPr="002D4AD7">
        <w:rPr>
          <w:rFonts w:ascii="Calibri" w:hAnsi="Calibri" w:cs="AdvPalI"/>
          <w:b/>
        </w:rPr>
        <w:t>Avorn</w:t>
      </w:r>
      <w:r w:rsidRPr="002D4AD7">
        <w:rPr>
          <w:rFonts w:ascii="Calibri" w:hAnsi="Calibri" w:cs="AdvPalR"/>
          <w:b/>
        </w:rPr>
        <w:t xml:space="preserve"> </w:t>
      </w:r>
      <w:r w:rsidRPr="002D4AD7">
        <w:rPr>
          <w:rFonts w:ascii="Calibri" w:hAnsi="Calibri" w:cs="AdvPalI"/>
          <w:b/>
        </w:rPr>
        <w:t>J</w:t>
      </w:r>
      <w:r w:rsidRPr="002D4AD7">
        <w:rPr>
          <w:rFonts w:ascii="Calibri" w:hAnsi="Calibri" w:cs="AdvPalR"/>
          <w:b/>
        </w:rPr>
        <w:t xml:space="preserve">, </w:t>
      </w:r>
      <w:r w:rsidRPr="002D4AD7">
        <w:rPr>
          <w:rFonts w:ascii="Calibri" w:hAnsi="Calibri" w:cs="AdvPalI"/>
          <w:b/>
        </w:rPr>
        <w:t>Shrank WH.</w:t>
      </w:r>
      <w:r w:rsidRPr="002D4AD7">
        <w:rPr>
          <w:rFonts w:ascii="Calibri" w:hAnsi="Calibri" w:cs="AdvPalB"/>
          <w:b/>
        </w:rPr>
        <w:t xml:space="preserve"> Seizure Outcomes Following the Use of Generic versus Brand-Name Antiepileptic Drugs A Systematic Review and Meta-Analysis.  </w:t>
      </w:r>
      <w:r w:rsidRPr="006C7EBE">
        <w:rPr>
          <w:rFonts w:ascii="Calibri" w:hAnsi="Calibri" w:cs="AdvP1484"/>
          <w:b/>
          <w:lang w:val="en-US"/>
        </w:rPr>
        <w:t>Drugs 2010; 70 (5): 605-621.</w:t>
      </w:r>
    </w:p>
    <w:p w14:paraId="7C182E43" w14:textId="77777777" w:rsidR="00AA6483" w:rsidRPr="006C7EBE" w:rsidRDefault="00AA6483" w:rsidP="00FD69A1">
      <w:pPr>
        <w:autoSpaceDE w:val="0"/>
        <w:autoSpaceDN w:val="0"/>
        <w:adjustRightInd w:val="0"/>
        <w:rPr>
          <w:rFonts w:ascii="Calibri" w:hAnsi="Calibri" w:cs="AdvP1484"/>
          <w:b/>
          <w:lang w:val="en-US"/>
        </w:rPr>
      </w:pPr>
    </w:p>
    <w:p w14:paraId="662DDA6B" w14:textId="77777777" w:rsidR="00AA6483" w:rsidRPr="006C7EBE" w:rsidRDefault="00AA6483" w:rsidP="00AA6483">
      <w:pPr>
        <w:rPr>
          <w:rFonts w:ascii="Calibri" w:hAnsi="Calibri" w:cs="Calibri"/>
          <w:b/>
          <w:bCs/>
          <w:color w:val="000000"/>
          <w:lang w:val="de-DE"/>
        </w:rPr>
      </w:pPr>
      <w:r w:rsidRPr="00AA6483">
        <w:rPr>
          <w:rFonts w:ascii="Calibri" w:hAnsi="Calibri" w:cs="Calibri"/>
          <w:b/>
          <w:bCs/>
          <w:color w:val="000000"/>
          <w:lang w:val="en-US"/>
        </w:rPr>
        <w:t xml:space="preserve">Kesselheim A et al.  Switching generic antiepileptic drug manufacturer not linked to seizures A case-crossover study.  </w:t>
      </w:r>
      <w:r w:rsidRPr="006C7EBE">
        <w:rPr>
          <w:rFonts w:ascii="Calibri" w:hAnsi="Calibri" w:cs="Calibri"/>
          <w:b/>
          <w:bCs/>
          <w:color w:val="000000"/>
          <w:lang w:val="de-DE"/>
        </w:rPr>
        <w:t>Neurology 2016;87:1796–1801.</w:t>
      </w:r>
    </w:p>
    <w:p w14:paraId="616B2503" w14:textId="77777777" w:rsidR="00162981" w:rsidRPr="00E4422A" w:rsidRDefault="00162981" w:rsidP="00B628E6">
      <w:pPr>
        <w:autoSpaceDE w:val="0"/>
        <w:autoSpaceDN w:val="0"/>
        <w:adjustRightInd w:val="0"/>
        <w:rPr>
          <w:rFonts w:ascii="Calibri" w:hAnsi="Calibri"/>
          <w:b/>
          <w:color w:val="000000"/>
          <w:lang w:val="de-DE"/>
        </w:rPr>
      </w:pPr>
    </w:p>
    <w:p w14:paraId="6677D78D" w14:textId="77777777" w:rsidR="00162981" w:rsidRPr="00E068DA" w:rsidRDefault="00162981" w:rsidP="00162981">
      <w:pPr>
        <w:rPr>
          <w:rFonts w:ascii="Calibri" w:hAnsi="Calibri"/>
        </w:rPr>
      </w:pPr>
      <w:r w:rsidRPr="00E4422A">
        <w:rPr>
          <w:rStyle w:val="Strong"/>
          <w:rFonts w:ascii="Calibri" w:hAnsi="Calibri"/>
          <w:bCs w:val="0"/>
          <w:lang w:val="de-DE"/>
        </w:rPr>
        <w:t>Kinikar SA, Delate T, Menaker-Wiener CM, Bentley</w:t>
      </w:r>
      <w:r w:rsidRPr="00E4422A">
        <w:rPr>
          <w:rFonts w:ascii="Calibri" w:hAnsi="Calibri"/>
          <w:lang w:val="de-DE"/>
        </w:rPr>
        <w:t xml:space="preserve"> </w:t>
      </w:r>
      <w:r w:rsidRPr="00E4422A">
        <w:rPr>
          <w:rStyle w:val="Strong"/>
          <w:rFonts w:ascii="Calibri" w:hAnsi="Calibri"/>
          <w:bCs w:val="0"/>
          <w:lang w:val="de-DE"/>
        </w:rPr>
        <w:t xml:space="preserve">WH.  </w:t>
      </w:r>
      <w:r>
        <w:rPr>
          <w:rFonts w:ascii="Calibri" w:hAnsi="Calibri"/>
          <w:b/>
        </w:rPr>
        <w:t>Clinical Outcomes associated with brand-to-generic p</w:t>
      </w:r>
      <w:r w:rsidRPr="00E068DA">
        <w:rPr>
          <w:rFonts w:ascii="Calibri" w:hAnsi="Calibri"/>
          <w:b/>
        </w:rPr>
        <w:t>henytoin Interchange.</w:t>
      </w:r>
      <w:r w:rsidRPr="00E068DA">
        <w:rPr>
          <w:rFonts w:ascii="Calibri" w:hAnsi="Calibri"/>
        </w:rPr>
        <w:t xml:space="preserve">  </w:t>
      </w:r>
      <w:r w:rsidRPr="00E068DA">
        <w:rPr>
          <w:rStyle w:val="Strong"/>
          <w:rFonts w:ascii="Calibri" w:hAnsi="Calibri"/>
          <w:bCs w:val="0"/>
        </w:rPr>
        <w:t>Ann</w:t>
      </w:r>
      <w:r>
        <w:rPr>
          <w:rStyle w:val="Strong"/>
          <w:rFonts w:ascii="Calibri" w:hAnsi="Calibri"/>
          <w:bCs w:val="0"/>
        </w:rPr>
        <w:t xml:space="preserve"> </w:t>
      </w:r>
      <w:r w:rsidRPr="00E068DA">
        <w:rPr>
          <w:rStyle w:val="Strong"/>
          <w:rFonts w:ascii="Calibri" w:hAnsi="Calibri"/>
          <w:bCs w:val="0"/>
        </w:rPr>
        <w:t>Pharmacother May 2012;</w:t>
      </w:r>
      <w:r>
        <w:rPr>
          <w:rStyle w:val="Strong"/>
          <w:rFonts w:ascii="Calibri" w:hAnsi="Calibri"/>
          <w:bCs w:val="0"/>
        </w:rPr>
        <w:t xml:space="preserve"> </w:t>
      </w:r>
      <w:r w:rsidRPr="00E068DA">
        <w:rPr>
          <w:rStyle w:val="Strong"/>
          <w:rFonts w:ascii="Calibri" w:hAnsi="Calibri"/>
          <w:bCs w:val="0"/>
        </w:rPr>
        <w:t>46</w:t>
      </w:r>
      <w:r>
        <w:rPr>
          <w:rStyle w:val="Strong"/>
          <w:rFonts w:ascii="Calibri" w:hAnsi="Calibri"/>
          <w:bCs w:val="0"/>
        </w:rPr>
        <w:t xml:space="preserve"> </w:t>
      </w:r>
      <w:r w:rsidRPr="00E068DA">
        <w:rPr>
          <w:rStyle w:val="Strong"/>
          <w:rFonts w:ascii="Calibri" w:hAnsi="Calibri"/>
          <w:bCs w:val="0"/>
        </w:rPr>
        <w:t>(5):</w:t>
      </w:r>
      <w:r>
        <w:rPr>
          <w:rStyle w:val="Strong"/>
          <w:rFonts w:ascii="Calibri" w:hAnsi="Calibri"/>
          <w:bCs w:val="0"/>
        </w:rPr>
        <w:t xml:space="preserve"> </w:t>
      </w:r>
      <w:r w:rsidRPr="00E068DA">
        <w:rPr>
          <w:rStyle w:val="Strong"/>
          <w:rFonts w:ascii="Calibri" w:hAnsi="Calibri"/>
          <w:bCs w:val="0"/>
        </w:rPr>
        <w:t>650-658</w:t>
      </w:r>
      <w:r>
        <w:rPr>
          <w:rStyle w:val="Strong"/>
          <w:rFonts w:ascii="Calibri" w:hAnsi="Calibri"/>
          <w:bCs w:val="0"/>
        </w:rPr>
        <w:t>.</w:t>
      </w:r>
      <w:r w:rsidRPr="00E068DA">
        <w:rPr>
          <w:rStyle w:val="Strong"/>
          <w:rFonts w:ascii="Calibri" w:hAnsi="Calibri"/>
          <w:bCs w:val="0"/>
        </w:rPr>
        <w:t xml:space="preserve"> </w:t>
      </w:r>
    </w:p>
    <w:p w14:paraId="1E9538E8" w14:textId="77777777" w:rsidR="00DF4A56" w:rsidRDefault="00DF4A56" w:rsidP="00B628E6">
      <w:pPr>
        <w:autoSpaceDE w:val="0"/>
        <w:autoSpaceDN w:val="0"/>
        <w:adjustRightInd w:val="0"/>
        <w:rPr>
          <w:rFonts w:ascii="Calibri" w:hAnsi="Calibri"/>
          <w:b/>
          <w:color w:val="000000"/>
        </w:rPr>
      </w:pPr>
    </w:p>
    <w:p w14:paraId="5DB4D959" w14:textId="77777777" w:rsidR="008726A2" w:rsidRPr="00C93700" w:rsidRDefault="008726A2" w:rsidP="008726A2">
      <w:pPr>
        <w:rPr>
          <w:rFonts w:ascii="Calibri" w:hAnsi="Calibri"/>
          <w:b/>
          <w:lang w:val="de-DE"/>
        </w:rPr>
      </w:pPr>
      <w:r w:rsidRPr="00711504">
        <w:rPr>
          <w:rFonts w:ascii="Calibri" w:hAnsi="Calibri"/>
          <w:b/>
        </w:rPr>
        <w:t xml:space="preserve">Koch G, Allen JP. Untoward effects of generic carbamazepine therapy. </w:t>
      </w:r>
      <w:r w:rsidRPr="00C93700">
        <w:rPr>
          <w:rFonts w:ascii="Calibri" w:hAnsi="Calibri"/>
          <w:b/>
          <w:lang w:val="de-DE"/>
        </w:rPr>
        <w:t>Arch Neurol 1978; 44: 578—9.</w:t>
      </w:r>
    </w:p>
    <w:p w14:paraId="7E030697" w14:textId="77777777" w:rsidR="008726A2" w:rsidRPr="00C93700" w:rsidRDefault="008726A2" w:rsidP="008726A2">
      <w:pPr>
        <w:rPr>
          <w:rFonts w:ascii="Calibri" w:hAnsi="Calibri"/>
          <w:b/>
          <w:lang w:val="de-DE"/>
        </w:rPr>
      </w:pPr>
    </w:p>
    <w:p w14:paraId="5520D833" w14:textId="77777777" w:rsidR="00F104C0" w:rsidRPr="00F104C0" w:rsidRDefault="00F104C0" w:rsidP="00B628E6">
      <w:pPr>
        <w:autoSpaceDE w:val="0"/>
        <w:autoSpaceDN w:val="0"/>
        <w:adjustRightInd w:val="0"/>
        <w:rPr>
          <w:rFonts w:ascii="Calibri" w:hAnsi="Calibri"/>
          <w:b/>
          <w:color w:val="000000"/>
        </w:rPr>
      </w:pPr>
      <w:r w:rsidRPr="00C93700">
        <w:rPr>
          <w:rFonts w:ascii="Calibri" w:hAnsi="Calibri"/>
          <w:b/>
          <w:color w:val="000000"/>
          <w:lang w:val="de-DE"/>
        </w:rPr>
        <w:t xml:space="preserve">Kramer G, Steinhoff BJ, Feucht M, Pfafflin M, May TW.  </w:t>
      </w:r>
      <w:r w:rsidRPr="00F104C0">
        <w:rPr>
          <w:rFonts w:ascii="Calibri" w:hAnsi="Calibri" w:cs="Times-Bold"/>
          <w:b/>
          <w:bCs/>
          <w:color w:val="000000"/>
        </w:rPr>
        <w:t>Experience with Generic Drugs in Epilepsy Patients:</w:t>
      </w:r>
      <w:r>
        <w:rPr>
          <w:rFonts w:ascii="Calibri" w:hAnsi="Calibri" w:cs="Times-Bold"/>
          <w:b/>
          <w:bCs/>
          <w:color w:val="000000"/>
        </w:rPr>
        <w:t xml:space="preserve"> </w:t>
      </w:r>
      <w:r w:rsidRPr="00F104C0">
        <w:rPr>
          <w:rFonts w:ascii="Calibri" w:hAnsi="Calibri" w:cs="Times-Bold"/>
          <w:b/>
          <w:bCs/>
          <w:color w:val="000000"/>
        </w:rPr>
        <w:t>An Electronic Survey of Members of the German,</w:t>
      </w:r>
      <w:r>
        <w:rPr>
          <w:rFonts w:ascii="Calibri" w:hAnsi="Calibri" w:cs="Times-Bold"/>
          <w:b/>
          <w:bCs/>
          <w:color w:val="000000"/>
        </w:rPr>
        <w:t xml:space="preserve"> </w:t>
      </w:r>
      <w:r w:rsidRPr="00F104C0">
        <w:rPr>
          <w:rFonts w:ascii="Calibri" w:hAnsi="Calibri" w:cs="Times-Bold"/>
          <w:b/>
          <w:bCs/>
          <w:color w:val="000000"/>
        </w:rPr>
        <w:t>Austrian and Swiss Branches of the ILAE</w:t>
      </w:r>
      <w:r>
        <w:rPr>
          <w:rFonts w:ascii="Calibri" w:hAnsi="Calibri" w:cs="Times-Bold"/>
          <w:b/>
          <w:bCs/>
          <w:color w:val="000000"/>
        </w:rPr>
        <w:t xml:space="preserve">.  </w:t>
      </w:r>
      <w:r w:rsidRPr="00F104C0">
        <w:rPr>
          <w:rFonts w:ascii="Calibri" w:hAnsi="Calibri" w:cs="Times-Italic"/>
          <w:b/>
          <w:iCs/>
        </w:rPr>
        <w:t>Epilepsia</w:t>
      </w:r>
      <w:r>
        <w:rPr>
          <w:rFonts w:ascii="Calibri" w:hAnsi="Calibri" w:cs="Times-Italic"/>
          <w:b/>
          <w:iCs/>
        </w:rPr>
        <w:t xml:space="preserve"> </w:t>
      </w:r>
      <w:r w:rsidRPr="00F104C0">
        <w:rPr>
          <w:rFonts w:ascii="Calibri" w:hAnsi="Calibri" w:cs="Times-Italic"/>
          <w:b/>
          <w:iCs/>
        </w:rPr>
        <w:t>2007</w:t>
      </w:r>
      <w:r>
        <w:rPr>
          <w:rFonts w:ascii="Calibri" w:hAnsi="Calibri" w:cs="Times-Italic"/>
          <w:b/>
          <w:iCs/>
        </w:rPr>
        <w:t xml:space="preserve">; </w:t>
      </w:r>
      <w:r w:rsidRPr="00F104C0">
        <w:rPr>
          <w:rFonts w:ascii="Calibri" w:hAnsi="Calibri" w:cs="Times-Italic"/>
          <w:b/>
          <w:iCs/>
        </w:rPr>
        <w:t>48</w:t>
      </w:r>
      <w:r>
        <w:rPr>
          <w:rFonts w:ascii="Calibri" w:hAnsi="Calibri" w:cs="Times-Italic"/>
          <w:b/>
          <w:iCs/>
        </w:rPr>
        <w:t xml:space="preserve"> (</w:t>
      </w:r>
      <w:r w:rsidRPr="00F104C0">
        <w:rPr>
          <w:rFonts w:ascii="Calibri" w:hAnsi="Calibri" w:cs="Times-Italic"/>
          <w:b/>
          <w:iCs/>
        </w:rPr>
        <w:t>3</w:t>
      </w:r>
      <w:r>
        <w:rPr>
          <w:rFonts w:ascii="Calibri" w:hAnsi="Calibri" w:cs="Times-Italic"/>
          <w:b/>
          <w:iCs/>
        </w:rPr>
        <w:t>):</w:t>
      </w:r>
      <w:r w:rsidRPr="00F104C0">
        <w:rPr>
          <w:rFonts w:ascii="Calibri" w:hAnsi="Calibri" w:cs="Times-Italic"/>
          <w:b/>
          <w:iCs/>
        </w:rPr>
        <w:t xml:space="preserve"> </w:t>
      </w:r>
      <w:r>
        <w:rPr>
          <w:rFonts w:ascii="Calibri" w:hAnsi="Calibri" w:cs="Times-Italic"/>
          <w:b/>
          <w:iCs/>
        </w:rPr>
        <w:t>609 – 611.</w:t>
      </w:r>
    </w:p>
    <w:p w14:paraId="6812F46B" w14:textId="77777777" w:rsidR="00F104C0" w:rsidRDefault="00F104C0" w:rsidP="00B628E6">
      <w:pPr>
        <w:autoSpaceDE w:val="0"/>
        <w:autoSpaceDN w:val="0"/>
        <w:adjustRightInd w:val="0"/>
        <w:rPr>
          <w:rFonts w:ascii="Calibri" w:hAnsi="Calibri"/>
          <w:b/>
          <w:color w:val="000000"/>
        </w:rPr>
      </w:pPr>
    </w:p>
    <w:p w14:paraId="3A37892F" w14:textId="77777777" w:rsidR="00DF4A56" w:rsidRDefault="00DF4A56" w:rsidP="00DF4A56">
      <w:pPr>
        <w:rPr>
          <w:rFonts w:ascii="Calibri" w:hAnsi="Calibri" w:cs="AdvAVENIR-H"/>
          <w:b/>
          <w:color w:val="241F20"/>
        </w:rPr>
      </w:pPr>
      <w:r w:rsidRPr="00C17929">
        <w:rPr>
          <w:rFonts w:ascii="Calibri" w:hAnsi="Calibri" w:cs="AdvAVENIR-L"/>
          <w:b/>
        </w:rPr>
        <w:t>Krauss</w:t>
      </w:r>
      <w:r>
        <w:rPr>
          <w:rFonts w:ascii="Calibri" w:hAnsi="Calibri" w:cs="AdvAVENIR-L"/>
          <w:b/>
        </w:rPr>
        <w:t xml:space="preserve"> GL, </w:t>
      </w:r>
      <w:r w:rsidRPr="00C17929">
        <w:rPr>
          <w:rFonts w:ascii="Calibri" w:hAnsi="Calibri" w:cs="AdvAVENIR-L"/>
          <w:b/>
        </w:rPr>
        <w:t>Caffo</w:t>
      </w:r>
      <w:r>
        <w:rPr>
          <w:rFonts w:ascii="Calibri" w:hAnsi="Calibri" w:cs="AdvAVENIR-L"/>
          <w:b/>
        </w:rPr>
        <w:t xml:space="preserve"> B, </w:t>
      </w:r>
      <w:r w:rsidRPr="00C17929">
        <w:rPr>
          <w:rFonts w:ascii="Calibri" w:hAnsi="Calibri" w:cs="AdvAVENIR-L"/>
          <w:b/>
        </w:rPr>
        <w:t>Chang</w:t>
      </w:r>
      <w:r>
        <w:rPr>
          <w:rFonts w:ascii="Calibri" w:hAnsi="Calibri" w:cs="AdvAVENIR-L"/>
          <w:b/>
        </w:rPr>
        <w:t xml:space="preserve"> Y-T</w:t>
      </w:r>
      <w:r w:rsidRPr="00C17929">
        <w:rPr>
          <w:rFonts w:ascii="Calibri" w:hAnsi="Calibri" w:cs="AdvAVENIR-L"/>
          <w:b/>
        </w:rPr>
        <w:t>, Hendrix</w:t>
      </w:r>
      <w:r>
        <w:rPr>
          <w:rFonts w:ascii="Calibri" w:hAnsi="Calibri" w:cs="AdvAVENIR-L"/>
          <w:b/>
        </w:rPr>
        <w:t xml:space="preserve"> C</w:t>
      </w:r>
      <w:r w:rsidRPr="00C17929">
        <w:rPr>
          <w:rFonts w:ascii="Calibri" w:hAnsi="Calibri" w:cs="AdvAVENIR-L"/>
          <w:b/>
        </w:rPr>
        <w:t>W, Chuang</w:t>
      </w:r>
      <w:r>
        <w:rPr>
          <w:rFonts w:ascii="Calibri" w:hAnsi="Calibri" w:cs="AdvAVENIR-L"/>
          <w:b/>
        </w:rPr>
        <w:t xml:space="preserve"> K. </w:t>
      </w:r>
      <w:r w:rsidRPr="00C17929">
        <w:rPr>
          <w:rFonts w:ascii="Calibri" w:hAnsi="Calibri"/>
          <w:b/>
        </w:rPr>
        <w:t xml:space="preserve"> Assessing Bioequivalence of Generic</w:t>
      </w:r>
      <w:r>
        <w:rPr>
          <w:rFonts w:ascii="Calibri" w:hAnsi="Calibri"/>
          <w:b/>
        </w:rPr>
        <w:t xml:space="preserve"> </w:t>
      </w:r>
      <w:r w:rsidRPr="00C17929">
        <w:rPr>
          <w:rFonts w:ascii="Calibri" w:hAnsi="Calibri"/>
          <w:b/>
        </w:rPr>
        <w:t>Antiepilepsy Drugs</w:t>
      </w:r>
      <w:r>
        <w:rPr>
          <w:rFonts w:ascii="Calibri" w:hAnsi="Calibri"/>
          <w:b/>
        </w:rPr>
        <w:t xml:space="preserve">.  </w:t>
      </w:r>
      <w:r w:rsidRPr="00C17929">
        <w:rPr>
          <w:rFonts w:ascii="Calibri" w:hAnsi="Calibri" w:cs="AdvAVENIR-H"/>
          <w:b/>
          <w:color w:val="241F20"/>
        </w:rPr>
        <w:t>A</w:t>
      </w:r>
      <w:r>
        <w:rPr>
          <w:rFonts w:ascii="Calibri" w:hAnsi="Calibri" w:cs="AdvAVENIR-H"/>
          <w:b/>
          <w:color w:val="241F20"/>
        </w:rPr>
        <w:t>nn Neurol Aug</w:t>
      </w:r>
      <w:r w:rsidRPr="00C17929">
        <w:rPr>
          <w:rFonts w:ascii="Calibri" w:hAnsi="Calibri" w:cs="AdvAVENIR-H"/>
          <w:b/>
          <w:color w:val="241F20"/>
        </w:rPr>
        <w:t xml:space="preserve"> 2011;</w:t>
      </w:r>
      <w:r>
        <w:rPr>
          <w:rFonts w:ascii="Calibri" w:hAnsi="Calibri" w:cs="AdvAVENIR-H"/>
          <w:b/>
          <w:color w:val="241F20"/>
        </w:rPr>
        <w:t xml:space="preserve"> </w:t>
      </w:r>
      <w:r w:rsidRPr="00C17929">
        <w:rPr>
          <w:rFonts w:ascii="Calibri" w:hAnsi="Calibri" w:cs="AdvAVENIR-H"/>
          <w:b/>
          <w:color w:val="241F20"/>
        </w:rPr>
        <w:t>70:</w:t>
      </w:r>
      <w:r>
        <w:rPr>
          <w:rFonts w:ascii="Calibri" w:hAnsi="Calibri" w:cs="AdvAVENIR-H"/>
          <w:b/>
          <w:color w:val="241F20"/>
        </w:rPr>
        <w:t xml:space="preserve"> </w:t>
      </w:r>
      <w:r w:rsidRPr="00C17929">
        <w:rPr>
          <w:rFonts w:ascii="Calibri" w:hAnsi="Calibri" w:cs="AdvAVENIR-H"/>
          <w:b/>
          <w:color w:val="241F20"/>
        </w:rPr>
        <w:t>221–228</w:t>
      </w:r>
      <w:r>
        <w:rPr>
          <w:rFonts w:ascii="Calibri" w:hAnsi="Calibri" w:cs="AdvAVENIR-H"/>
          <w:b/>
          <w:color w:val="241F20"/>
        </w:rPr>
        <w:t>.</w:t>
      </w:r>
    </w:p>
    <w:p w14:paraId="7F96A185" w14:textId="77777777" w:rsidR="00B628E6" w:rsidRDefault="00B628E6" w:rsidP="00B628E6">
      <w:pPr>
        <w:autoSpaceDE w:val="0"/>
        <w:autoSpaceDN w:val="0"/>
        <w:adjustRightInd w:val="0"/>
        <w:rPr>
          <w:rFonts w:ascii="Calibri" w:hAnsi="Calibri"/>
          <w:b/>
          <w:color w:val="000000"/>
        </w:rPr>
      </w:pPr>
    </w:p>
    <w:p w14:paraId="50BF562A" w14:textId="77777777" w:rsidR="00D1137E" w:rsidRPr="00C93700" w:rsidRDefault="00D1137E" w:rsidP="00D1137E">
      <w:pPr>
        <w:rPr>
          <w:rFonts w:ascii="Calibri" w:hAnsi="Calibri"/>
          <w:b/>
          <w:color w:val="000000"/>
          <w:lang w:val="fr-FR"/>
        </w:rPr>
      </w:pPr>
      <w:r w:rsidRPr="001219C5">
        <w:rPr>
          <w:rFonts w:ascii="Calibri" w:hAnsi="Calibri"/>
          <w:b/>
          <w:color w:val="000000"/>
        </w:rPr>
        <w:t xml:space="preserve">Kwan P, Schachter SC, Brodie MJ. Current concepts: Drug-resistant epilepsy. </w:t>
      </w:r>
      <w:r w:rsidRPr="00C93700">
        <w:rPr>
          <w:rFonts w:ascii="Calibri" w:hAnsi="Calibri"/>
          <w:b/>
          <w:color w:val="000000"/>
          <w:lang w:val="fr-FR"/>
        </w:rPr>
        <w:t xml:space="preserve">N Eng J Med 8 Sept 2011; 365 (10): 919-926. </w:t>
      </w:r>
    </w:p>
    <w:p w14:paraId="575963FF" w14:textId="77777777" w:rsidR="00B628E6" w:rsidRPr="00C93700" w:rsidRDefault="00B628E6" w:rsidP="00D1137E">
      <w:pPr>
        <w:rPr>
          <w:rFonts w:ascii="Calibri" w:hAnsi="Calibri"/>
          <w:b/>
          <w:color w:val="000000"/>
          <w:lang w:val="fr-FR"/>
        </w:rPr>
      </w:pPr>
    </w:p>
    <w:p w14:paraId="1B5E0634" w14:textId="77777777" w:rsidR="00B628E6" w:rsidRPr="007B0610" w:rsidRDefault="00B628E6" w:rsidP="00B628E6">
      <w:pPr>
        <w:rPr>
          <w:rFonts w:ascii="Calibri" w:hAnsi="Calibri" w:cs="Times-Roman"/>
          <w:b/>
        </w:rPr>
      </w:pPr>
      <w:r w:rsidRPr="00C93700">
        <w:rPr>
          <w:rFonts w:ascii="Calibri" w:hAnsi="Calibri" w:cs="Times-Roman"/>
          <w:b/>
          <w:lang w:val="fr-FR"/>
        </w:rPr>
        <w:t xml:space="preserve">Labiner DM, Paradis PE, Manjunath R, Duh MS, Lafeuille MH, Latrémouille-Viau D et al. </w:t>
      </w:r>
      <w:r w:rsidRPr="007B0610">
        <w:rPr>
          <w:rFonts w:ascii="Calibri" w:hAnsi="Calibri" w:cs="Times-Roman"/>
          <w:b/>
        </w:rPr>
        <w:t>Generic antiepileptic drugs</w:t>
      </w:r>
      <w:r>
        <w:rPr>
          <w:rFonts w:ascii="Calibri" w:hAnsi="Calibri" w:cs="Times-Roman"/>
          <w:b/>
        </w:rPr>
        <w:t xml:space="preserve"> </w:t>
      </w:r>
      <w:r w:rsidRPr="007B0610">
        <w:rPr>
          <w:rFonts w:ascii="Calibri" w:hAnsi="Calibri" w:cs="Times-Roman"/>
          <w:b/>
        </w:rPr>
        <w:t>and associated medical resource utilization in the United States. Neurology</w:t>
      </w:r>
      <w:r>
        <w:rPr>
          <w:rFonts w:ascii="Calibri" w:hAnsi="Calibri" w:cs="Times-Roman"/>
          <w:b/>
        </w:rPr>
        <w:t xml:space="preserve"> 18 May 2010; 74: </w:t>
      </w:r>
      <w:r w:rsidRPr="007B0610">
        <w:rPr>
          <w:rFonts w:ascii="Calibri" w:hAnsi="Calibri" w:cs="Times-Roman"/>
          <w:b/>
        </w:rPr>
        <w:t>1566-74.</w:t>
      </w:r>
    </w:p>
    <w:p w14:paraId="0120C732" w14:textId="77777777" w:rsidR="00B628E6" w:rsidRDefault="00B628E6" w:rsidP="00D1137E">
      <w:pPr>
        <w:rPr>
          <w:rFonts w:ascii="Calibri" w:hAnsi="Calibri"/>
          <w:b/>
          <w:color w:val="000000"/>
        </w:rPr>
      </w:pPr>
    </w:p>
    <w:p w14:paraId="61867585" w14:textId="77777777" w:rsidR="00162981" w:rsidRDefault="00162981" w:rsidP="00162981">
      <w:pPr>
        <w:rPr>
          <w:rFonts w:ascii="Calibri" w:hAnsi="Calibri"/>
          <w:b/>
        </w:rPr>
      </w:pPr>
      <w:r>
        <w:rPr>
          <w:rFonts w:ascii="Calibri" w:hAnsi="Calibri"/>
          <w:b/>
        </w:rPr>
        <w:t>LeLorier J, Duh MS, Paradis P</w:t>
      </w:r>
      <w:r w:rsidRPr="00911F44">
        <w:rPr>
          <w:rFonts w:ascii="Calibri" w:hAnsi="Calibri"/>
          <w:b/>
        </w:rPr>
        <w:t xml:space="preserve">E, Latrémouille-Viau D, Lefebvre P, Manjunath R </w:t>
      </w:r>
      <w:r>
        <w:rPr>
          <w:rFonts w:ascii="Calibri" w:hAnsi="Calibri"/>
          <w:b/>
        </w:rPr>
        <w:t xml:space="preserve">et al. </w:t>
      </w:r>
      <w:r w:rsidRPr="00911F44">
        <w:rPr>
          <w:rFonts w:ascii="Calibri" w:hAnsi="Calibri"/>
          <w:b/>
        </w:rPr>
        <w:t xml:space="preserve"> Economic impact of generic substitution of lamotrigine: projected costs in the US using findings in a Canadian setting.  Cur</w:t>
      </w:r>
      <w:r>
        <w:rPr>
          <w:rFonts w:ascii="Calibri" w:hAnsi="Calibri"/>
          <w:b/>
        </w:rPr>
        <w:t>r</w:t>
      </w:r>
      <w:r w:rsidRPr="00911F44">
        <w:rPr>
          <w:rFonts w:ascii="Calibri" w:hAnsi="Calibri"/>
          <w:b/>
        </w:rPr>
        <w:t xml:space="preserve"> Med Res Opin</w:t>
      </w:r>
      <w:r>
        <w:rPr>
          <w:rFonts w:ascii="Calibri" w:hAnsi="Calibri"/>
          <w:b/>
        </w:rPr>
        <w:t xml:space="preserve"> 2008; </w:t>
      </w:r>
      <w:r w:rsidRPr="00911F44">
        <w:rPr>
          <w:rFonts w:ascii="Calibri" w:hAnsi="Calibri"/>
          <w:b/>
        </w:rPr>
        <w:t xml:space="preserve">24 </w:t>
      </w:r>
      <w:r>
        <w:rPr>
          <w:rFonts w:ascii="Calibri" w:hAnsi="Calibri"/>
          <w:b/>
        </w:rPr>
        <w:t>(</w:t>
      </w:r>
      <w:r w:rsidRPr="00911F44">
        <w:rPr>
          <w:rFonts w:ascii="Calibri" w:hAnsi="Calibri"/>
          <w:b/>
        </w:rPr>
        <w:t>4</w:t>
      </w:r>
      <w:r>
        <w:rPr>
          <w:rFonts w:ascii="Calibri" w:hAnsi="Calibri"/>
          <w:b/>
        </w:rPr>
        <w:t>):</w:t>
      </w:r>
      <w:r w:rsidRPr="00911F44">
        <w:rPr>
          <w:rFonts w:ascii="Calibri" w:hAnsi="Calibri"/>
          <w:b/>
        </w:rPr>
        <w:t xml:space="preserve"> 1069–1081</w:t>
      </w:r>
      <w:r>
        <w:rPr>
          <w:rFonts w:ascii="Calibri" w:hAnsi="Calibri"/>
          <w:b/>
        </w:rPr>
        <w:t>.</w:t>
      </w:r>
    </w:p>
    <w:p w14:paraId="7E575D89" w14:textId="77777777" w:rsidR="00162981" w:rsidRPr="00911F44" w:rsidRDefault="00162981" w:rsidP="00162981">
      <w:pPr>
        <w:rPr>
          <w:rFonts w:ascii="Calibri" w:hAnsi="Calibri"/>
          <w:b/>
        </w:rPr>
      </w:pPr>
    </w:p>
    <w:p w14:paraId="78AC3D7D" w14:textId="53011909" w:rsidR="00B628E6" w:rsidRDefault="00B628E6" w:rsidP="00B628E6">
      <w:pPr>
        <w:shd w:val="clear" w:color="auto" w:fill="FFFFFF"/>
        <w:rPr>
          <w:rFonts w:ascii="Calibri" w:hAnsi="Calibri" w:cs="Meridien-Roman"/>
          <w:b/>
        </w:rPr>
      </w:pPr>
      <w:r w:rsidRPr="00080DAC">
        <w:rPr>
          <w:rFonts w:ascii="Calibri" w:hAnsi="Calibri" w:cs="Meridien-Roman"/>
          <w:b/>
        </w:rPr>
        <w:t xml:space="preserve">LeLorier J, Duh MS, Paradis PE, </w:t>
      </w:r>
      <w:r>
        <w:rPr>
          <w:rFonts w:ascii="Calibri" w:hAnsi="Calibri" w:cs="Meridien-Roman"/>
          <w:b/>
        </w:rPr>
        <w:t xml:space="preserve">Lefebvre P, Weiner J, Manjunath R et al.  </w:t>
      </w:r>
      <w:r w:rsidRPr="00080DAC">
        <w:rPr>
          <w:rFonts w:ascii="Calibri" w:hAnsi="Calibri" w:cs="Meridien-Roman"/>
          <w:b/>
        </w:rPr>
        <w:t>Clinical consequences</w:t>
      </w:r>
      <w:r>
        <w:rPr>
          <w:rFonts w:ascii="Calibri" w:hAnsi="Calibri" w:cs="Meridien-Roman"/>
          <w:b/>
        </w:rPr>
        <w:t xml:space="preserve"> </w:t>
      </w:r>
      <w:r w:rsidRPr="00080DAC">
        <w:rPr>
          <w:rFonts w:ascii="Calibri" w:hAnsi="Calibri" w:cs="Meridien-Roman"/>
          <w:b/>
        </w:rPr>
        <w:t>of generic substitution of lamotrigine for patients with</w:t>
      </w:r>
      <w:r>
        <w:rPr>
          <w:rFonts w:ascii="Calibri" w:hAnsi="Calibri" w:cs="Meridien-Roman"/>
          <w:b/>
        </w:rPr>
        <w:t xml:space="preserve"> </w:t>
      </w:r>
      <w:r w:rsidRPr="00080DAC">
        <w:rPr>
          <w:rFonts w:ascii="Calibri" w:hAnsi="Calibri" w:cs="Meridien-Roman"/>
          <w:b/>
        </w:rPr>
        <w:t xml:space="preserve">epilepsy. </w:t>
      </w:r>
      <w:r w:rsidRPr="00080DAC">
        <w:rPr>
          <w:rFonts w:ascii="Calibri" w:hAnsi="Calibri" w:cs="Meridien-Italic"/>
          <w:b/>
          <w:iCs/>
        </w:rPr>
        <w:t xml:space="preserve">Neurology </w:t>
      </w:r>
      <w:r w:rsidRPr="00080DAC">
        <w:rPr>
          <w:rFonts w:ascii="Calibri" w:hAnsi="Calibri" w:cs="Meridien-Roman"/>
          <w:b/>
        </w:rPr>
        <w:t>2008;</w:t>
      </w:r>
      <w:r>
        <w:rPr>
          <w:rFonts w:ascii="Calibri" w:hAnsi="Calibri" w:cs="Meridien-Roman"/>
          <w:b/>
        </w:rPr>
        <w:t xml:space="preserve"> </w:t>
      </w:r>
      <w:r w:rsidRPr="00080DAC">
        <w:rPr>
          <w:rFonts w:ascii="Calibri" w:hAnsi="Calibri" w:cs="Meridien-Bold"/>
          <w:b/>
          <w:bCs/>
        </w:rPr>
        <w:t>70</w:t>
      </w:r>
      <w:r>
        <w:rPr>
          <w:rFonts w:ascii="Calibri" w:hAnsi="Calibri" w:cs="Meridien-Bold"/>
          <w:b/>
          <w:bCs/>
        </w:rPr>
        <w:t xml:space="preserve"> </w:t>
      </w:r>
      <w:r w:rsidRPr="00080DAC">
        <w:rPr>
          <w:rFonts w:ascii="Calibri" w:hAnsi="Calibri" w:cs="Meridien-Roman"/>
          <w:b/>
        </w:rPr>
        <w:t>(22 Pt 2):</w:t>
      </w:r>
      <w:r>
        <w:rPr>
          <w:rFonts w:ascii="Calibri" w:hAnsi="Calibri" w:cs="Meridien-Roman"/>
          <w:b/>
        </w:rPr>
        <w:t xml:space="preserve"> </w:t>
      </w:r>
      <w:r w:rsidRPr="00080DAC">
        <w:rPr>
          <w:rFonts w:ascii="Calibri" w:hAnsi="Calibri" w:cs="Meridien-Roman"/>
          <w:b/>
        </w:rPr>
        <w:t>2179–2186.</w:t>
      </w:r>
    </w:p>
    <w:p w14:paraId="6C2A3F1D" w14:textId="77777777" w:rsidR="00E4422A" w:rsidRDefault="00E4422A" w:rsidP="00B628E6">
      <w:pPr>
        <w:shd w:val="clear" w:color="auto" w:fill="FFFFFF"/>
        <w:rPr>
          <w:rFonts w:ascii="Calibri" w:hAnsi="Calibri" w:cs="Meridien-Roman"/>
          <w:b/>
        </w:rPr>
      </w:pPr>
    </w:p>
    <w:p w14:paraId="25734A96" w14:textId="77777777" w:rsidR="00E4422A" w:rsidRPr="00E4422A" w:rsidRDefault="00E4422A" w:rsidP="00E4422A">
      <w:pPr>
        <w:rPr>
          <w:rFonts w:ascii="Calibri" w:hAnsi="Calibri" w:cs="Calibri"/>
          <w:b/>
          <w:bCs/>
          <w:color w:val="000000"/>
        </w:rPr>
      </w:pPr>
      <w:r w:rsidRPr="00E4422A">
        <w:rPr>
          <w:rFonts w:ascii="Calibri" w:hAnsi="Calibri" w:cs="Calibri"/>
          <w:b/>
          <w:bCs/>
          <w:color w:val="000000"/>
        </w:rPr>
        <w:t>Lessing C.  The Impact on Health Outcomes and Healthcare Utilisation of Switching to Generic Medicines Consequent to Reference Pricing: The Case of Lamotrigine in New Zealand. Appl Health Econ Health Policy (2014) 12:537–546.</w:t>
      </w:r>
    </w:p>
    <w:p w14:paraId="02BFD3D5" w14:textId="77777777" w:rsidR="00B628E6" w:rsidRDefault="00B628E6" w:rsidP="00B628E6">
      <w:pPr>
        <w:rPr>
          <w:rFonts w:ascii="Calibri" w:hAnsi="Calibri"/>
          <w:b/>
          <w:color w:val="000000"/>
        </w:rPr>
      </w:pPr>
    </w:p>
    <w:p w14:paraId="142E49C1" w14:textId="77777777" w:rsidR="00162981" w:rsidRPr="00911F44" w:rsidRDefault="00162981" w:rsidP="00162981">
      <w:pPr>
        <w:autoSpaceDE w:val="0"/>
        <w:autoSpaceDN w:val="0"/>
        <w:adjustRightInd w:val="0"/>
        <w:rPr>
          <w:rFonts w:ascii="Calibri" w:hAnsi="Calibri" w:cs="AdvTimes"/>
          <w:b/>
        </w:rPr>
      </w:pPr>
      <w:r w:rsidRPr="00911F44">
        <w:rPr>
          <w:rFonts w:ascii="Calibri" w:hAnsi="Calibri" w:cs="AdvTimes"/>
          <w:b/>
        </w:rPr>
        <w:t>Makus KG, McCormick J. Identification of adverse reactions that can occur on substitution of generic for branded lamotrigine in patients with epilepsy. Clin  Ther Feb 2007;</w:t>
      </w:r>
      <w:r>
        <w:rPr>
          <w:rFonts w:ascii="Calibri" w:hAnsi="Calibri" w:cs="AdvTimes"/>
          <w:b/>
        </w:rPr>
        <w:t xml:space="preserve"> </w:t>
      </w:r>
      <w:r w:rsidRPr="00911F44">
        <w:rPr>
          <w:rFonts w:ascii="Calibri" w:hAnsi="Calibri" w:cs="AdvTimes"/>
          <w:b/>
        </w:rPr>
        <w:t>29 (2): 334-41</w:t>
      </w:r>
      <w:r>
        <w:rPr>
          <w:rFonts w:ascii="Calibri" w:hAnsi="Calibri" w:cs="AdvTimes"/>
          <w:b/>
        </w:rPr>
        <w:t>.</w:t>
      </w:r>
    </w:p>
    <w:p w14:paraId="4ED02D82" w14:textId="77777777" w:rsidR="00162981" w:rsidRDefault="00162981" w:rsidP="00B628E6">
      <w:pPr>
        <w:rPr>
          <w:rFonts w:ascii="Calibri" w:hAnsi="Calibri"/>
          <w:b/>
          <w:color w:val="000000"/>
        </w:rPr>
      </w:pPr>
    </w:p>
    <w:p w14:paraId="236EAE25" w14:textId="77777777" w:rsidR="00DF4A56" w:rsidRPr="00DF4A56" w:rsidRDefault="00DF4A56" w:rsidP="00DF4A56">
      <w:pPr>
        <w:autoSpaceDE w:val="0"/>
        <w:autoSpaceDN w:val="0"/>
        <w:adjustRightInd w:val="0"/>
        <w:rPr>
          <w:rFonts w:ascii="Calibri" w:hAnsi="Calibri" w:cs="AdvTTe5c5f14d.B"/>
          <w:b/>
          <w:color w:val="000000"/>
        </w:rPr>
      </w:pPr>
      <w:r w:rsidRPr="00DF4A56">
        <w:rPr>
          <w:rFonts w:ascii="Calibri" w:hAnsi="Calibri" w:cs="AdvTTe5c5f14d.B"/>
          <w:b/>
          <w:color w:val="000000"/>
        </w:rPr>
        <w:t>Maliepaard M, Banishki N, Gispen-de Wied CC,</w:t>
      </w:r>
      <w:r w:rsidRPr="00DF4A56">
        <w:rPr>
          <w:rFonts w:ascii="Calibri" w:hAnsi="Calibri" w:cs="AdvP0005"/>
          <w:b/>
          <w:color w:val="000000"/>
        </w:rPr>
        <w:t xml:space="preserve"> </w:t>
      </w:r>
      <w:r w:rsidRPr="00DF4A56">
        <w:rPr>
          <w:rFonts w:ascii="Calibri" w:hAnsi="Calibri" w:cs="AdvTTe5c5f14d.B"/>
          <w:b/>
          <w:color w:val="000000"/>
        </w:rPr>
        <w:t>Teerenstra S, Elferink AJ.</w:t>
      </w:r>
    </w:p>
    <w:p w14:paraId="681B73B7" w14:textId="77777777" w:rsidR="00DF4A56" w:rsidRPr="00DF4A56" w:rsidRDefault="00DF4A56" w:rsidP="00DF4A56">
      <w:pPr>
        <w:autoSpaceDE w:val="0"/>
        <w:autoSpaceDN w:val="0"/>
        <w:adjustRightInd w:val="0"/>
        <w:rPr>
          <w:rFonts w:ascii="Calibri" w:hAnsi="Calibri" w:cs="AdvTT2acb703b"/>
          <w:b/>
          <w:color w:val="000000"/>
        </w:rPr>
      </w:pPr>
      <w:r w:rsidRPr="00DF4A56">
        <w:rPr>
          <w:rFonts w:ascii="Calibri" w:hAnsi="Calibri" w:cs="AdvTTe5c5f14d.B"/>
          <w:b/>
          <w:color w:val="000000"/>
        </w:rPr>
        <w:t xml:space="preserve">Interchangeability of generic anti-epileptic drugs: a quantitative analysis of topiramate and gabapentin. </w:t>
      </w:r>
      <w:r w:rsidRPr="00DF4A56">
        <w:rPr>
          <w:rFonts w:ascii="Calibri" w:hAnsi="Calibri" w:cs="AdvTT2acb703b"/>
          <w:b/>
          <w:color w:val="000000"/>
        </w:rPr>
        <w:t xml:space="preserve"> Eur J Clin Pharmacol 2011; 67: 1007</w:t>
      </w:r>
      <w:r w:rsidRPr="00DF4A56">
        <w:rPr>
          <w:rFonts w:ascii="Calibri" w:hAnsi="Calibri" w:cs="AdvTT2acb703b+20"/>
          <w:b/>
          <w:color w:val="000000"/>
        </w:rPr>
        <w:t>–</w:t>
      </w:r>
      <w:r w:rsidRPr="00DF4A56">
        <w:rPr>
          <w:rFonts w:ascii="Calibri" w:hAnsi="Calibri" w:cs="AdvTT2acb703b"/>
          <w:b/>
          <w:color w:val="000000"/>
        </w:rPr>
        <w:t>1016.</w:t>
      </w:r>
    </w:p>
    <w:p w14:paraId="288E970B" w14:textId="77777777" w:rsidR="00C55177" w:rsidRDefault="00C55177" w:rsidP="00C55177">
      <w:pPr>
        <w:spacing w:after="80"/>
        <w:rPr>
          <w:rFonts w:ascii="Calibri" w:hAnsi="Calibri" w:cs="Calibri"/>
          <w:b/>
          <w:bCs/>
        </w:rPr>
      </w:pPr>
    </w:p>
    <w:p w14:paraId="70909D2D" w14:textId="69FDF442" w:rsidR="00C55177" w:rsidRPr="00C55177" w:rsidRDefault="00C55177" w:rsidP="00C55177">
      <w:pPr>
        <w:spacing w:after="80"/>
        <w:rPr>
          <w:rFonts w:ascii="Calibri" w:hAnsi="Calibri" w:cs="Calibri"/>
          <w:b/>
          <w:bCs/>
        </w:rPr>
      </w:pPr>
      <w:r w:rsidRPr="00C55177">
        <w:rPr>
          <w:rFonts w:ascii="Calibri" w:hAnsi="Calibri" w:cs="Calibri"/>
          <w:b/>
          <w:bCs/>
        </w:rPr>
        <w:t>Markoula S et al.  Brand-to-generic levetiracetam switch in patients with epilepsy in a routine clinical setting. Seizure; May 2017; vol. 48; p. 1-6.</w:t>
      </w:r>
    </w:p>
    <w:p w14:paraId="00332F1E" w14:textId="77777777" w:rsidR="00B628E6" w:rsidRPr="00D1137E" w:rsidRDefault="00B628E6" w:rsidP="00D1137E">
      <w:pPr>
        <w:rPr>
          <w:rFonts w:ascii="Calibri" w:hAnsi="Calibri"/>
          <w:b/>
          <w:color w:val="000000"/>
        </w:rPr>
      </w:pPr>
    </w:p>
    <w:p w14:paraId="46A33A23" w14:textId="7C343434" w:rsidR="00B628E6" w:rsidRDefault="00B628E6" w:rsidP="00B628E6">
      <w:pPr>
        <w:autoSpaceDE w:val="0"/>
        <w:autoSpaceDN w:val="0"/>
        <w:adjustRightInd w:val="0"/>
        <w:rPr>
          <w:rFonts w:ascii="Calibri" w:hAnsi="Calibri" w:cs="TimesNewRomanPS"/>
          <w:b/>
        </w:rPr>
      </w:pPr>
      <w:r w:rsidRPr="00170A10">
        <w:rPr>
          <w:rFonts w:ascii="Calibri" w:hAnsi="Calibri" w:cs="TimesNewRomanPS"/>
          <w:b/>
        </w:rPr>
        <w:t>Mayer T, May TW, Altenmüller DM, Sandmann M, Wolf P.</w:t>
      </w:r>
      <w:r>
        <w:rPr>
          <w:rFonts w:ascii="Calibri" w:hAnsi="Calibri" w:cs="TimesNewRomanPS"/>
          <w:b/>
        </w:rPr>
        <w:t xml:space="preserve"> </w:t>
      </w:r>
      <w:r w:rsidRPr="00170A10">
        <w:rPr>
          <w:rFonts w:ascii="Calibri" w:hAnsi="Calibri" w:cs="TimesNewRomanPS"/>
          <w:b/>
        </w:rPr>
        <w:t xml:space="preserve">Clinical problems with generic antiepileptic drugs. </w:t>
      </w:r>
      <w:r w:rsidRPr="00170A10">
        <w:rPr>
          <w:rFonts w:ascii="Calibri" w:hAnsi="Calibri" w:cs="TimesNewRomanPS-Italic"/>
          <w:b/>
          <w:iCs/>
        </w:rPr>
        <w:t>Clin Invest Drug</w:t>
      </w:r>
      <w:r w:rsidRPr="00170A10">
        <w:rPr>
          <w:rFonts w:ascii="Calibri" w:hAnsi="Calibri" w:cs="TimesNewRomanPS"/>
          <w:b/>
        </w:rPr>
        <w:t>.</w:t>
      </w:r>
      <w:r>
        <w:rPr>
          <w:rFonts w:ascii="Calibri" w:hAnsi="Calibri" w:cs="TimesNewRomanPS"/>
          <w:b/>
        </w:rPr>
        <w:t xml:space="preserve">  Jul 1999; 18 (1): </w:t>
      </w:r>
      <w:r w:rsidRPr="00170A10">
        <w:rPr>
          <w:rFonts w:ascii="Calibri" w:hAnsi="Calibri" w:cs="TimesNewRomanPS"/>
          <w:b/>
        </w:rPr>
        <w:t>17–26.</w:t>
      </w:r>
    </w:p>
    <w:p w14:paraId="79C3B42F" w14:textId="77777777" w:rsidR="00014201" w:rsidRPr="00170A10" w:rsidRDefault="00014201" w:rsidP="00B628E6">
      <w:pPr>
        <w:autoSpaceDE w:val="0"/>
        <w:autoSpaceDN w:val="0"/>
        <w:adjustRightInd w:val="0"/>
        <w:rPr>
          <w:rFonts w:ascii="Calibri" w:hAnsi="Calibri" w:cs="TimesNewRomanPS"/>
          <w:b/>
        </w:rPr>
      </w:pPr>
    </w:p>
    <w:p w14:paraId="21D2AD2C" w14:textId="77777777" w:rsidR="00014201" w:rsidRPr="00014201" w:rsidRDefault="00014201" w:rsidP="00014201">
      <w:pPr>
        <w:spacing w:after="80"/>
        <w:rPr>
          <w:rFonts w:ascii="Calibri" w:hAnsi="Calibri" w:cs="Calibri"/>
          <w:b/>
          <w:bCs/>
        </w:rPr>
      </w:pPr>
      <w:r w:rsidRPr="00014201">
        <w:rPr>
          <w:rFonts w:ascii="Calibri" w:hAnsi="Calibri" w:cs="Calibri"/>
          <w:b/>
          <w:bCs/>
          <w:lang w:val="en-US"/>
        </w:rPr>
        <w:t>Mencaroni E</w:t>
      </w:r>
      <w:r w:rsidRPr="00014201">
        <w:rPr>
          <w:rFonts w:ascii="Calibri" w:hAnsi="Calibri" w:cs="Calibri"/>
          <w:b/>
          <w:bCs/>
        </w:rPr>
        <w:t xml:space="preserve"> et al. Safety of overnight switch from brand-name to generic levetiracetam.</w:t>
      </w:r>
    </w:p>
    <w:p w14:paraId="2A4A3732" w14:textId="77777777" w:rsidR="00014201" w:rsidRPr="00014201" w:rsidRDefault="00014201" w:rsidP="00014201">
      <w:pPr>
        <w:spacing w:after="80"/>
        <w:rPr>
          <w:rFonts w:ascii="Calibri" w:hAnsi="Calibri" w:cs="Calibri"/>
          <w:b/>
          <w:bCs/>
        </w:rPr>
      </w:pPr>
      <w:r w:rsidRPr="00014201">
        <w:rPr>
          <w:rFonts w:ascii="Calibri" w:hAnsi="Calibri" w:cs="Calibri"/>
          <w:b/>
          <w:bCs/>
        </w:rPr>
        <w:t>Clinical Drug Investigation; Jan 2016; vol. 36 (no. 1); p. 87-91.</w:t>
      </w:r>
    </w:p>
    <w:p w14:paraId="7EFA18F2" w14:textId="77777777" w:rsidR="00B628E6" w:rsidRDefault="00B628E6" w:rsidP="00B628E6">
      <w:pPr>
        <w:rPr>
          <w:rFonts w:ascii="Calibri" w:hAnsi="Calibri"/>
          <w:b/>
        </w:rPr>
      </w:pPr>
    </w:p>
    <w:p w14:paraId="5B9BE809" w14:textId="77777777" w:rsidR="00B628E6" w:rsidRPr="00F94896" w:rsidRDefault="00B628E6" w:rsidP="00B628E6">
      <w:pPr>
        <w:rPr>
          <w:rFonts w:ascii="Calibri" w:hAnsi="Calibri"/>
          <w:b/>
        </w:rPr>
      </w:pPr>
      <w:r w:rsidRPr="008A2408">
        <w:rPr>
          <w:rFonts w:ascii="Calibri" w:hAnsi="Calibri"/>
          <w:b/>
        </w:rPr>
        <w:t xml:space="preserve">Meyer MC, Straughn AB, Jarvi EJ, Wood GC, Pelsor FR, Shah VP.  </w:t>
      </w:r>
      <w:r w:rsidRPr="008A2408">
        <w:t xml:space="preserve"> </w:t>
      </w:r>
      <w:r w:rsidRPr="008A2408">
        <w:rPr>
          <w:rFonts w:ascii="Calibri" w:hAnsi="Calibri"/>
          <w:b/>
        </w:rPr>
        <w:t>The bioinequivalence of carbamazepine tablets with a history of clinical failures. Pharm Res 1992; 9: 1612—6.</w:t>
      </w:r>
    </w:p>
    <w:p w14:paraId="07217F4F" w14:textId="77777777" w:rsidR="00B628E6" w:rsidRDefault="00B628E6" w:rsidP="00B628E6">
      <w:pPr>
        <w:rPr>
          <w:rFonts w:ascii="Calibri" w:hAnsi="Calibri"/>
          <w:b/>
          <w:color w:val="000000"/>
        </w:rPr>
      </w:pPr>
    </w:p>
    <w:p w14:paraId="2B1DAB9A" w14:textId="77777777" w:rsidR="00383007" w:rsidRDefault="00B628E6" w:rsidP="00B628E6">
      <w:pPr>
        <w:rPr>
          <w:rFonts w:ascii="Calibri" w:hAnsi="Calibri"/>
          <w:b/>
          <w:color w:val="000000"/>
        </w:rPr>
      </w:pPr>
      <w:r>
        <w:rPr>
          <w:rFonts w:ascii="Calibri" w:hAnsi="Calibri"/>
          <w:b/>
          <w:color w:val="000000"/>
        </w:rPr>
        <w:t>Meyer M</w:t>
      </w:r>
      <w:r w:rsidRPr="00E03443">
        <w:rPr>
          <w:rFonts w:ascii="Calibri" w:hAnsi="Calibri"/>
          <w:b/>
          <w:color w:val="000000"/>
        </w:rPr>
        <w:t>C</w:t>
      </w:r>
      <w:r>
        <w:rPr>
          <w:rFonts w:ascii="Calibri" w:hAnsi="Calibri"/>
          <w:b/>
          <w:color w:val="000000"/>
        </w:rPr>
        <w:t>, Straughn A</w:t>
      </w:r>
      <w:r w:rsidRPr="00E03443">
        <w:rPr>
          <w:rFonts w:ascii="Calibri" w:hAnsi="Calibri"/>
          <w:b/>
          <w:color w:val="000000"/>
        </w:rPr>
        <w:t>B</w:t>
      </w:r>
      <w:r>
        <w:rPr>
          <w:rFonts w:ascii="Calibri" w:hAnsi="Calibri"/>
          <w:b/>
          <w:color w:val="000000"/>
        </w:rPr>
        <w:t>, Mhatre R</w:t>
      </w:r>
      <w:r w:rsidRPr="00E03443">
        <w:rPr>
          <w:rFonts w:ascii="Calibri" w:hAnsi="Calibri"/>
          <w:b/>
          <w:color w:val="000000"/>
        </w:rPr>
        <w:t>M</w:t>
      </w:r>
      <w:r>
        <w:rPr>
          <w:rFonts w:ascii="Calibri" w:hAnsi="Calibri"/>
          <w:b/>
          <w:color w:val="000000"/>
        </w:rPr>
        <w:t>, Shah V</w:t>
      </w:r>
      <w:r w:rsidRPr="00E03443">
        <w:rPr>
          <w:rFonts w:ascii="Calibri" w:hAnsi="Calibri"/>
          <w:b/>
          <w:color w:val="000000"/>
        </w:rPr>
        <w:t>P</w:t>
      </w:r>
      <w:r>
        <w:rPr>
          <w:rFonts w:ascii="Calibri" w:hAnsi="Calibri"/>
          <w:b/>
          <w:color w:val="000000"/>
        </w:rPr>
        <w:t>, Williams R</w:t>
      </w:r>
      <w:r w:rsidRPr="00E03443">
        <w:rPr>
          <w:rFonts w:ascii="Calibri" w:hAnsi="Calibri"/>
          <w:b/>
          <w:color w:val="000000"/>
        </w:rPr>
        <w:t>L</w:t>
      </w:r>
      <w:r>
        <w:rPr>
          <w:rFonts w:ascii="Calibri" w:hAnsi="Calibri"/>
          <w:b/>
          <w:color w:val="000000"/>
        </w:rPr>
        <w:t>, Lesko L</w:t>
      </w:r>
      <w:r w:rsidRPr="00E03443">
        <w:rPr>
          <w:rFonts w:ascii="Calibri" w:hAnsi="Calibri"/>
          <w:b/>
          <w:color w:val="000000"/>
        </w:rPr>
        <w:t>J</w:t>
      </w:r>
      <w:r>
        <w:rPr>
          <w:rFonts w:ascii="Calibri" w:hAnsi="Calibri"/>
          <w:b/>
          <w:color w:val="000000"/>
        </w:rPr>
        <w:t>.</w:t>
      </w:r>
      <w:r w:rsidRPr="00E03443">
        <w:rPr>
          <w:rFonts w:ascii="Calibri" w:hAnsi="Calibri"/>
          <w:b/>
          <w:color w:val="000000"/>
        </w:rPr>
        <w:t xml:space="preserve"> The Relative Bioavailability and In Vivo – In Vitro Correlations for Four Marketed Carbamazepine Tablets.</w:t>
      </w:r>
      <w:r>
        <w:rPr>
          <w:rFonts w:ascii="Calibri" w:hAnsi="Calibri"/>
          <w:b/>
          <w:color w:val="000000"/>
        </w:rPr>
        <w:t xml:space="preserve">  </w:t>
      </w:r>
      <w:r w:rsidRPr="00E03443">
        <w:rPr>
          <w:rFonts w:ascii="Calibri" w:hAnsi="Calibri"/>
          <w:b/>
          <w:color w:val="000000"/>
        </w:rPr>
        <w:t>Pharm Res 1998</w:t>
      </w:r>
      <w:r>
        <w:rPr>
          <w:rFonts w:ascii="Calibri" w:hAnsi="Calibri"/>
          <w:b/>
          <w:color w:val="000000"/>
        </w:rPr>
        <w:t>;</w:t>
      </w:r>
      <w:r w:rsidRPr="00E03443">
        <w:rPr>
          <w:rFonts w:ascii="Calibri" w:hAnsi="Calibri"/>
          <w:b/>
          <w:color w:val="000000"/>
        </w:rPr>
        <w:t xml:space="preserve"> 15</w:t>
      </w:r>
      <w:r>
        <w:rPr>
          <w:rFonts w:ascii="Calibri" w:hAnsi="Calibri"/>
          <w:b/>
          <w:color w:val="000000"/>
        </w:rPr>
        <w:t xml:space="preserve">: </w:t>
      </w:r>
      <w:r w:rsidRPr="00E03443">
        <w:rPr>
          <w:rFonts w:ascii="Calibri" w:hAnsi="Calibri"/>
          <w:b/>
          <w:color w:val="000000"/>
        </w:rPr>
        <w:t xml:space="preserve">1787 </w:t>
      </w:r>
      <w:r>
        <w:rPr>
          <w:rFonts w:ascii="Calibri" w:hAnsi="Calibri"/>
          <w:b/>
          <w:color w:val="000000"/>
        </w:rPr>
        <w:t>–</w:t>
      </w:r>
      <w:r w:rsidRPr="00E03443">
        <w:rPr>
          <w:rFonts w:ascii="Calibri" w:hAnsi="Calibri"/>
          <w:b/>
          <w:color w:val="000000"/>
        </w:rPr>
        <w:t xml:space="preserve"> 91</w:t>
      </w:r>
      <w:r>
        <w:rPr>
          <w:rFonts w:ascii="Calibri" w:hAnsi="Calibri"/>
          <w:b/>
          <w:color w:val="000000"/>
        </w:rPr>
        <w:t>.</w:t>
      </w:r>
    </w:p>
    <w:p w14:paraId="2C4D0BBD" w14:textId="77777777" w:rsidR="00F23530" w:rsidRDefault="00F23530" w:rsidP="00F23530">
      <w:pPr>
        <w:rPr>
          <w:b/>
          <w:color w:val="000000"/>
        </w:rPr>
      </w:pPr>
    </w:p>
    <w:p w14:paraId="416AF341" w14:textId="3F02DA55" w:rsidR="00916852" w:rsidRDefault="00916852" w:rsidP="00916852">
      <w:pPr>
        <w:autoSpaceDE w:val="0"/>
        <w:autoSpaceDN w:val="0"/>
        <w:adjustRightInd w:val="0"/>
        <w:rPr>
          <w:rFonts w:ascii="Calibri" w:hAnsi="Calibri" w:cs="Arial"/>
          <w:b/>
          <w:bCs/>
          <w:color w:val="0B0C0C"/>
          <w:shd w:val="clear" w:color="auto" w:fill="FFFFFF"/>
        </w:rPr>
      </w:pPr>
      <w:r w:rsidRPr="00EC4025">
        <w:rPr>
          <w:rFonts w:ascii="Calibri" w:hAnsi="Calibri" w:cs="Arial"/>
          <w:b/>
          <w:bCs/>
          <w:color w:val="0B0C0C"/>
          <w:shd w:val="clear" w:color="auto" w:fill="FFFFFF"/>
        </w:rPr>
        <w:t>MHRA. Antiepileptic drugs: updated advice on switching between different manufacturers’ products. Drug Safety Update November 2017</w:t>
      </w:r>
      <w:r>
        <w:rPr>
          <w:rFonts w:ascii="Calibri" w:hAnsi="Calibri" w:cs="Arial"/>
          <w:b/>
          <w:bCs/>
          <w:color w:val="0B0C0C"/>
          <w:shd w:val="clear" w:color="auto" w:fill="FFFFFF"/>
        </w:rPr>
        <w:t xml:space="preserve">; </w:t>
      </w:r>
      <w:r w:rsidRPr="00EC4025">
        <w:rPr>
          <w:rFonts w:ascii="Calibri" w:hAnsi="Calibri" w:cs="Arial"/>
          <w:b/>
          <w:bCs/>
          <w:color w:val="0B0C0C"/>
          <w:shd w:val="clear" w:color="auto" w:fill="FFFFFF"/>
        </w:rPr>
        <w:t>11</w:t>
      </w:r>
      <w:r>
        <w:rPr>
          <w:rFonts w:ascii="Calibri" w:hAnsi="Calibri" w:cs="Arial"/>
          <w:b/>
          <w:bCs/>
          <w:color w:val="0B0C0C"/>
          <w:shd w:val="clear" w:color="auto" w:fill="FFFFFF"/>
        </w:rPr>
        <w:t xml:space="preserve"> (</w:t>
      </w:r>
      <w:r w:rsidRPr="00EC4025">
        <w:rPr>
          <w:rFonts w:ascii="Calibri" w:hAnsi="Calibri" w:cs="Arial"/>
          <w:b/>
          <w:bCs/>
          <w:color w:val="0B0C0C"/>
          <w:shd w:val="clear" w:color="auto" w:fill="FFFFFF"/>
        </w:rPr>
        <w:t>4</w:t>
      </w:r>
      <w:r>
        <w:rPr>
          <w:rFonts w:ascii="Calibri" w:hAnsi="Calibri" w:cs="Arial"/>
          <w:b/>
          <w:bCs/>
          <w:color w:val="0B0C0C"/>
          <w:shd w:val="clear" w:color="auto" w:fill="FFFFFF"/>
        </w:rPr>
        <w:t>)</w:t>
      </w:r>
      <w:r w:rsidRPr="00EC4025">
        <w:rPr>
          <w:rFonts w:ascii="Calibri" w:hAnsi="Calibri" w:cs="Arial"/>
          <w:b/>
          <w:bCs/>
          <w:color w:val="0B0C0C"/>
          <w:shd w:val="clear" w:color="auto" w:fill="FFFFFF"/>
        </w:rPr>
        <w:t>: 5.</w:t>
      </w:r>
    </w:p>
    <w:p w14:paraId="6B7EC0EC" w14:textId="77777777" w:rsidR="00916852" w:rsidRPr="00EC4025" w:rsidRDefault="00916852" w:rsidP="00916852">
      <w:pPr>
        <w:autoSpaceDE w:val="0"/>
        <w:autoSpaceDN w:val="0"/>
        <w:adjustRightInd w:val="0"/>
        <w:rPr>
          <w:rFonts w:ascii="Calibri" w:hAnsi="Calibri" w:cs="Arial"/>
          <w:b/>
          <w:bCs/>
          <w:color w:val="000000"/>
        </w:rPr>
      </w:pPr>
    </w:p>
    <w:p w14:paraId="22C80E81" w14:textId="77777777" w:rsidR="00F23530" w:rsidRPr="00AB11E8" w:rsidRDefault="00F23530" w:rsidP="00F23530">
      <w:pPr>
        <w:autoSpaceDE w:val="0"/>
        <w:autoSpaceDN w:val="0"/>
        <w:adjustRightInd w:val="0"/>
        <w:rPr>
          <w:rFonts w:ascii="Calibri" w:hAnsi="Calibri" w:cs="AdvP7B72"/>
          <w:b/>
          <w:color w:val="000000"/>
        </w:rPr>
      </w:pPr>
      <w:r>
        <w:rPr>
          <w:rStyle w:val="Emphasis"/>
          <w:rFonts w:ascii="Calibri" w:hAnsi="Calibri" w:cs="Arial"/>
          <w:b/>
          <w:i w:val="0"/>
          <w:color w:val="000000"/>
        </w:rPr>
        <w:t>Micromedex</w:t>
      </w:r>
      <w:r w:rsidRPr="00AB11E8">
        <w:rPr>
          <w:rStyle w:val="Emphasis"/>
          <w:rFonts w:ascii="Calibri" w:hAnsi="Calibri" w:cs="Arial"/>
          <w:b/>
          <w:i w:val="0"/>
          <w:color w:val="000000"/>
        </w:rPr>
        <w:t xml:space="preserve"> Healthcare Series</w:t>
      </w:r>
      <w:r w:rsidRPr="00AB11E8">
        <w:rPr>
          <w:rFonts w:ascii="Calibri" w:hAnsi="Calibri" w:cs="Arial"/>
          <w:b/>
          <w:color w:val="000000"/>
        </w:rPr>
        <w:t xml:space="preserve"> Intranet. Thomson Reut</w:t>
      </w:r>
      <w:r>
        <w:rPr>
          <w:rFonts w:ascii="Calibri" w:hAnsi="Calibri" w:cs="Arial"/>
          <w:b/>
          <w:color w:val="000000"/>
        </w:rPr>
        <w:t>ers (Healthcare) Inc. Version 2.0</w:t>
      </w:r>
    </w:p>
    <w:p w14:paraId="6FE13138" w14:textId="77777777" w:rsidR="00F23530" w:rsidRDefault="00F23530" w:rsidP="00B628E6">
      <w:pPr>
        <w:rPr>
          <w:rFonts w:ascii="Calibri" w:hAnsi="Calibri"/>
          <w:b/>
          <w:color w:val="000000"/>
        </w:rPr>
      </w:pPr>
    </w:p>
    <w:p w14:paraId="2D2A20B0" w14:textId="77777777" w:rsidR="00162981" w:rsidRPr="002C71DD" w:rsidRDefault="00162981" w:rsidP="00162981">
      <w:pPr>
        <w:autoSpaceDE w:val="0"/>
        <w:autoSpaceDN w:val="0"/>
        <w:adjustRightInd w:val="0"/>
        <w:rPr>
          <w:rFonts w:ascii="Calibri" w:hAnsi="Calibri"/>
          <w:b/>
        </w:rPr>
      </w:pPr>
      <w:r w:rsidRPr="002C71DD">
        <w:rPr>
          <w:rFonts w:ascii="Calibri" w:hAnsi="Calibri"/>
          <w:b/>
        </w:rPr>
        <w:t>Mikati</w:t>
      </w:r>
      <w:r>
        <w:rPr>
          <w:rFonts w:ascii="Calibri" w:hAnsi="Calibri"/>
          <w:b/>
        </w:rPr>
        <w:t xml:space="preserve"> M, </w:t>
      </w:r>
      <w:r w:rsidRPr="002C71DD">
        <w:rPr>
          <w:rFonts w:ascii="Calibri" w:hAnsi="Calibri"/>
          <w:b/>
        </w:rPr>
        <w:t>Bassett</w:t>
      </w:r>
      <w:r>
        <w:rPr>
          <w:rFonts w:ascii="Calibri" w:hAnsi="Calibri"/>
          <w:b/>
        </w:rPr>
        <w:t xml:space="preserve"> N, </w:t>
      </w:r>
      <w:r w:rsidRPr="002C71DD">
        <w:rPr>
          <w:rFonts w:ascii="Calibri" w:hAnsi="Calibri"/>
          <w:b/>
        </w:rPr>
        <w:t>Schachter</w:t>
      </w:r>
      <w:r>
        <w:rPr>
          <w:rFonts w:ascii="Calibri" w:hAnsi="Calibri"/>
          <w:b/>
        </w:rPr>
        <w:t xml:space="preserve"> S.  </w:t>
      </w:r>
      <w:r w:rsidRPr="002C71DD">
        <w:rPr>
          <w:rFonts w:ascii="Calibri" w:hAnsi="Calibri"/>
          <w:b/>
        </w:rPr>
        <w:t>Double-Blind Randomized Study Comparing Brand-Name and Generic Phenytoin Monotherapy</w:t>
      </w:r>
      <w:r>
        <w:rPr>
          <w:rFonts w:ascii="Calibri" w:hAnsi="Calibri"/>
          <w:b/>
        </w:rPr>
        <w:t xml:space="preserve">.  </w:t>
      </w:r>
      <w:r w:rsidRPr="002C71DD">
        <w:rPr>
          <w:rFonts w:ascii="Calibri" w:hAnsi="Calibri"/>
          <w:b/>
          <w:bCs/>
          <w:iCs/>
        </w:rPr>
        <w:t>Epilepsia</w:t>
      </w:r>
      <w:r>
        <w:rPr>
          <w:rFonts w:ascii="Calibri" w:hAnsi="Calibri"/>
          <w:b/>
          <w:bCs/>
          <w:iCs/>
        </w:rPr>
        <w:t xml:space="preserve"> </w:t>
      </w:r>
      <w:r w:rsidRPr="002C71DD">
        <w:rPr>
          <w:rFonts w:ascii="Calibri" w:hAnsi="Calibri"/>
          <w:b/>
          <w:bCs/>
        </w:rPr>
        <w:t>1992</w:t>
      </w:r>
      <w:r>
        <w:rPr>
          <w:rFonts w:ascii="Calibri" w:hAnsi="Calibri"/>
          <w:b/>
          <w:bCs/>
          <w:iCs/>
        </w:rPr>
        <w:t>;</w:t>
      </w:r>
      <w:r w:rsidRPr="002C71DD">
        <w:rPr>
          <w:rFonts w:ascii="Calibri" w:hAnsi="Calibri"/>
          <w:b/>
          <w:bCs/>
          <w:iCs/>
        </w:rPr>
        <w:t xml:space="preserve"> </w:t>
      </w:r>
      <w:r w:rsidRPr="002C71DD">
        <w:rPr>
          <w:rFonts w:ascii="Calibri" w:hAnsi="Calibri"/>
          <w:b/>
          <w:bCs/>
        </w:rPr>
        <w:t>33</w:t>
      </w:r>
      <w:r>
        <w:rPr>
          <w:rFonts w:ascii="Calibri" w:hAnsi="Calibri"/>
          <w:b/>
          <w:bCs/>
        </w:rPr>
        <w:t xml:space="preserve"> </w:t>
      </w:r>
      <w:r w:rsidRPr="002C71DD">
        <w:rPr>
          <w:rFonts w:ascii="Calibri" w:hAnsi="Calibri"/>
          <w:b/>
          <w:bCs/>
        </w:rPr>
        <w:t>(2):</w:t>
      </w:r>
      <w:r>
        <w:rPr>
          <w:rFonts w:ascii="Calibri" w:hAnsi="Calibri"/>
          <w:b/>
          <w:bCs/>
        </w:rPr>
        <w:t xml:space="preserve"> </w:t>
      </w:r>
      <w:r w:rsidRPr="002C71DD">
        <w:rPr>
          <w:rFonts w:ascii="Calibri" w:hAnsi="Calibri"/>
          <w:b/>
          <w:bCs/>
        </w:rPr>
        <w:t>359-365</w:t>
      </w:r>
      <w:r>
        <w:rPr>
          <w:rFonts w:ascii="Calibri" w:hAnsi="Calibri"/>
          <w:b/>
          <w:bCs/>
        </w:rPr>
        <w:t>.</w:t>
      </w:r>
      <w:r w:rsidRPr="002C71DD">
        <w:rPr>
          <w:rFonts w:ascii="Calibri" w:hAnsi="Calibri"/>
          <w:b/>
          <w:bCs/>
        </w:rPr>
        <w:t xml:space="preserve"> </w:t>
      </w:r>
    </w:p>
    <w:p w14:paraId="4434D6C8" w14:textId="5EE179C1" w:rsidR="00DF4A56" w:rsidRPr="00EC4025" w:rsidRDefault="00DF4A56" w:rsidP="00DF4A56">
      <w:pPr>
        <w:autoSpaceDE w:val="0"/>
        <w:autoSpaceDN w:val="0"/>
        <w:adjustRightInd w:val="0"/>
        <w:rPr>
          <w:rFonts w:ascii="Calibri" w:hAnsi="Calibri" w:cs="Arial"/>
          <w:b/>
          <w:bCs/>
          <w:color w:val="000000"/>
        </w:rPr>
      </w:pPr>
    </w:p>
    <w:p w14:paraId="4690318A" w14:textId="77777777" w:rsidR="000C01D8" w:rsidRDefault="000C01D8" w:rsidP="00DF4A56">
      <w:pPr>
        <w:autoSpaceDE w:val="0"/>
        <w:autoSpaceDN w:val="0"/>
        <w:adjustRightInd w:val="0"/>
        <w:rPr>
          <w:rFonts w:ascii="Calibri" w:hAnsi="Calibri" w:cs="Arial"/>
          <w:b/>
          <w:color w:val="000000"/>
        </w:rPr>
      </w:pPr>
    </w:p>
    <w:p w14:paraId="3A207E23" w14:textId="482A0394" w:rsidR="00D63102" w:rsidRDefault="00D1137E" w:rsidP="00DF4A56">
      <w:pPr>
        <w:autoSpaceDE w:val="0"/>
        <w:autoSpaceDN w:val="0"/>
        <w:adjustRightInd w:val="0"/>
        <w:rPr>
          <w:rFonts w:ascii="Calibri" w:hAnsi="Calibri" w:cs="Arial"/>
          <w:b/>
          <w:color w:val="000000"/>
        </w:rPr>
      </w:pPr>
      <w:r w:rsidRPr="00D63102">
        <w:rPr>
          <w:rFonts w:ascii="Calibri" w:hAnsi="Calibri" w:cs="Arial"/>
          <w:b/>
          <w:color w:val="000000"/>
        </w:rPr>
        <w:t>National Institute for Health and Clinical Excellence 2012</w:t>
      </w:r>
      <w:r w:rsidR="00951344">
        <w:rPr>
          <w:rFonts w:ascii="Calibri" w:hAnsi="Calibri" w:cs="Arial"/>
          <w:b/>
          <w:color w:val="000000"/>
        </w:rPr>
        <w:t>. Updated February 2020</w:t>
      </w:r>
      <w:r w:rsidRPr="00D63102">
        <w:rPr>
          <w:rFonts w:ascii="Calibri" w:hAnsi="Calibri" w:cs="Arial"/>
          <w:b/>
          <w:color w:val="000000"/>
        </w:rPr>
        <w:t xml:space="preserve">.  </w:t>
      </w:r>
      <w:r w:rsidR="00327652">
        <w:rPr>
          <w:rFonts w:ascii="Calibri" w:hAnsi="Calibri" w:cs="Arial"/>
          <w:b/>
          <w:color w:val="000000"/>
        </w:rPr>
        <w:t>E</w:t>
      </w:r>
      <w:r w:rsidRPr="00D63102">
        <w:rPr>
          <w:rFonts w:ascii="Calibri" w:hAnsi="Calibri" w:cs="Arial"/>
          <w:b/>
          <w:color w:val="000000"/>
        </w:rPr>
        <w:t>pilepsies: diagnosis and management CG</w:t>
      </w:r>
      <w:r w:rsidRPr="00D63102">
        <w:rPr>
          <w:rFonts w:ascii="Calibri" w:hAnsi="Calibri" w:cs="Arial"/>
          <w:b/>
          <w:bCs/>
          <w:color w:val="000000"/>
        </w:rPr>
        <w:t>137.</w:t>
      </w:r>
      <w:r w:rsidRPr="00D63102">
        <w:rPr>
          <w:rFonts w:ascii="Calibri" w:hAnsi="Calibri" w:cs="Arial"/>
          <w:b/>
          <w:color w:val="000000"/>
        </w:rPr>
        <w:t xml:space="preserve"> London: National Institute for Health and Clinical Excellence.</w:t>
      </w:r>
    </w:p>
    <w:p w14:paraId="0B93E97F" w14:textId="77777777" w:rsidR="00BD414C" w:rsidRDefault="00BD414C" w:rsidP="00D1137E">
      <w:pPr>
        <w:shd w:val="clear" w:color="auto" w:fill="FFFFFF"/>
        <w:spacing w:line="312" w:lineRule="atLeast"/>
        <w:ind w:left="45"/>
        <w:rPr>
          <w:rFonts w:ascii="Calibri" w:hAnsi="Calibri" w:cs="Arial"/>
          <w:b/>
          <w:color w:val="000000"/>
        </w:rPr>
      </w:pPr>
    </w:p>
    <w:p w14:paraId="44716C60" w14:textId="77777777" w:rsidR="00BD414C" w:rsidRDefault="00BD414C" w:rsidP="00D1137E">
      <w:pPr>
        <w:shd w:val="clear" w:color="auto" w:fill="FFFFFF"/>
        <w:spacing w:line="312" w:lineRule="atLeast"/>
        <w:ind w:left="45"/>
        <w:rPr>
          <w:rFonts w:ascii="Calibri" w:hAnsi="Calibri" w:cs="Arial"/>
          <w:b/>
          <w:color w:val="000000"/>
        </w:rPr>
      </w:pPr>
      <w:r>
        <w:rPr>
          <w:rFonts w:ascii="Calibri" w:hAnsi="Calibri" w:cs="Arial"/>
          <w:b/>
          <w:color w:val="000000"/>
        </w:rPr>
        <w:t>National Institute for Health and Clinical Excellence 2009.  Medicines Adherence CG76.  London: National Institute for Health and Clinical Excellence.</w:t>
      </w:r>
    </w:p>
    <w:p w14:paraId="4E578467" w14:textId="77777777" w:rsidR="001A1720" w:rsidRDefault="001A1720" w:rsidP="00D1137E">
      <w:pPr>
        <w:shd w:val="clear" w:color="auto" w:fill="FFFFFF"/>
        <w:spacing w:line="312" w:lineRule="atLeast"/>
        <w:ind w:left="45"/>
        <w:rPr>
          <w:rFonts w:ascii="Calibri" w:hAnsi="Calibri" w:cs="Arial"/>
          <w:b/>
          <w:color w:val="000000"/>
        </w:rPr>
      </w:pPr>
    </w:p>
    <w:p w14:paraId="0E7F41FB" w14:textId="7C338DC9" w:rsidR="001A1720" w:rsidRDefault="001A1720" w:rsidP="001A1720">
      <w:pPr>
        <w:pStyle w:val="CommentText"/>
        <w:rPr>
          <w:rFonts w:ascii="Calibri" w:hAnsi="Calibri"/>
          <w:b/>
          <w:color w:val="000000"/>
          <w:sz w:val="24"/>
          <w:szCs w:val="24"/>
        </w:rPr>
      </w:pPr>
      <w:r w:rsidRPr="00101404">
        <w:rPr>
          <w:rFonts w:ascii="Calibri" w:hAnsi="Calibri"/>
          <w:b/>
          <w:color w:val="000000"/>
          <w:sz w:val="24"/>
          <w:szCs w:val="24"/>
        </w:rPr>
        <w:t xml:space="preserve">National Society for Epilepsy </w:t>
      </w:r>
      <w:r w:rsidR="00855579">
        <w:rPr>
          <w:rFonts w:ascii="Calibri" w:hAnsi="Calibri"/>
          <w:b/>
          <w:color w:val="000000"/>
          <w:sz w:val="24"/>
          <w:szCs w:val="24"/>
        </w:rPr>
        <w:t>November</w:t>
      </w:r>
      <w:r w:rsidR="00855579" w:rsidRPr="00101404">
        <w:rPr>
          <w:rFonts w:ascii="Calibri" w:hAnsi="Calibri"/>
          <w:b/>
          <w:color w:val="000000"/>
          <w:sz w:val="24"/>
          <w:szCs w:val="24"/>
        </w:rPr>
        <w:t xml:space="preserve"> </w:t>
      </w:r>
      <w:r w:rsidRPr="00101404">
        <w:rPr>
          <w:rFonts w:ascii="Calibri" w:hAnsi="Calibri"/>
          <w:b/>
          <w:color w:val="000000"/>
          <w:sz w:val="24"/>
          <w:szCs w:val="24"/>
        </w:rPr>
        <w:t>201</w:t>
      </w:r>
      <w:r w:rsidR="00855579">
        <w:rPr>
          <w:rFonts w:ascii="Calibri" w:hAnsi="Calibri"/>
          <w:b/>
          <w:color w:val="000000"/>
          <w:sz w:val="24"/>
          <w:szCs w:val="24"/>
        </w:rPr>
        <w:t>6</w:t>
      </w:r>
      <w:r w:rsidRPr="00101404">
        <w:rPr>
          <w:rFonts w:ascii="Calibri" w:hAnsi="Calibri"/>
          <w:b/>
          <w:color w:val="000000"/>
          <w:sz w:val="24"/>
          <w:szCs w:val="24"/>
        </w:rPr>
        <w:t>. What is Epilepsy?</w:t>
      </w:r>
      <w:r w:rsidR="00B628E6" w:rsidRPr="00101404">
        <w:rPr>
          <w:rFonts w:ascii="Calibri" w:hAnsi="Calibri"/>
          <w:b/>
          <w:color w:val="000000"/>
          <w:sz w:val="24"/>
          <w:szCs w:val="24"/>
        </w:rPr>
        <w:t xml:space="preserve"> </w:t>
      </w:r>
      <w:r w:rsidRPr="00101404">
        <w:rPr>
          <w:rFonts w:ascii="Calibri" w:hAnsi="Calibri"/>
          <w:b/>
          <w:color w:val="000000"/>
          <w:sz w:val="24"/>
          <w:szCs w:val="24"/>
        </w:rPr>
        <w:t xml:space="preserve"> </w:t>
      </w:r>
      <w:hyperlink r:id="rId18" w:history="1">
        <w:r w:rsidRPr="00101404">
          <w:rPr>
            <w:rStyle w:val="Hyperlink"/>
            <w:rFonts w:ascii="Calibri" w:hAnsi="Calibri"/>
            <w:b/>
            <w:color w:val="000000"/>
            <w:sz w:val="24"/>
            <w:szCs w:val="24"/>
            <w:u w:val="none"/>
          </w:rPr>
          <w:t>www.epilepsysociety.org.uk</w:t>
        </w:r>
      </w:hyperlink>
      <w:r w:rsidR="00B26119" w:rsidRPr="00101404">
        <w:rPr>
          <w:rFonts w:ascii="Calibri" w:hAnsi="Calibri"/>
          <w:b/>
          <w:color w:val="000000"/>
          <w:sz w:val="24"/>
          <w:szCs w:val="24"/>
        </w:rPr>
        <w:t>.</w:t>
      </w:r>
    </w:p>
    <w:p w14:paraId="4312F680" w14:textId="77777777" w:rsidR="00B628E6" w:rsidRDefault="00B628E6" w:rsidP="001A1720">
      <w:pPr>
        <w:pStyle w:val="CommentText"/>
        <w:rPr>
          <w:rFonts w:ascii="Calibri" w:hAnsi="Calibri"/>
          <w:b/>
          <w:color w:val="000000"/>
          <w:sz w:val="24"/>
          <w:szCs w:val="24"/>
        </w:rPr>
      </w:pPr>
    </w:p>
    <w:p w14:paraId="49876ECE" w14:textId="77777777" w:rsidR="00B628E6" w:rsidRDefault="00B628E6" w:rsidP="00B628E6">
      <w:pPr>
        <w:autoSpaceDE w:val="0"/>
        <w:autoSpaceDN w:val="0"/>
        <w:adjustRightInd w:val="0"/>
        <w:rPr>
          <w:rFonts w:ascii="Calibri" w:hAnsi="Calibri"/>
          <w:b/>
        </w:rPr>
      </w:pPr>
      <w:r w:rsidRPr="008A2408">
        <w:rPr>
          <w:rFonts w:ascii="Calibri" w:hAnsi="Calibri"/>
          <w:b/>
        </w:rPr>
        <w:t>Neuvonen PJ. Bioavailability and central side effects of different carbamazepine tablets. Int J Clin Pharmacol Ther Toxicol 1985; 23: 226—332.</w:t>
      </w:r>
    </w:p>
    <w:p w14:paraId="6BB2BAA9" w14:textId="77777777" w:rsidR="00162981" w:rsidRDefault="00162981" w:rsidP="00B628E6">
      <w:pPr>
        <w:autoSpaceDE w:val="0"/>
        <w:autoSpaceDN w:val="0"/>
        <w:adjustRightInd w:val="0"/>
        <w:rPr>
          <w:rFonts w:ascii="Calibri" w:hAnsi="Calibri"/>
          <w:b/>
        </w:rPr>
      </w:pPr>
    </w:p>
    <w:p w14:paraId="42AFDFD4" w14:textId="77777777" w:rsidR="00162981" w:rsidRPr="00911F44" w:rsidRDefault="00162981" w:rsidP="00162981">
      <w:pPr>
        <w:autoSpaceDE w:val="0"/>
        <w:autoSpaceDN w:val="0"/>
        <w:adjustRightInd w:val="0"/>
        <w:rPr>
          <w:rFonts w:ascii="Calibri" w:hAnsi="Calibri" w:cs="AdvGulliv-R"/>
          <w:b/>
        </w:rPr>
      </w:pPr>
      <w:r>
        <w:rPr>
          <w:rFonts w:ascii="Calibri" w:hAnsi="Calibri" w:cs="AdvGulliv-R"/>
          <w:b/>
        </w:rPr>
        <w:t>Nielsen K.A, Dahl M, Tømmerup E</w:t>
      </w:r>
      <w:r w:rsidRPr="00911F44">
        <w:rPr>
          <w:rFonts w:ascii="Calibri" w:hAnsi="Calibri" w:cs="AdvGulliv-R"/>
          <w:b/>
        </w:rPr>
        <w:t>, Wolf P.  Comparative daily profiles with different preparations of lamotrigine: A pilot investigation.  Epilepsy &amp; Behavior 2008</w:t>
      </w:r>
      <w:r>
        <w:rPr>
          <w:rFonts w:ascii="Calibri" w:hAnsi="Calibri" w:cs="AdvGulliv-R"/>
          <w:b/>
        </w:rPr>
        <w:t xml:space="preserve">; </w:t>
      </w:r>
      <w:r w:rsidRPr="00911F44">
        <w:rPr>
          <w:rFonts w:ascii="Calibri" w:hAnsi="Calibri" w:cs="AdvGulliv-R"/>
          <w:b/>
        </w:rPr>
        <w:t>13</w:t>
      </w:r>
      <w:r>
        <w:rPr>
          <w:rFonts w:ascii="Calibri" w:hAnsi="Calibri" w:cs="AdvGulliv-R"/>
          <w:b/>
        </w:rPr>
        <w:t xml:space="preserve">: </w:t>
      </w:r>
      <w:r w:rsidRPr="00911F44">
        <w:rPr>
          <w:rFonts w:ascii="Calibri" w:hAnsi="Calibri" w:cs="AdvGulliv-R"/>
          <w:b/>
        </w:rPr>
        <w:t>127–130</w:t>
      </w:r>
      <w:r>
        <w:rPr>
          <w:rFonts w:ascii="Calibri" w:hAnsi="Calibri" w:cs="AdvGulliv-R"/>
          <w:b/>
        </w:rPr>
        <w:t>.</w:t>
      </w:r>
    </w:p>
    <w:p w14:paraId="702A9A5C" w14:textId="77777777" w:rsidR="00B628E6" w:rsidRPr="00F94896" w:rsidRDefault="00B628E6" w:rsidP="00B628E6">
      <w:pPr>
        <w:autoSpaceDE w:val="0"/>
        <w:autoSpaceDN w:val="0"/>
        <w:adjustRightInd w:val="0"/>
        <w:rPr>
          <w:rFonts w:ascii="Calibri" w:hAnsi="Calibri"/>
          <w:b/>
        </w:rPr>
      </w:pPr>
    </w:p>
    <w:p w14:paraId="2D70AD2A" w14:textId="77777777" w:rsidR="00B628E6" w:rsidRPr="00B036A0" w:rsidRDefault="00B628E6" w:rsidP="00B628E6">
      <w:pPr>
        <w:autoSpaceDE w:val="0"/>
        <w:autoSpaceDN w:val="0"/>
        <w:adjustRightInd w:val="0"/>
        <w:rPr>
          <w:rFonts w:ascii="Calibri" w:hAnsi="Calibri" w:cs="Meridien-Italic"/>
          <w:b/>
          <w:iCs/>
        </w:rPr>
      </w:pPr>
      <w:r w:rsidRPr="00B036A0">
        <w:rPr>
          <w:rFonts w:ascii="Calibri" w:hAnsi="Calibri" w:cs="Meridien-Roman"/>
          <w:b/>
        </w:rPr>
        <w:t>Oles KS, Penry JK, Smith LD, Anderson RL, Dean JC, Riela</w:t>
      </w:r>
      <w:r>
        <w:rPr>
          <w:rFonts w:ascii="Calibri" w:hAnsi="Calibri" w:cs="Meridien-Roman"/>
          <w:b/>
        </w:rPr>
        <w:t xml:space="preserve"> </w:t>
      </w:r>
      <w:r w:rsidRPr="00B036A0">
        <w:rPr>
          <w:rFonts w:ascii="Calibri" w:hAnsi="Calibri" w:cs="Meridien-Roman"/>
          <w:b/>
        </w:rPr>
        <w:t>AR. Therapeutic bioequivalency study of brand name</w:t>
      </w:r>
      <w:r>
        <w:rPr>
          <w:rFonts w:ascii="Calibri" w:hAnsi="Calibri" w:cs="Meridien-Roman"/>
          <w:b/>
        </w:rPr>
        <w:t xml:space="preserve"> </w:t>
      </w:r>
      <w:r w:rsidRPr="00B036A0">
        <w:rPr>
          <w:rFonts w:ascii="Calibri" w:hAnsi="Calibri" w:cs="Meridien-Roman"/>
          <w:b/>
        </w:rPr>
        <w:t xml:space="preserve">versus generic carbamazepine. </w:t>
      </w:r>
      <w:r w:rsidRPr="00B036A0">
        <w:rPr>
          <w:rFonts w:ascii="Calibri" w:hAnsi="Calibri" w:cs="Meridien-Italic"/>
          <w:b/>
          <w:iCs/>
        </w:rPr>
        <w:t>Neurology</w:t>
      </w:r>
    </w:p>
    <w:p w14:paraId="56AFF3E8" w14:textId="77777777" w:rsidR="00B628E6" w:rsidRDefault="00B628E6" w:rsidP="00B628E6">
      <w:pPr>
        <w:autoSpaceDE w:val="0"/>
        <w:autoSpaceDN w:val="0"/>
        <w:adjustRightInd w:val="0"/>
        <w:rPr>
          <w:rFonts w:ascii="Calibri" w:hAnsi="Calibri" w:cs="Meridien-Roman"/>
          <w:b/>
        </w:rPr>
      </w:pPr>
      <w:r w:rsidRPr="00B036A0">
        <w:rPr>
          <w:rFonts w:ascii="Calibri" w:hAnsi="Calibri" w:cs="Meridien-Roman"/>
          <w:b/>
        </w:rPr>
        <w:t>1992;</w:t>
      </w:r>
      <w:r>
        <w:rPr>
          <w:rFonts w:ascii="Calibri" w:hAnsi="Calibri" w:cs="Meridien-Roman"/>
          <w:b/>
        </w:rPr>
        <w:t xml:space="preserve"> </w:t>
      </w:r>
      <w:r w:rsidRPr="00B036A0">
        <w:rPr>
          <w:rFonts w:ascii="Calibri" w:hAnsi="Calibri" w:cs="Meridien-Bold"/>
          <w:b/>
          <w:bCs/>
        </w:rPr>
        <w:t>42</w:t>
      </w:r>
      <w:r w:rsidRPr="00B036A0">
        <w:rPr>
          <w:rFonts w:ascii="Calibri" w:hAnsi="Calibri" w:cs="Meridien-Roman"/>
          <w:b/>
        </w:rPr>
        <w:t>:</w:t>
      </w:r>
      <w:r>
        <w:rPr>
          <w:rFonts w:ascii="Calibri" w:hAnsi="Calibri" w:cs="Meridien-Roman"/>
          <w:b/>
        </w:rPr>
        <w:t xml:space="preserve"> </w:t>
      </w:r>
      <w:r w:rsidRPr="00B036A0">
        <w:rPr>
          <w:rFonts w:ascii="Calibri" w:hAnsi="Calibri" w:cs="Meridien-Roman"/>
          <w:b/>
        </w:rPr>
        <w:t>1147–1153.</w:t>
      </w:r>
    </w:p>
    <w:p w14:paraId="372CE858" w14:textId="77777777" w:rsidR="00B26119" w:rsidRDefault="00B26119" w:rsidP="00B628E6">
      <w:pPr>
        <w:autoSpaceDE w:val="0"/>
        <w:autoSpaceDN w:val="0"/>
        <w:adjustRightInd w:val="0"/>
        <w:rPr>
          <w:rFonts w:ascii="Calibri" w:hAnsi="Calibri" w:cs="Meridien-Roman"/>
          <w:b/>
        </w:rPr>
      </w:pPr>
    </w:p>
    <w:p w14:paraId="50DA425F" w14:textId="77777777" w:rsidR="00B628E6" w:rsidRPr="00E03443" w:rsidRDefault="00B628E6" w:rsidP="00B628E6">
      <w:pPr>
        <w:autoSpaceDE w:val="0"/>
        <w:autoSpaceDN w:val="0"/>
        <w:adjustRightInd w:val="0"/>
        <w:rPr>
          <w:rFonts w:ascii="Calibri" w:hAnsi="Calibri"/>
          <w:b/>
        </w:rPr>
      </w:pPr>
      <w:r w:rsidRPr="00E03443">
        <w:rPr>
          <w:rFonts w:ascii="Calibri" w:hAnsi="Calibri"/>
          <w:b/>
          <w:bCs/>
          <w:color w:val="000000"/>
        </w:rPr>
        <w:t>Olling M, Mensinga TT</w:t>
      </w:r>
      <w:r>
        <w:rPr>
          <w:rFonts w:ascii="Calibri" w:hAnsi="Calibri"/>
          <w:b/>
          <w:bCs/>
          <w:color w:val="000000"/>
        </w:rPr>
        <w:t>, Barends D</w:t>
      </w:r>
      <w:r w:rsidRPr="00E03443">
        <w:rPr>
          <w:rFonts w:ascii="Calibri" w:hAnsi="Calibri"/>
          <w:b/>
          <w:bCs/>
          <w:color w:val="000000"/>
        </w:rPr>
        <w:t>M</w:t>
      </w:r>
      <w:r>
        <w:rPr>
          <w:rFonts w:ascii="Calibri" w:hAnsi="Calibri"/>
          <w:b/>
          <w:bCs/>
          <w:color w:val="000000"/>
        </w:rPr>
        <w:t>, Groen C</w:t>
      </w:r>
      <w:r w:rsidRPr="00E03443">
        <w:rPr>
          <w:rFonts w:ascii="Calibri" w:hAnsi="Calibri"/>
          <w:b/>
          <w:bCs/>
          <w:color w:val="000000"/>
        </w:rPr>
        <w:t>, Lake OA, Meulenbelt J.</w:t>
      </w:r>
      <w:r>
        <w:rPr>
          <w:rFonts w:ascii="Calibri" w:hAnsi="Calibri"/>
          <w:b/>
          <w:bCs/>
          <w:color w:val="000000"/>
        </w:rPr>
        <w:t xml:space="preserve"> </w:t>
      </w:r>
      <w:r w:rsidRPr="00E03443">
        <w:rPr>
          <w:rFonts w:ascii="Calibri" w:hAnsi="Calibri"/>
          <w:b/>
        </w:rPr>
        <w:t>Bioavailability of carbamazepine from four different products and the</w:t>
      </w:r>
    </w:p>
    <w:p w14:paraId="60311E83" w14:textId="77777777" w:rsidR="00B628E6" w:rsidRDefault="00B628E6" w:rsidP="00B628E6">
      <w:pPr>
        <w:autoSpaceDE w:val="0"/>
        <w:autoSpaceDN w:val="0"/>
        <w:adjustRightInd w:val="0"/>
        <w:rPr>
          <w:rFonts w:ascii="Calibri" w:hAnsi="Calibri"/>
          <w:b/>
          <w:color w:val="000000"/>
        </w:rPr>
      </w:pPr>
      <w:r w:rsidRPr="00E03443">
        <w:rPr>
          <w:rFonts w:ascii="Calibri" w:hAnsi="Calibri"/>
          <w:b/>
        </w:rPr>
        <w:t>occurrence of side effects.</w:t>
      </w:r>
      <w:r w:rsidRPr="00E03443">
        <w:rPr>
          <w:rFonts w:ascii="Calibri" w:hAnsi="Calibri" w:cs="Times-Roman"/>
          <w:sz w:val="28"/>
          <w:szCs w:val="28"/>
        </w:rPr>
        <w:t xml:space="preserve"> </w:t>
      </w:r>
      <w:r w:rsidRPr="00E03443">
        <w:rPr>
          <w:rFonts w:ascii="Calibri" w:hAnsi="Calibri"/>
          <w:b/>
          <w:iCs/>
          <w:color w:val="000000"/>
        </w:rPr>
        <w:t>Biopharmaceutics and</w:t>
      </w:r>
      <w:r w:rsidRPr="00E03443">
        <w:rPr>
          <w:rFonts w:ascii="Calibri" w:hAnsi="Calibri"/>
          <w:b/>
          <w:color w:val="000000"/>
        </w:rPr>
        <w:t xml:space="preserve"> </w:t>
      </w:r>
      <w:r w:rsidRPr="00E03443">
        <w:rPr>
          <w:rFonts w:ascii="Calibri" w:hAnsi="Calibri"/>
          <w:b/>
          <w:iCs/>
          <w:color w:val="000000"/>
        </w:rPr>
        <w:t xml:space="preserve">Drug Disposition </w:t>
      </w:r>
      <w:r>
        <w:rPr>
          <w:rFonts w:ascii="Calibri" w:hAnsi="Calibri"/>
          <w:b/>
          <w:color w:val="000000"/>
        </w:rPr>
        <w:t>1999;</w:t>
      </w:r>
      <w:r w:rsidRPr="00E03443">
        <w:rPr>
          <w:rFonts w:ascii="Calibri" w:hAnsi="Calibri"/>
          <w:b/>
          <w:color w:val="000000"/>
        </w:rPr>
        <w:t xml:space="preserve"> </w:t>
      </w:r>
      <w:r w:rsidRPr="00E03443">
        <w:rPr>
          <w:rFonts w:ascii="Calibri" w:hAnsi="Calibri"/>
          <w:b/>
          <w:bCs/>
          <w:color w:val="000000"/>
        </w:rPr>
        <w:t>20</w:t>
      </w:r>
      <w:r w:rsidRPr="00E03443">
        <w:rPr>
          <w:rFonts w:ascii="Calibri" w:hAnsi="Calibri"/>
          <w:b/>
          <w:color w:val="000000"/>
        </w:rPr>
        <w:t>: 19–28</w:t>
      </w:r>
      <w:r w:rsidR="00DF4A56">
        <w:rPr>
          <w:rFonts w:ascii="Calibri" w:hAnsi="Calibri"/>
          <w:b/>
          <w:color w:val="000000"/>
        </w:rPr>
        <w:t>.</w:t>
      </w:r>
      <w:r w:rsidRPr="00E03443">
        <w:rPr>
          <w:rFonts w:ascii="Calibri" w:hAnsi="Calibri"/>
          <w:b/>
          <w:color w:val="000000"/>
        </w:rPr>
        <w:t xml:space="preserve"> </w:t>
      </w:r>
    </w:p>
    <w:p w14:paraId="576C65EC" w14:textId="77777777" w:rsidR="00DF4A56" w:rsidRPr="00E03443" w:rsidRDefault="00DF4A56" w:rsidP="00B628E6">
      <w:pPr>
        <w:autoSpaceDE w:val="0"/>
        <w:autoSpaceDN w:val="0"/>
        <w:adjustRightInd w:val="0"/>
        <w:rPr>
          <w:rFonts w:ascii="Calibri" w:hAnsi="Calibri"/>
          <w:b/>
          <w:color w:val="000000"/>
        </w:rPr>
      </w:pPr>
    </w:p>
    <w:p w14:paraId="748F02DF" w14:textId="77777777" w:rsidR="00095118" w:rsidRPr="00120840" w:rsidRDefault="00095118" w:rsidP="00095118">
      <w:pPr>
        <w:rPr>
          <w:rFonts w:ascii="Calibri" w:hAnsi="Calibri" w:cs="HelveticaNeue-Light"/>
          <w:b/>
          <w:color w:val="000000"/>
          <w:lang w:val="fr-FR"/>
        </w:rPr>
      </w:pPr>
      <w:r w:rsidRPr="00120840">
        <w:rPr>
          <w:rFonts w:ascii="Calibri" w:hAnsi="Calibri" w:cs="TimesNewRomanTur"/>
          <w:b/>
          <w:color w:val="000000"/>
          <w:lang w:val="fr-FR"/>
        </w:rPr>
        <w:t xml:space="preserve">Paradis PE, Latrémouille-Viau D, Lefebvre P, Lafeuille M-H, Mishagina N, Moore Y et al.  </w:t>
      </w:r>
      <w:r w:rsidRPr="00381024">
        <w:rPr>
          <w:rFonts w:ascii="Calibri" w:hAnsi="Calibri" w:cs="HelveticaNeue-Bold"/>
          <w:b/>
          <w:bCs/>
          <w:color w:val="000000"/>
        </w:rPr>
        <w:t xml:space="preserve">Impact of generic substitution of topiramate for patients with epilepsy.  </w:t>
      </w:r>
      <w:r w:rsidRPr="00120840">
        <w:rPr>
          <w:rFonts w:ascii="Calibri" w:hAnsi="Calibri" w:cs="HelveticaNeue-LightItalic"/>
          <w:b/>
          <w:iCs/>
          <w:color w:val="000000"/>
          <w:lang w:val="fr-FR"/>
        </w:rPr>
        <w:t xml:space="preserve">Eur J Neurol </w:t>
      </w:r>
      <w:r w:rsidRPr="00120840">
        <w:rPr>
          <w:rFonts w:ascii="Calibri" w:hAnsi="Calibri" w:cs="HelveticaNeue-Light"/>
          <w:b/>
          <w:color w:val="000000"/>
          <w:lang w:val="fr-FR"/>
        </w:rPr>
        <w:t xml:space="preserve">2009; </w:t>
      </w:r>
      <w:r w:rsidRPr="00120840">
        <w:rPr>
          <w:rFonts w:ascii="Calibri" w:hAnsi="Calibri" w:cs="HelveticaNeue-Medium"/>
          <w:b/>
          <w:bCs/>
          <w:color w:val="000000"/>
          <w:lang w:val="fr-FR"/>
        </w:rPr>
        <w:t xml:space="preserve">16 </w:t>
      </w:r>
      <w:r w:rsidRPr="00120840">
        <w:rPr>
          <w:rFonts w:ascii="Calibri" w:hAnsi="Calibri" w:cs="HelveticaNeue-Light"/>
          <w:b/>
          <w:color w:val="000000"/>
          <w:lang w:val="fr-FR"/>
        </w:rPr>
        <w:t>(Suppl. 3): 55–334.</w:t>
      </w:r>
    </w:p>
    <w:p w14:paraId="2D6E13AF" w14:textId="77777777" w:rsidR="00095118" w:rsidRPr="00120840" w:rsidRDefault="00095118" w:rsidP="00095118">
      <w:pPr>
        <w:rPr>
          <w:rFonts w:ascii="Calibri" w:hAnsi="Calibri" w:cs="HelveticaNeue-Light"/>
          <w:b/>
          <w:color w:val="000000"/>
          <w:lang w:val="fr-FR"/>
        </w:rPr>
      </w:pPr>
    </w:p>
    <w:p w14:paraId="72F5DEFD" w14:textId="77777777" w:rsidR="00095118" w:rsidRPr="00383007" w:rsidRDefault="00095118" w:rsidP="00095118">
      <w:pPr>
        <w:autoSpaceDE w:val="0"/>
        <w:autoSpaceDN w:val="0"/>
        <w:adjustRightInd w:val="0"/>
        <w:rPr>
          <w:rFonts w:ascii="Calibri" w:hAnsi="Calibri" w:cs="Arial"/>
          <w:b/>
          <w:color w:val="000000"/>
        </w:rPr>
      </w:pPr>
      <w:r w:rsidRPr="00120840">
        <w:rPr>
          <w:rFonts w:ascii="Calibri" w:hAnsi="Calibri" w:cs="Arial"/>
          <w:b/>
          <w:color w:val="000000"/>
          <w:lang w:val="fr-FR"/>
        </w:rPr>
        <w:t xml:space="preserve">Paradis PE, </w:t>
      </w:r>
      <w:r w:rsidRPr="00120840">
        <w:rPr>
          <w:rFonts w:ascii="Calibri" w:hAnsi="Calibri" w:cs="TimesNewRomanTur"/>
          <w:b/>
          <w:color w:val="000000"/>
          <w:lang w:val="fr-FR"/>
        </w:rPr>
        <w:t xml:space="preserve">Latrémouille-Viau </w:t>
      </w:r>
      <w:r w:rsidRPr="00120840">
        <w:rPr>
          <w:rFonts w:ascii="Calibri" w:hAnsi="Calibri" w:cs="Arial"/>
          <w:b/>
          <w:color w:val="000000"/>
          <w:lang w:val="fr-FR"/>
        </w:rPr>
        <w:t xml:space="preserve">D, Moore Y, Mishagina N, Lafeuille MH, Lefebvre P et al.  </w:t>
      </w:r>
      <w:r w:rsidRPr="006F2B26">
        <w:rPr>
          <w:rFonts w:ascii="Calibri" w:hAnsi="Calibri" w:cs="Arial"/>
          <w:b/>
          <w:color w:val="000000"/>
        </w:rPr>
        <w:t>Projected economic impact of clinical findings of generic entry of topiramate on G4 European countries.</w:t>
      </w:r>
      <w:r>
        <w:rPr>
          <w:rFonts w:ascii="Calibri" w:hAnsi="Calibri" w:cs="Arial"/>
          <w:b/>
          <w:color w:val="000000"/>
        </w:rPr>
        <w:t xml:space="preserve">  </w:t>
      </w:r>
      <w:r w:rsidRPr="006F2B26">
        <w:rPr>
          <w:rFonts w:ascii="Calibri" w:hAnsi="Calibri" w:cs="Arial"/>
          <w:b/>
          <w:color w:val="000000"/>
        </w:rPr>
        <w:t>Curr Med Re</w:t>
      </w:r>
      <w:r>
        <w:rPr>
          <w:rFonts w:ascii="Calibri" w:hAnsi="Calibri" w:cs="Arial"/>
          <w:b/>
          <w:color w:val="000000"/>
        </w:rPr>
        <w:t xml:space="preserve">s Opin 2009; 25 (7): </w:t>
      </w:r>
      <w:r w:rsidRPr="006F2B26">
        <w:rPr>
          <w:rFonts w:ascii="Calibri" w:hAnsi="Calibri" w:cs="Arial"/>
          <w:b/>
          <w:color w:val="000000"/>
        </w:rPr>
        <w:t>1793–1805</w:t>
      </w:r>
      <w:r>
        <w:rPr>
          <w:rFonts w:ascii="Calibri" w:hAnsi="Calibri" w:cs="Arial"/>
          <w:b/>
          <w:color w:val="000000"/>
        </w:rPr>
        <w:t>.</w:t>
      </w:r>
    </w:p>
    <w:p w14:paraId="5D787583" w14:textId="77777777" w:rsidR="00095118" w:rsidRDefault="00095118" w:rsidP="00095118">
      <w:pPr>
        <w:rPr>
          <w:rFonts w:ascii="Calibri" w:hAnsi="Calibri" w:cs="HelveticaNeue-Light"/>
          <w:b/>
          <w:color w:val="000000"/>
        </w:rPr>
      </w:pPr>
    </w:p>
    <w:p w14:paraId="7141081D" w14:textId="77777777" w:rsidR="00DF4A56" w:rsidRPr="00F94896" w:rsidRDefault="00DF4A56" w:rsidP="00DF4A56">
      <w:pPr>
        <w:autoSpaceDE w:val="0"/>
        <w:autoSpaceDN w:val="0"/>
        <w:adjustRightInd w:val="0"/>
        <w:rPr>
          <w:rFonts w:ascii="Calibri" w:hAnsi="Calibri" w:cs="AdvTTc9c3bd71"/>
        </w:rPr>
      </w:pPr>
      <w:r w:rsidRPr="008A2408">
        <w:rPr>
          <w:rFonts w:ascii="Calibri" w:hAnsi="Calibri"/>
          <w:b/>
        </w:rPr>
        <w:t>Pedersen SA, Dam M. Karbamazepin: er synonympra¨parater e</w:t>
      </w:r>
      <w:r w:rsidR="001C6F7B">
        <w:rPr>
          <w:rFonts w:ascii="Calibri" w:hAnsi="Calibri"/>
          <w:b/>
        </w:rPr>
        <w:t>ns. Ugeskr Laeg 1985; 147: 2676-</w:t>
      </w:r>
      <w:r w:rsidRPr="008A2408">
        <w:rPr>
          <w:rFonts w:ascii="Calibri" w:hAnsi="Calibri"/>
          <w:b/>
        </w:rPr>
        <w:t>7.</w:t>
      </w:r>
    </w:p>
    <w:p w14:paraId="66E14575" w14:textId="77777777" w:rsidR="00B628E6" w:rsidRDefault="00B628E6" w:rsidP="001A1720">
      <w:pPr>
        <w:pStyle w:val="CommentText"/>
        <w:rPr>
          <w:rFonts w:ascii="Calibri" w:hAnsi="Calibri"/>
          <w:b/>
          <w:color w:val="000000"/>
          <w:sz w:val="24"/>
          <w:szCs w:val="24"/>
        </w:rPr>
      </w:pPr>
    </w:p>
    <w:p w14:paraId="6B327C55" w14:textId="77777777" w:rsidR="00B628E6" w:rsidRPr="00E81975" w:rsidRDefault="00B628E6" w:rsidP="00B628E6">
      <w:pPr>
        <w:pStyle w:val="Normal1"/>
        <w:rPr>
          <w:rFonts w:ascii="Calibri" w:hAnsi="Calibri"/>
          <w:b/>
        </w:rPr>
      </w:pPr>
      <w:r w:rsidRPr="00E81975">
        <w:rPr>
          <w:rFonts w:ascii="Calibri" w:hAnsi="Calibri"/>
          <w:b/>
        </w:rPr>
        <w:t xml:space="preserve">Peterson GM.  Generic Substitution of Antiepileptics: Need for a Balanced View. </w:t>
      </w:r>
    </w:p>
    <w:p w14:paraId="0AD8B920" w14:textId="77777777" w:rsidR="00B628E6" w:rsidRPr="00E81975" w:rsidRDefault="00B628E6" w:rsidP="00B628E6">
      <w:pPr>
        <w:pStyle w:val="Normal1"/>
        <w:rPr>
          <w:rFonts w:ascii="Calibri" w:hAnsi="Calibri"/>
          <w:b/>
        </w:rPr>
      </w:pPr>
      <w:r w:rsidRPr="00E81975">
        <w:rPr>
          <w:rFonts w:ascii="Calibri" w:hAnsi="Calibri"/>
          <w:b/>
        </w:rPr>
        <w:t>CNS Spectrums August 2011; 16: 169-175.</w:t>
      </w:r>
    </w:p>
    <w:p w14:paraId="3742B7FF" w14:textId="77777777" w:rsidR="001A1720" w:rsidRDefault="001A1720" w:rsidP="00D1137E">
      <w:pPr>
        <w:shd w:val="clear" w:color="auto" w:fill="FFFFFF"/>
        <w:spacing w:line="312" w:lineRule="atLeast"/>
        <w:ind w:left="45"/>
        <w:rPr>
          <w:rFonts w:ascii="Calibri" w:hAnsi="Calibri" w:cs="Arial"/>
          <w:b/>
          <w:color w:val="000000"/>
        </w:rPr>
      </w:pPr>
    </w:p>
    <w:p w14:paraId="15999465" w14:textId="77777777" w:rsidR="001A1720" w:rsidRDefault="00091CC2" w:rsidP="001A1720">
      <w:pPr>
        <w:rPr>
          <w:rFonts w:ascii="Calibri" w:hAnsi="Calibri"/>
          <w:b/>
        </w:rPr>
      </w:pPr>
      <w:hyperlink r:id="rId19" w:history="1">
        <w:r w:rsidR="001A1720" w:rsidRPr="001219C5">
          <w:rPr>
            <w:rStyle w:val="Hyperlink"/>
            <w:rFonts w:ascii="Calibri" w:hAnsi="Calibri"/>
            <w:b/>
            <w:color w:val="000000"/>
            <w:u w:val="none"/>
          </w:rPr>
          <w:t>Picot MC</w:t>
        </w:r>
      </w:hyperlink>
      <w:r w:rsidR="001A1720" w:rsidRPr="001219C5">
        <w:rPr>
          <w:rFonts w:ascii="Calibri" w:hAnsi="Calibri"/>
          <w:b/>
          <w:color w:val="000000"/>
        </w:rPr>
        <w:t xml:space="preserve">, </w:t>
      </w:r>
      <w:hyperlink r:id="rId20" w:history="1">
        <w:r w:rsidR="001A1720" w:rsidRPr="001219C5">
          <w:rPr>
            <w:rStyle w:val="Hyperlink"/>
            <w:rFonts w:ascii="Calibri" w:hAnsi="Calibri"/>
            <w:b/>
            <w:color w:val="000000"/>
            <w:u w:val="none"/>
          </w:rPr>
          <w:t>Baldy-Moulinier M</w:t>
        </w:r>
      </w:hyperlink>
      <w:r w:rsidR="001A1720" w:rsidRPr="001219C5">
        <w:rPr>
          <w:rFonts w:ascii="Calibri" w:hAnsi="Calibri"/>
          <w:b/>
          <w:color w:val="000000"/>
        </w:rPr>
        <w:t xml:space="preserve">, </w:t>
      </w:r>
      <w:hyperlink r:id="rId21" w:history="1">
        <w:r w:rsidR="001A1720" w:rsidRPr="001219C5">
          <w:rPr>
            <w:rStyle w:val="Hyperlink"/>
            <w:rFonts w:ascii="Calibri" w:hAnsi="Calibri"/>
            <w:b/>
            <w:color w:val="000000"/>
            <w:u w:val="none"/>
          </w:rPr>
          <w:t>Daurès JP</w:t>
        </w:r>
      </w:hyperlink>
      <w:r w:rsidR="001A1720" w:rsidRPr="001219C5">
        <w:rPr>
          <w:rFonts w:ascii="Calibri" w:hAnsi="Calibri"/>
          <w:b/>
          <w:color w:val="000000"/>
        </w:rPr>
        <w:t xml:space="preserve">, </w:t>
      </w:r>
      <w:hyperlink r:id="rId22" w:history="1">
        <w:r w:rsidR="001A1720" w:rsidRPr="001219C5">
          <w:rPr>
            <w:rStyle w:val="Hyperlink"/>
            <w:rFonts w:ascii="Calibri" w:hAnsi="Calibri"/>
            <w:b/>
            <w:color w:val="000000"/>
            <w:u w:val="none"/>
          </w:rPr>
          <w:t>Dujols P</w:t>
        </w:r>
      </w:hyperlink>
      <w:r w:rsidR="001A1720" w:rsidRPr="001219C5">
        <w:rPr>
          <w:rFonts w:ascii="Calibri" w:hAnsi="Calibri"/>
          <w:b/>
          <w:color w:val="000000"/>
        </w:rPr>
        <w:t xml:space="preserve">, </w:t>
      </w:r>
      <w:hyperlink r:id="rId23" w:history="1">
        <w:r w:rsidR="001A1720" w:rsidRPr="001219C5">
          <w:rPr>
            <w:rStyle w:val="Hyperlink"/>
            <w:rFonts w:ascii="Calibri" w:hAnsi="Calibri"/>
            <w:b/>
            <w:color w:val="000000"/>
            <w:u w:val="none"/>
          </w:rPr>
          <w:t>Crespel A</w:t>
        </w:r>
      </w:hyperlink>
      <w:r w:rsidR="001A1720" w:rsidRPr="001219C5">
        <w:rPr>
          <w:rFonts w:ascii="Calibri" w:hAnsi="Calibri"/>
          <w:b/>
          <w:color w:val="000000"/>
        </w:rPr>
        <w:t xml:space="preserve">.  </w:t>
      </w:r>
      <w:r w:rsidR="001A1720" w:rsidRPr="001219C5">
        <w:rPr>
          <w:rFonts w:ascii="Calibri" w:hAnsi="Calibri"/>
          <w:b/>
        </w:rPr>
        <w:t xml:space="preserve"> The prevalence of epilepsy and pharmacoresistant epilepsy in adults: a population-based study in a Western European country.  </w:t>
      </w:r>
      <w:hyperlink r:id="rId24" w:anchor="#" w:tooltip="Epilepsia." w:history="1">
        <w:r w:rsidR="001A1720" w:rsidRPr="001219C5">
          <w:rPr>
            <w:rStyle w:val="Hyperlink"/>
            <w:rFonts w:ascii="Calibri" w:hAnsi="Calibri"/>
            <w:b/>
            <w:color w:val="000000"/>
            <w:u w:val="none"/>
          </w:rPr>
          <w:t>Epilepsia</w:t>
        </w:r>
      </w:hyperlink>
      <w:r w:rsidR="001A1720" w:rsidRPr="001219C5">
        <w:rPr>
          <w:rFonts w:ascii="Calibri" w:hAnsi="Calibri"/>
          <w:b/>
        </w:rPr>
        <w:t xml:space="preserve"> Jul 2008; 49 (7): 1230-8.</w:t>
      </w:r>
    </w:p>
    <w:p w14:paraId="3FDEA99A" w14:textId="77777777" w:rsidR="00162981" w:rsidRDefault="00162981" w:rsidP="001A1720">
      <w:pPr>
        <w:rPr>
          <w:rFonts w:ascii="Calibri" w:hAnsi="Calibri"/>
          <w:b/>
        </w:rPr>
      </w:pPr>
    </w:p>
    <w:p w14:paraId="5C1D5AA7" w14:textId="77777777" w:rsidR="00162981" w:rsidRDefault="008726A2" w:rsidP="00162981">
      <w:pPr>
        <w:rPr>
          <w:rFonts w:ascii="Calibri" w:hAnsi="Calibri" w:cs="Arial"/>
        </w:rPr>
      </w:pPr>
      <w:r>
        <w:rPr>
          <w:rFonts w:ascii="Calibri" w:hAnsi="Calibri" w:cs="Times Roman"/>
          <w:b/>
        </w:rPr>
        <w:t>Pineyro-Lopez A, Pin</w:t>
      </w:r>
      <w:r w:rsidR="00162981" w:rsidRPr="00B528F9">
        <w:rPr>
          <w:rFonts w:ascii="Calibri" w:hAnsi="Calibri" w:cs="Times Roman"/>
          <w:b/>
        </w:rPr>
        <w:t>eyro-Garza E, Gomez-Silva M, Reyes-Araiza R, Flores-Diego M A, Borrego-Alvarado S</w:t>
      </w:r>
      <w:r w:rsidR="00162981">
        <w:rPr>
          <w:rFonts w:ascii="Calibri" w:hAnsi="Calibri" w:cs="Times Roman"/>
          <w:b/>
        </w:rPr>
        <w:t xml:space="preserve"> et al.  Bioequivalence of single lOO-mg doses of two oral formulations of topiramate: An open-label, randomized sequence, two-period c</w:t>
      </w:r>
      <w:r w:rsidR="00162981" w:rsidRPr="00B528F9">
        <w:rPr>
          <w:rFonts w:ascii="Calibri" w:hAnsi="Calibri" w:cs="Times Roman"/>
          <w:b/>
        </w:rPr>
        <w:t xml:space="preserve">rossover </w:t>
      </w:r>
      <w:r w:rsidR="00162981">
        <w:rPr>
          <w:rFonts w:ascii="Calibri" w:hAnsi="Calibri" w:cs="Times Roman"/>
          <w:b/>
        </w:rPr>
        <w:t>study in healthy adult male Mexican v</w:t>
      </w:r>
      <w:r w:rsidR="00162981" w:rsidRPr="00B528F9">
        <w:rPr>
          <w:rFonts w:ascii="Calibri" w:hAnsi="Calibri" w:cs="Times Roman"/>
          <w:b/>
        </w:rPr>
        <w:t>olunteers. Clin Ther Feb 2009</w:t>
      </w:r>
      <w:r w:rsidR="00162981">
        <w:rPr>
          <w:rFonts w:ascii="Calibri" w:hAnsi="Calibri" w:cs="Times Roman"/>
          <w:b/>
        </w:rPr>
        <w:t>;</w:t>
      </w:r>
      <w:r w:rsidR="00162981" w:rsidRPr="00B528F9">
        <w:rPr>
          <w:rFonts w:ascii="Calibri" w:hAnsi="Calibri" w:cs="Times Roman"/>
          <w:b/>
        </w:rPr>
        <w:t xml:space="preserve"> 31 (2)</w:t>
      </w:r>
      <w:r w:rsidR="00162981">
        <w:rPr>
          <w:rFonts w:ascii="Calibri" w:hAnsi="Calibri" w:cs="Times Roman"/>
          <w:b/>
        </w:rPr>
        <w:t>:</w:t>
      </w:r>
      <w:r w:rsidR="00162981" w:rsidRPr="00B528F9">
        <w:rPr>
          <w:rFonts w:ascii="Calibri" w:hAnsi="Calibri" w:cs="Times Roman"/>
          <w:b/>
        </w:rPr>
        <w:t xml:space="preserve"> 411 – 7.</w:t>
      </w:r>
    </w:p>
    <w:p w14:paraId="3F649657" w14:textId="77777777" w:rsidR="00761E00" w:rsidRDefault="00761E00" w:rsidP="002027D4">
      <w:pPr>
        <w:rPr>
          <w:rFonts w:ascii="Calibri" w:hAnsi="Calibri" w:cs="Calibri"/>
          <w:b/>
          <w:bCs/>
        </w:rPr>
      </w:pPr>
    </w:p>
    <w:p w14:paraId="39860DCD" w14:textId="24467E36" w:rsidR="002027D4" w:rsidRPr="002027D4" w:rsidRDefault="002027D4" w:rsidP="002027D4">
      <w:pPr>
        <w:rPr>
          <w:rFonts w:ascii="Calibri" w:hAnsi="Calibri" w:cs="Calibri"/>
          <w:b/>
          <w:bCs/>
        </w:rPr>
      </w:pPr>
      <w:r w:rsidRPr="002027D4">
        <w:rPr>
          <w:rFonts w:ascii="Calibri" w:hAnsi="Calibri" w:cs="Calibri"/>
          <w:b/>
          <w:bCs/>
        </w:rPr>
        <w:t>Polard E et al.  Brand name to generic substitution of antiepileptic drugs does not lead to seizure-related hospitalization: a population-based case-crossover study. Pharmacoepidemiology and drug safety 2015; 24: 1161–1169</w:t>
      </w:r>
    </w:p>
    <w:p w14:paraId="6D2B8D1C" w14:textId="77777777" w:rsidR="00162981" w:rsidRDefault="00162981" w:rsidP="001A1720">
      <w:pPr>
        <w:rPr>
          <w:rFonts w:ascii="Calibri" w:hAnsi="Calibri"/>
          <w:b/>
        </w:rPr>
      </w:pPr>
    </w:p>
    <w:p w14:paraId="3AD16036" w14:textId="77777777" w:rsidR="001036D1" w:rsidRPr="001D3E75" w:rsidRDefault="001036D1" w:rsidP="001036D1">
      <w:pPr>
        <w:rPr>
          <w:rFonts w:ascii="Calibri" w:hAnsi="Calibri"/>
          <w:b/>
        </w:rPr>
      </w:pPr>
      <w:r w:rsidRPr="001D3E75">
        <w:rPr>
          <w:rFonts w:ascii="Calibri" w:hAnsi="Calibri" w:cs="AdvPS_TIR"/>
          <w:b/>
        </w:rPr>
        <w:t xml:space="preserve">Privitera MD. </w:t>
      </w:r>
      <w:r w:rsidR="001D3E75" w:rsidRPr="001D3E75">
        <w:rPr>
          <w:rFonts w:ascii="Calibri" w:hAnsi="Calibri" w:cs="AdvPSA5BA"/>
          <w:b/>
          <w:color w:val="241F20"/>
        </w:rPr>
        <w:t xml:space="preserve">Is antiepileptic drug generic substitution always safe? Slow progress toward definitive answers.  Ann Neur Aug 2011; 70 (2): 221 – 228.  </w:t>
      </w:r>
    </w:p>
    <w:p w14:paraId="0D64C6F8" w14:textId="556A089C" w:rsidR="001036D1" w:rsidRDefault="001036D1" w:rsidP="001A1720">
      <w:pPr>
        <w:rPr>
          <w:rFonts w:ascii="Calibri" w:hAnsi="Calibri"/>
          <w:b/>
        </w:rPr>
      </w:pPr>
    </w:p>
    <w:p w14:paraId="735BFF6B" w14:textId="77777777" w:rsidR="008C2F21" w:rsidRDefault="008C2F21" w:rsidP="008C2F21">
      <w:pPr>
        <w:rPr>
          <w:rFonts w:ascii="Calibri" w:hAnsi="Calibri"/>
          <w:b/>
        </w:rPr>
      </w:pPr>
      <w:r w:rsidRPr="000271C5">
        <w:rPr>
          <w:rFonts w:ascii="Calibri" w:hAnsi="Calibri"/>
          <w:b/>
        </w:rPr>
        <w:t>Privitera</w:t>
      </w:r>
      <w:r>
        <w:rPr>
          <w:rFonts w:ascii="Calibri" w:hAnsi="Calibri"/>
          <w:b/>
        </w:rPr>
        <w:t xml:space="preserve"> </w:t>
      </w:r>
      <w:r w:rsidRPr="000271C5">
        <w:rPr>
          <w:rFonts w:ascii="Calibri" w:hAnsi="Calibri"/>
          <w:b/>
        </w:rPr>
        <w:t>MD</w:t>
      </w:r>
      <w:r>
        <w:rPr>
          <w:rFonts w:ascii="Calibri" w:hAnsi="Calibri"/>
          <w:b/>
        </w:rPr>
        <w:t xml:space="preserve">. </w:t>
      </w:r>
      <w:r w:rsidRPr="000271C5">
        <w:rPr>
          <w:rFonts w:ascii="Calibri" w:hAnsi="Calibri"/>
          <w:b/>
        </w:rPr>
        <w:t>Generic-to-generic lamotrigine switches in people with epilepsy: the randomised controlled EQUIGEN trial</w:t>
      </w:r>
      <w:r>
        <w:rPr>
          <w:rFonts w:ascii="Calibri" w:hAnsi="Calibri"/>
          <w:b/>
        </w:rPr>
        <w:t xml:space="preserve">. </w:t>
      </w:r>
      <w:r w:rsidRPr="00AA5CD2">
        <w:rPr>
          <w:rFonts w:ascii="Calibri" w:hAnsi="Calibri"/>
          <w:b/>
        </w:rPr>
        <w:t>Lancet Neurol 2016; 15: 365–72</w:t>
      </w:r>
      <w:r>
        <w:rPr>
          <w:rFonts w:ascii="Calibri" w:hAnsi="Calibri"/>
          <w:b/>
        </w:rPr>
        <w:t>.</w:t>
      </w:r>
    </w:p>
    <w:p w14:paraId="1A596A9E" w14:textId="77777777" w:rsidR="008C2F21" w:rsidRDefault="008C2F21" w:rsidP="001A1720">
      <w:pPr>
        <w:rPr>
          <w:rFonts w:ascii="Calibri" w:hAnsi="Calibri"/>
          <w:b/>
        </w:rPr>
      </w:pPr>
    </w:p>
    <w:p w14:paraId="6E31D947" w14:textId="77777777" w:rsidR="00162981" w:rsidRPr="00722465" w:rsidRDefault="00162981" w:rsidP="00162981">
      <w:pPr>
        <w:autoSpaceDE w:val="0"/>
        <w:autoSpaceDN w:val="0"/>
        <w:adjustRightInd w:val="0"/>
        <w:rPr>
          <w:rFonts w:ascii="Calibri" w:hAnsi="Calibri"/>
          <w:color w:val="000000"/>
        </w:rPr>
      </w:pPr>
      <w:r>
        <w:rPr>
          <w:rFonts w:ascii="Calibri" w:hAnsi="Calibri"/>
          <w:b/>
          <w:color w:val="000000"/>
        </w:rPr>
        <w:t>Rackley R</w:t>
      </w:r>
      <w:r w:rsidRPr="00722465">
        <w:rPr>
          <w:rFonts w:ascii="Calibri" w:hAnsi="Calibri"/>
          <w:b/>
          <w:color w:val="000000"/>
        </w:rPr>
        <w:t>J. (Letter)</w:t>
      </w:r>
      <w:r>
        <w:rPr>
          <w:rFonts w:ascii="Calibri" w:hAnsi="Calibri"/>
          <w:b/>
          <w:color w:val="000000"/>
        </w:rPr>
        <w:t xml:space="preserve"> </w:t>
      </w:r>
      <w:r w:rsidRPr="00722465">
        <w:rPr>
          <w:rFonts w:ascii="Calibri" w:hAnsi="Calibri"/>
          <w:b/>
          <w:color w:val="000000"/>
        </w:rPr>
        <w:t>Neurology August 2005</w:t>
      </w:r>
      <w:r>
        <w:rPr>
          <w:rFonts w:ascii="Calibri" w:hAnsi="Calibri"/>
          <w:b/>
          <w:color w:val="000000"/>
        </w:rPr>
        <w:t>;</w:t>
      </w:r>
      <w:r w:rsidRPr="00722465">
        <w:rPr>
          <w:rFonts w:ascii="Calibri" w:hAnsi="Calibri"/>
          <w:b/>
          <w:color w:val="000000"/>
        </w:rPr>
        <w:t xml:space="preserve"> 65</w:t>
      </w:r>
      <w:r>
        <w:rPr>
          <w:rFonts w:ascii="Calibri" w:hAnsi="Calibri"/>
          <w:b/>
          <w:color w:val="000000"/>
        </w:rPr>
        <w:t>: 657 – 658.</w:t>
      </w:r>
    </w:p>
    <w:p w14:paraId="09697A0C" w14:textId="77777777" w:rsidR="00DF4A56" w:rsidRDefault="00DF4A56" w:rsidP="001A1720">
      <w:pPr>
        <w:rPr>
          <w:rFonts w:ascii="Calibri" w:hAnsi="Calibri"/>
          <w:color w:val="000000"/>
        </w:rPr>
      </w:pPr>
    </w:p>
    <w:p w14:paraId="2E7BDE93" w14:textId="77777777" w:rsidR="00DF4A56" w:rsidRPr="001A1720" w:rsidRDefault="00DF4A56" w:rsidP="00DF4A56">
      <w:pPr>
        <w:rPr>
          <w:rFonts w:ascii="Calibri" w:hAnsi="Calibri"/>
          <w:b/>
        </w:rPr>
      </w:pPr>
      <w:r w:rsidRPr="001A1720">
        <w:rPr>
          <w:rFonts w:ascii="Calibri" w:hAnsi="Calibri"/>
          <w:b/>
        </w:rPr>
        <w:t>Rascati KL, Richards KM, Johnsrud MT, Mann TA.  Effects of Antiepileptic Drug Substitutions on Epileptic Events Requiring Acute Care.  Pharmacotherapy 2009; 29 (7): 769 – 774.</w:t>
      </w:r>
    </w:p>
    <w:p w14:paraId="61167A6D" w14:textId="77777777" w:rsidR="00BD414C" w:rsidRDefault="00BD414C" w:rsidP="00D1137E">
      <w:pPr>
        <w:shd w:val="clear" w:color="auto" w:fill="FFFFFF"/>
        <w:spacing w:line="312" w:lineRule="atLeast"/>
        <w:ind w:left="45"/>
        <w:rPr>
          <w:rFonts w:ascii="Calibri" w:hAnsi="Calibri" w:cs="Arial"/>
          <w:b/>
          <w:color w:val="000000"/>
        </w:rPr>
      </w:pPr>
    </w:p>
    <w:p w14:paraId="36639D50" w14:textId="77777777" w:rsidR="00F87A2C" w:rsidRDefault="00F87A2C" w:rsidP="00D1137E">
      <w:pPr>
        <w:shd w:val="clear" w:color="auto" w:fill="FFFFFF"/>
        <w:spacing w:line="312" w:lineRule="atLeast"/>
        <w:ind w:left="45"/>
        <w:rPr>
          <w:rFonts w:ascii="Calibri" w:hAnsi="Calibri" w:cs="Courier New"/>
          <w:b/>
        </w:rPr>
      </w:pPr>
      <w:r w:rsidRPr="005B07B5">
        <w:rPr>
          <w:rFonts w:ascii="Calibri" w:hAnsi="Calibri" w:cs="Arial"/>
          <w:b/>
          <w:color w:val="000000"/>
        </w:rPr>
        <w:t xml:space="preserve">Rawnsley M, Mitchell S.  </w:t>
      </w:r>
      <w:r w:rsidRPr="005B07B5">
        <w:rPr>
          <w:rFonts w:ascii="Calibri" w:hAnsi="Calibri" w:cs="Courier New"/>
          <w:b/>
        </w:rPr>
        <w:t>Anti-Epileptic Medication Packaging Survey.  Epilepsy Action 2009.</w:t>
      </w:r>
    </w:p>
    <w:p w14:paraId="2696C741" w14:textId="77777777" w:rsidR="00B628E6" w:rsidRDefault="00B628E6" w:rsidP="00D1137E">
      <w:pPr>
        <w:shd w:val="clear" w:color="auto" w:fill="FFFFFF"/>
        <w:spacing w:line="312" w:lineRule="atLeast"/>
        <w:ind w:left="45"/>
        <w:rPr>
          <w:rFonts w:ascii="Calibri" w:hAnsi="Calibri" w:cs="Courier New"/>
          <w:b/>
        </w:rPr>
      </w:pPr>
    </w:p>
    <w:p w14:paraId="0166BD24" w14:textId="77777777" w:rsidR="00B628E6" w:rsidRDefault="00B628E6" w:rsidP="00B628E6">
      <w:pPr>
        <w:autoSpaceDE w:val="0"/>
        <w:autoSpaceDN w:val="0"/>
        <w:adjustRightInd w:val="0"/>
        <w:rPr>
          <w:rFonts w:ascii="Calibri" w:hAnsi="Calibri"/>
          <w:b/>
        </w:rPr>
      </w:pPr>
      <w:r w:rsidRPr="008F3439">
        <w:rPr>
          <w:rFonts w:ascii="Calibri" w:hAnsi="Calibri"/>
          <w:b/>
        </w:rPr>
        <w:t>Reunanen M, Heinonen EH, Nyman L, Anttila M. Comparative bioavailability of carbamazepine from two slow-release preparations.  Epilepsy Res 1992; 11: 61—6.</w:t>
      </w:r>
    </w:p>
    <w:p w14:paraId="5D72CE37" w14:textId="77777777" w:rsidR="00162981" w:rsidRPr="00F94896" w:rsidRDefault="00162981" w:rsidP="00B628E6">
      <w:pPr>
        <w:autoSpaceDE w:val="0"/>
        <w:autoSpaceDN w:val="0"/>
        <w:adjustRightInd w:val="0"/>
        <w:rPr>
          <w:rFonts w:ascii="Calibri" w:hAnsi="Calibri"/>
          <w:b/>
        </w:rPr>
      </w:pPr>
    </w:p>
    <w:p w14:paraId="185E0068" w14:textId="77777777" w:rsidR="00162981" w:rsidRDefault="00162981" w:rsidP="00162981">
      <w:pPr>
        <w:autoSpaceDE w:val="0"/>
        <w:autoSpaceDN w:val="0"/>
        <w:adjustRightInd w:val="0"/>
        <w:rPr>
          <w:rFonts w:ascii="Calibri" w:hAnsi="Calibri"/>
          <w:b/>
          <w:bCs/>
        </w:rPr>
      </w:pPr>
      <w:r w:rsidRPr="006032F8">
        <w:rPr>
          <w:rFonts w:ascii="Calibri" w:hAnsi="Calibri" w:cs="AdvPS_TIR"/>
          <w:b/>
        </w:rPr>
        <w:t>Rosenbaum DH, R</w:t>
      </w:r>
      <w:r>
        <w:rPr>
          <w:rFonts w:ascii="Calibri" w:hAnsi="Calibri" w:cs="AdvPS_TIR"/>
          <w:b/>
        </w:rPr>
        <w:t xml:space="preserve">owan AJ, Tuchman L, French JA. </w:t>
      </w:r>
      <w:r w:rsidRPr="006032F8">
        <w:rPr>
          <w:rFonts w:ascii="Calibri" w:hAnsi="Calibri" w:cs="AdvPS_TIR"/>
          <w:b/>
        </w:rPr>
        <w:t>Comparative</w:t>
      </w:r>
      <w:r>
        <w:rPr>
          <w:rFonts w:ascii="Calibri" w:hAnsi="Calibri" w:cs="AdvPS_TIR"/>
          <w:b/>
        </w:rPr>
        <w:t xml:space="preserve"> </w:t>
      </w:r>
      <w:r w:rsidRPr="006032F8">
        <w:rPr>
          <w:rFonts w:ascii="Calibri" w:hAnsi="Calibri" w:cs="AdvPS_TIR"/>
          <w:b/>
        </w:rPr>
        <w:t xml:space="preserve">bioavailability of a generic phenytoin and Dilantin. </w:t>
      </w:r>
      <w:r w:rsidRPr="006032F8">
        <w:rPr>
          <w:rFonts w:ascii="Calibri" w:eastAsia="AdvPS_TII" w:hAnsi="Calibri" w:cs="AdvPS_TII"/>
          <w:b/>
        </w:rPr>
        <w:t>Epilepsia</w:t>
      </w:r>
      <w:r>
        <w:rPr>
          <w:rFonts w:ascii="Calibri" w:eastAsia="AdvPS_TII" w:hAnsi="Calibri" w:cs="AdvPS_TII"/>
          <w:b/>
        </w:rPr>
        <w:t xml:space="preserve"> </w:t>
      </w:r>
      <w:r>
        <w:rPr>
          <w:rFonts w:ascii="Calibri" w:hAnsi="Calibri"/>
          <w:b/>
          <w:bCs/>
        </w:rPr>
        <w:t xml:space="preserve">1994; 35 (3): </w:t>
      </w:r>
      <w:r w:rsidRPr="0015187A">
        <w:rPr>
          <w:rFonts w:ascii="Calibri" w:hAnsi="Calibri"/>
          <w:b/>
          <w:bCs/>
        </w:rPr>
        <w:t>656 -660</w:t>
      </w:r>
      <w:r>
        <w:rPr>
          <w:rFonts w:ascii="Calibri" w:hAnsi="Calibri"/>
          <w:b/>
          <w:bCs/>
        </w:rPr>
        <w:t>.</w:t>
      </w:r>
    </w:p>
    <w:p w14:paraId="69424E5A" w14:textId="77777777" w:rsidR="00095118" w:rsidRPr="006032F8" w:rsidRDefault="00095118" w:rsidP="00162981">
      <w:pPr>
        <w:autoSpaceDE w:val="0"/>
        <w:autoSpaceDN w:val="0"/>
        <w:adjustRightInd w:val="0"/>
        <w:rPr>
          <w:rFonts w:ascii="Calibri" w:eastAsia="AdvPS_TII" w:hAnsi="Calibri" w:cs="AdvPS_TII"/>
          <w:b/>
        </w:rPr>
      </w:pPr>
    </w:p>
    <w:p w14:paraId="2FC4B1DB" w14:textId="77777777" w:rsidR="00095118" w:rsidRDefault="00095118" w:rsidP="00095118">
      <w:pPr>
        <w:rPr>
          <w:rFonts w:ascii="Calibri" w:hAnsi="Calibri"/>
          <w:b/>
        </w:rPr>
      </w:pPr>
      <w:r w:rsidRPr="00B939E1">
        <w:rPr>
          <w:rFonts w:ascii="Calibri" w:hAnsi="Calibri"/>
          <w:b/>
        </w:rPr>
        <w:t>Rudakova IG, Kotov AS, Belova IuA.  Topiramate as an example of using generi</w:t>
      </w:r>
      <w:r>
        <w:rPr>
          <w:rFonts w:ascii="Calibri" w:hAnsi="Calibri"/>
          <w:b/>
        </w:rPr>
        <w:t>cs in the treatment of epilepsy</w:t>
      </w:r>
      <w:r w:rsidRPr="00B939E1">
        <w:rPr>
          <w:rFonts w:ascii="Calibri" w:hAnsi="Calibri"/>
          <w:b/>
        </w:rPr>
        <w:t>.  Zhurnal Nevrologii i Psikhiatrii Ime</w:t>
      </w:r>
      <w:r>
        <w:rPr>
          <w:rFonts w:ascii="Calibri" w:hAnsi="Calibri"/>
          <w:b/>
        </w:rPr>
        <w:t xml:space="preserve">ni S.S. Korsakova 2011; 111 (3): </w:t>
      </w:r>
      <w:r w:rsidRPr="00B939E1">
        <w:rPr>
          <w:rFonts w:ascii="Calibri" w:hAnsi="Calibri"/>
          <w:b/>
        </w:rPr>
        <w:t>38-43</w:t>
      </w:r>
      <w:r>
        <w:rPr>
          <w:rFonts w:ascii="Calibri" w:hAnsi="Calibri"/>
          <w:b/>
        </w:rPr>
        <w:t>.</w:t>
      </w:r>
      <w:r w:rsidRPr="00B939E1">
        <w:rPr>
          <w:rFonts w:ascii="Calibri" w:hAnsi="Calibri"/>
        </w:rPr>
        <w:t xml:space="preserve"> </w:t>
      </w:r>
      <w:r w:rsidRPr="00B939E1">
        <w:rPr>
          <w:rFonts w:ascii="Calibri" w:hAnsi="Calibri"/>
          <w:b/>
        </w:rPr>
        <w:t>(Abstract only)</w:t>
      </w:r>
    </w:p>
    <w:p w14:paraId="27E7EC43" w14:textId="77777777" w:rsidR="00B26119" w:rsidRPr="00B939E1" w:rsidRDefault="00B26119" w:rsidP="00095118">
      <w:pPr>
        <w:rPr>
          <w:rFonts w:ascii="Calibri" w:hAnsi="Calibri" w:cs="Arial"/>
        </w:rPr>
      </w:pPr>
    </w:p>
    <w:p w14:paraId="075F87AE" w14:textId="77777777" w:rsidR="00B628E6" w:rsidRDefault="00B628E6" w:rsidP="00B628E6">
      <w:pPr>
        <w:autoSpaceDE w:val="0"/>
        <w:autoSpaceDN w:val="0"/>
        <w:adjustRightInd w:val="0"/>
        <w:rPr>
          <w:rFonts w:ascii="Calibri" w:hAnsi="Calibri" w:cs="Meridien-Roman"/>
          <w:b/>
        </w:rPr>
      </w:pPr>
      <w:r w:rsidRPr="005838F1">
        <w:rPr>
          <w:rFonts w:ascii="Calibri" w:hAnsi="Calibri" w:cs="Meridien-Roman"/>
          <w:b/>
        </w:rPr>
        <w:t>Sachdeo RC, Belendiuk G. Generic versus branded</w:t>
      </w:r>
      <w:r>
        <w:rPr>
          <w:rFonts w:ascii="Calibri" w:hAnsi="Calibri" w:cs="Meridien-Roman"/>
          <w:b/>
        </w:rPr>
        <w:t xml:space="preserve"> </w:t>
      </w:r>
      <w:r w:rsidRPr="005838F1">
        <w:rPr>
          <w:rFonts w:ascii="Calibri" w:hAnsi="Calibri" w:cs="Meridien-Roman"/>
          <w:b/>
        </w:rPr>
        <w:t xml:space="preserve">carbamazepine. </w:t>
      </w:r>
      <w:r w:rsidRPr="005838F1">
        <w:rPr>
          <w:rFonts w:ascii="Calibri" w:hAnsi="Calibri" w:cs="Meridien-Italic"/>
          <w:b/>
          <w:iCs/>
        </w:rPr>
        <w:t xml:space="preserve">Lancet </w:t>
      </w:r>
      <w:r w:rsidRPr="005838F1">
        <w:rPr>
          <w:rFonts w:ascii="Calibri" w:hAnsi="Calibri" w:cs="Meridien-Roman"/>
          <w:b/>
        </w:rPr>
        <w:t>1987;</w:t>
      </w:r>
      <w:r>
        <w:rPr>
          <w:rFonts w:ascii="Calibri" w:hAnsi="Calibri" w:cs="Meridien-Roman"/>
          <w:b/>
        </w:rPr>
        <w:t xml:space="preserve"> </w:t>
      </w:r>
      <w:r w:rsidRPr="005838F1">
        <w:rPr>
          <w:rFonts w:ascii="Calibri" w:hAnsi="Calibri" w:cs="Meridien-Bold"/>
          <w:b/>
          <w:bCs/>
        </w:rPr>
        <w:t>1</w:t>
      </w:r>
      <w:r w:rsidRPr="00E03443">
        <w:rPr>
          <w:rFonts w:ascii="Calibri" w:hAnsi="Calibri"/>
          <w:b/>
          <w:color w:val="000000"/>
        </w:rPr>
        <w:t xml:space="preserve"> </w:t>
      </w:r>
      <w:r>
        <w:rPr>
          <w:rFonts w:ascii="Calibri" w:hAnsi="Calibri"/>
          <w:b/>
          <w:color w:val="000000"/>
        </w:rPr>
        <w:t>(</w:t>
      </w:r>
      <w:r w:rsidRPr="00E03443">
        <w:rPr>
          <w:rFonts w:ascii="Calibri" w:hAnsi="Calibri"/>
          <w:b/>
          <w:color w:val="000000"/>
        </w:rPr>
        <w:t>8547</w:t>
      </w:r>
      <w:r>
        <w:rPr>
          <w:rFonts w:ascii="Calibri" w:hAnsi="Calibri"/>
          <w:b/>
          <w:color w:val="000000"/>
        </w:rPr>
        <w:t xml:space="preserve">): </w:t>
      </w:r>
      <w:r w:rsidRPr="005838F1">
        <w:rPr>
          <w:rFonts w:ascii="Calibri" w:hAnsi="Calibri" w:cs="Meridien-Roman"/>
          <w:b/>
        </w:rPr>
        <w:t>1432.</w:t>
      </w:r>
    </w:p>
    <w:p w14:paraId="76E4E0AB" w14:textId="77777777" w:rsidR="00162981" w:rsidRPr="005838F1" w:rsidRDefault="00162981" w:rsidP="00B628E6">
      <w:pPr>
        <w:autoSpaceDE w:val="0"/>
        <w:autoSpaceDN w:val="0"/>
        <w:adjustRightInd w:val="0"/>
        <w:rPr>
          <w:rFonts w:ascii="Calibri" w:hAnsi="Calibri" w:cs="Meridien-Roman"/>
          <w:b/>
        </w:rPr>
      </w:pPr>
    </w:p>
    <w:p w14:paraId="458C04BF" w14:textId="77777777" w:rsidR="00162981" w:rsidRPr="008E05D0" w:rsidRDefault="00162981" w:rsidP="00162981">
      <w:pPr>
        <w:autoSpaceDE w:val="0"/>
        <w:autoSpaceDN w:val="0"/>
        <w:adjustRightInd w:val="0"/>
        <w:rPr>
          <w:rFonts w:ascii="Calibri" w:hAnsi="Calibri"/>
          <w:color w:val="000000"/>
        </w:rPr>
      </w:pPr>
      <w:r w:rsidRPr="005B07B5">
        <w:rPr>
          <w:rFonts w:ascii="Calibri" w:hAnsi="Calibri"/>
          <w:b/>
        </w:rPr>
        <w:t xml:space="preserve">Saavedra I, Tamayo E, Gamboa A, Sasso J, Varela N, Moreno I et al.  Relative bioavailability study with two oral formulations of topiramate using a validated UPLC-MS/MS method. </w:t>
      </w:r>
      <w:r w:rsidRPr="005B07B5">
        <w:rPr>
          <w:rStyle w:val="Strong"/>
          <w:rFonts w:ascii="Calibri" w:hAnsi="Calibri"/>
          <w:b w:val="0"/>
        </w:rPr>
        <w:t xml:space="preserve"> </w:t>
      </w:r>
      <w:r w:rsidRPr="005B07B5">
        <w:rPr>
          <w:rFonts w:ascii="Calibri" w:hAnsi="Calibri"/>
          <w:b/>
        </w:rPr>
        <w:t xml:space="preserve">Int J Clin </w:t>
      </w:r>
      <w:r w:rsidRPr="005B07B5">
        <w:rPr>
          <w:rFonts w:ascii="Calibri" w:hAnsi="Calibri"/>
          <w:b/>
          <w:color w:val="000000"/>
        </w:rPr>
        <w:t>Pharmacol Ther May 2010; 48 (5): 342-8.</w:t>
      </w:r>
      <w:r w:rsidRPr="005B07B5">
        <w:rPr>
          <w:rStyle w:val="Strong"/>
          <w:rFonts w:ascii="Calibri" w:hAnsi="Calibri"/>
          <w:b w:val="0"/>
          <w:color w:val="000000"/>
        </w:rPr>
        <w:t xml:space="preserve"> </w:t>
      </w:r>
      <w:r w:rsidRPr="005B07B5">
        <w:rPr>
          <w:rStyle w:val="Strong"/>
          <w:rFonts w:ascii="Calibri" w:hAnsi="Calibri"/>
          <w:color w:val="000000"/>
        </w:rPr>
        <w:t>(Abstract only)</w:t>
      </w:r>
    </w:p>
    <w:p w14:paraId="279EDA58" w14:textId="77777777" w:rsidR="007663F4" w:rsidRDefault="007663F4" w:rsidP="00D1137E">
      <w:pPr>
        <w:shd w:val="clear" w:color="auto" w:fill="FFFFFF"/>
        <w:spacing w:line="312" w:lineRule="atLeast"/>
        <w:ind w:left="45"/>
        <w:rPr>
          <w:rFonts w:ascii="Calibri" w:hAnsi="Calibri" w:cs="Arial"/>
          <w:color w:val="000000"/>
        </w:rPr>
      </w:pPr>
    </w:p>
    <w:p w14:paraId="142B3C56" w14:textId="77777777" w:rsidR="00065BDB" w:rsidRPr="005838F1" w:rsidRDefault="00065BDB" w:rsidP="00065BDB">
      <w:pPr>
        <w:autoSpaceDE w:val="0"/>
        <w:autoSpaceDN w:val="0"/>
        <w:adjustRightInd w:val="0"/>
        <w:rPr>
          <w:rFonts w:ascii="Calibri" w:hAnsi="Calibri" w:cs="Meridien-Roman"/>
          <w:b/>
        </w:rPr>
      </w:pPr>
      <w:r>
        <w:rPr>
          <w:rFonts w:ascii="Calibri" w:hAnsi="Calibri" w:cs="Meridien-Roman"/>
          <w:b/>
        </w:rPr>
        <w:t>Sachdeo RC. (Letter)</w:t>
      </w:r>
      <w:r w:rsidRPr="005838F1">
        <w:rPr>
          <w:rFonts w:ascii="Calibri" w:hAnsi="Calibri" w:cs="Meridien-Roman"/>
          <w:b/>
        </w:rPr>
        <w:t xml:space="preserve"> Belendiuk G. Generic versus branded</w:t>
      </w:r>
      <w:r>
        <w:rPr>
          <w:rFonts w:ascii="Calibri" w:hAnsi="Calibri" w:cs="Meridien-Roman"/>
          <w:b/>
        </w:rPr>
        <w:t xml:space="preserve"> </w:t>
      </w:r>
      <w:r w:rsidRPr="005838F1">
        <w:rPr>
          <w:rFonts w:ascii="Calibri" w:hAnsi="Calibri" w:cs="Meridien-Roman"/>
          <w:b/>
        </w:rPr>
        <w:t xml:space="preserve">carbamazepine. </w:t>
      </w:r>
      <w:r w:rsidRPr="005838F1">
        <w:rPr>
          <w:rFonts w:ascii="Calibri" w:hAnsi="Calibri" w:cs="Meridien-Italic"/>
          <w:b/>
          <w:iCs/>
        </w:rPr>
        <w:t xml:space="preserve">Lancet </w:t>
      </w:r>
      <w:r w:rsidRPr="005838F1">
        <w:rPr>
          <w:rFonts w:ascii="Calibri" w:hAnsi="Calibri" w:cs="Meridien-Roman"/>
          <w:b/>
        </w:rPr>
        <w:t>1987;</w:t>
      </w:r>
      <w:r>
        <w:rPr>
          <w:rFonts w:ascii="Calibri" w:hAnsi="Calibri" w:cs="Meridien-Roman"/>
          <w:b/>
        </w:rPr>
        <w:t xml:space="preserve"> </w:t>
      </w:r>
      <w:r w:rsidRPr="005838F1">
        <w:rPr>
          <w:rFonts w:ascii="Calibri" w:hAnsi="Calibri" w:cs="Meridien-Bold"/>
          <w:b/>
          <w:bCs/>
        </w:rPr>
        <w:t>1</w:t>
      </w:r>
      <w:r w:rsidRPr="00E03443">
        <w:rPr>
          <w:rFonts w:ascii="Calibri" w:hAnsi="Calibri"/>
          <w:b/>
          <w:color w:val="000000"/>
        </w:rPr>
        <w:t xml:space="preserve"> </w:t>
      </w:r>
      <w:r>
        <w:rPr>
          <w:rFonts w:ascii="Calibri" w:hAnsi="Calibri"/>
          <w:b/>
          <w:color w:val="000000"/>
        </w:rPr>
        <w:t>(</w:t>
      </w:r>
      <w:r w:rsidRPr="00E03443">
        <w:rPr>
          <w:rFonts w:ascii="Calibri" w:hAnsi="Calibri"/>
          <w:b/>
          <w:color w:val="000000"/>
        </w:rPr>
        <w:t>8547</w:t>
      </w:r>
      <w:r>
        <w:rPr>
          <w:rFonts w:ascii="Calibri" w:hAnsi="Calibri"/>
          <w:b/>
          <w:color w:val="000000"/>
        </w:rPr>
        <w:t xml:space="preserve">): </w:t>
      </w:r>
      <w:r w:rsidRPr="005838F1">
        <w:rPr>
          <w:rFonts w:ascii="Calibri" w:hAnsi="Calibri" w:cs="Meridien-Roman"/>
          <w:b/>
        </w:rPr>
        <w:t>1432.</w:t>
      </w:r>
    </w:p>
    <w:p w14:paraId="59B664F7" w14:textId="77777777" w:rsidR="00065BDB" w:rsidRDefault="00065BDB" w:rsidP="00D1137E">
      <w:pPr>
        <w:shd w:val="clear" w:color="auto" w:fill="FFFFFF"/>
        <w:spacing w:line="312" w:lineRule="atLeast"/>
        <w:ind w:left="45"/>
        <w:rPr>
          <w:rFonts w:ascii="Calibri" w:hAnsi="Calibri" w:cs="Arial"/>
          <w:color w:val="000000"/>
        </w:rPr>
      </w:pPr>
    </w:p>
    <w:p w14:paraId="454C3AA3" w14:textId="77777777" w:rsidR="00D1137E" w:rsidRDefault="00D63102" w:rsidP="008D0B19">
      <w:pPr>
        <w:pStyle w:val="Heading1"/>
        <w:rPr>
          <w:rFonts w:ascii="Calibri" w:hAnsi="Calibri" w:cs="Helvetica"/>
          <w:b/>
          <w:color w:val="000000"/>
          <w:sz w:val="24"/>
          <w:szCs w:val="24"/>
        </w:rPr>
      </w:pPr>
      <w:r w:rsidRPr="00F87A2C">
        <w:rPr>
          <w:rStyle w:val="authornames"/>
          <w:rFonts w:ascii="Calibri" w:hAnsi="Calibri" w:cs="Helvetica"/>
          <w:b/>
          <w:color w:val="000000"/>
          <w:sz w:val="24"/>
          <w:szCs w:val="24"/>
        </w:rPr>
        <w:t>Schiller</w:t>
      </w:r>
      <w:r w:rsidRPr="00F87A2C">
        <w:rPr>
          <w:rStyle w:val="Emphasis"/>
          <w:rFonts w:ascii="Calibri" w:hAnsi="Calibri" w:cs="Helvetica"/>
          <w:b/>
          <w:color w:val="000000"/>
          <w:sz w:val="24"/>
          <w:szCs w:val="24"/>
        </w:rPr>
        <w:t xml:space="preserve"> </w:t>
      </w:r>
      <w:r w:rsidRPr="00F87A2C">
        <w:rPr>
          <w:rStyle w:val="authornames"/>
          <w:rFonts w:ascii="Calibri" w:hAnsi="Calibri" w:cs="Helvetica"/>
          <w:b/>
          <w:color w:val="000000"/>
          <w:sz w:val="24"/>
          <w:szCs w:val="24"/>
        </w:rPr>
        <w:t xml:space="preserve">Y. </w:t>
      </w:r>
      <w:r w:rsidRPr="00F87A2C">
        <w:rPr>
          <w:rFonts w:ascii="Calibri" w:hAnsi="Calibri" w:cs="Helvetica"/>
          <w:b/>
          <w:bCs/>
          <w:color w:val="000000"/>
          <w:sz w:val="24"/>
          <w:szCs w:val="24"/>
        </w:rPr>
        <w:t>Seizure relapse and development of drug resistance following long-term seizure remission.</w:t>
      </w:r>
      <w:r w:rsidRPr="00F87A2C">
        <w:rPr>
          <w:rStyle w:val="Emphasis"/>
          <w:rFonts w:ascii="Calibri" w:hAnsi="Calibri" w:cs="Helvetica"/>
          <w:b/>
          <w:color w:val="000000"/>
          <w:sz w:val="24"/>
          <w:szCs w:val="24"/>
        </w:rPr>
        <w:t xml:space="preserve"> </w:t>
      </w:r>
      <w:r w:rsidRPr="00F87A2C">
        <w:rPr>
          <w:rStyle w:val="Emphasis"/>
          <w:rFonts w:ascii="Calibri" w:hAnsi="Calibri" w:cs="Helvetica"/>
          <w:b/>
          <w:i w:val="0"/>
          <w:color w:val="000000"/>
          <w:sz w:val="24"/>
          <w:szCs w:val="24"/>
        </w:rPr>
        <w:t>Arch Neurol</w:t>
      </w:r>
      <w:r w:rsidRPr="00F87A2C">
        <w:rPr>
          <w:rFonts w:ascii="Calibri" w:hAnsi="Calibri" w:cs="Helvetica"/>
          <w:b/>
          <w:color w:val="000000"/>
          <w:sz w:val="24"/>
          <w:szCs w:val="24"/>
        </w:rPr>
        <w:t>. 2009; 66(10): 1233-1239.</w:t>
      </w:r>
    </w:p>
    <w:p w14:paraId="18725011" w14:textId="77777777" w:rsidR="00B628E6" w:rsidRPr="00F87A2C" w:rsidRDefault="00B628E6" w:rsidP="008D0B19">
      <w:pPr>
        <w:pStyle w:val="Heading1"/>
        <w:rPr>
          <w:rFonts w:ascii="Calibri" w:hAnsi="Calibri"/>
          <w:b/>
          <w:color w:val="000000"/>
          <w:sz w:val="24"/>
          <w:szCs w:val="24"/>
        </w:rPr>
      </w:pPr>
    </w:p>
    <w:p w14:paraId="74764F46" w14:textId="77777777" w:rsidR="00B628E6" w:rsidRDefault="00B628E6" w:rsidP="00B26119">
      <w:pPr>
        <w:autoSpaceDE w:val="0"/>
        <w:autoSpaceDN w:val="0"/>
        <w:adjustRightInd w:val="0"/>
        <w:rPr>
          <w:rFonts w:ascii="Calibri" w:hAnsi="Calibri" w:cs="TimesNewRomanPS"/>
          <w:b/>
        </w:rPr>
      </w:pPr>
      <w:r w:rsidRPr="008F3439">
        <w:rPr>
          <w:rFonts w:ascii="Calibri" w:hAnsi="Calibri" w:cs="TimesNewRomanPS"/>
          <w:b/>
        </w:rPr>
        <w:t>Silpakit O, Amornpichetkoon M, Kaojarern S. Comparative study</w:t>
      </w:r>
      <w:r w:rsidR="00B26119" w:rsidRPr="008F3439">
        <w:rPr>
          <w:rFonts w:ascii="Calibri" w:hAnsi="Calibri" w:cs="TimesNewRomanPS"/>
          <w:b/>
        </w:rPr>
        <w:t xml:space="preserve"> </w:t>
      </w:r>
      <w:r w:rsidRPr="008F3439">
        <w:rPr>
          <w:rFonts w:ascii="Calibri" w:hAnsi="Calibri" w:cs="TimesNewRomanPS"/>
          <w:b/>
        </w:rPr>
        <w:t>of bioavailability and clinical efficacy of carbamazepine in epileptic</w:t>
      </w:r>
      <w:r w:rsidR="00B26119" w:rsidRPr="008F3439">
        <w:rPr>
          <w:rFonts w:ascii="Calibri" w:hAnsi="Calibri" w:cs="TimesNewRomanPS"/>
          <w:b/>
        </w:rPr>
        <w:t xml:space="preserve"> </w:t>
      </w:r>
      <w:r w:rsidRPr="008F3439">
        <w:rPr>
          <w:rFonts w:ascii="Calibri" w:hAnsi="Calibri" w:cs="TimesNewRomanPS"/>
          <w:b/>
        </w:rPr>
        <w:t xml:space="preserve">patients. </w:t>
      </w:r>
      <w:r w:rsidRPr="008F3439">
        <w:rPr>
          <w:rFonts w:ascii="Calibri" w:hAnsi="Calibri" w:cs="TimesNewRomanPS-Italic"/>
          <w:b/>
          <w:iCs/>
        </w:rPr>
        <w:t>Ann Pharmacother</w:t>
      </w:r>
      <w:r w:rsidRPr="008F3439">
        <w:rPr>
          <w:rFonts w:ascii="Calibri" w:hAnsi="Calibri" w:cs="TimesNewRomanPS"/>
          <w:b/>
        </w:rPr>
        <w:t>. May 1997; 31: 548–552.</w:t>
      </w:r>
    </w:p>
    <w:p w14:paraId="79CC2BFC" w14:textId="77777777" w:rsidR="00162981" w:rsidRDefault="00162981" w:rsidP="00B628E6">
      <w:pPr>
        <w:rPr>
          <w:rFonts w:ascii="Calibri" w:hAnsi="Calibri" w:cs="TimesNewRomanPS"/>
          <w:b/>
        </w:rPr>
      </w:pPr>
    </w:p>
    <w:p w14:paraId="28C0509E" w14:textId="77777777" w:rsidR="00162981" w:rsidRPr="00A7565C" w:rsidRDefault="00162981" w:rsidP="00162981">
      <w:pPr>
        <w:autoSpaceDE w:val="0"/>
        <w:autoSpaceDN w:val="0"/>
        <w:adjustRightInd w:val="0"/>
        <w:rPr>
          <w:rFonts w:ascii="Calibri" w:hAnsi="Calibri" w:cs="TimesNewRomanPS"/>
          <w:b/>
        </w:rPr>
      </w:pPr>
      <w:r w:rsidRPr="00A7565C">
        <w:rPr>
          <w:rFonts w:ascii="Calibri" w:hAnsi="Calibri" w:cs="TimesNewRomanPS"/>
          <w:b/>
        </w:rPr>
        <w:t>Soryal I, Richens A. Bioavailability and dissolution of proprietary and</w:t>
      </w:r>
      <w:r>
        <w:rPr>
          <w:rFonts w:ascii="Calibri" w:hAnsi="Calibri" w:cs="TimesNewRomanPS"/>
          <w:b/>
        </w:rPr>
        <w:t xml:space="preserve"> </w:t>
      </w:r>
      <w:r w:rsidRPr="00A7565C">
        <w:rPr>
          <w:rFonts w:ascii="Calibri" w:hAnsi="Calibri" w:cs="TimesNewRomanPS"/>
          <w:b/>
        </w:rPr>
        <w:t xml:space="preserve">generic formulations of phenytoin. </w:t>
      </w:r>
      <w:r w:rsidRPr="00D466D1">
        <w:rPr>
          <w:rFonts w:ascii="Calibri" w:hAnsi="Calibri" w:cs="TimesNewRomanPS-Italic"/>
          <w:b/>
          <w:iCs/>
        </w:rPr>
        <w:t>J Neurol Neurosurg Psychiatry</w:t>
      </w:r>
      <w:r>
        <w:rPr>
          <w:rFonts w:ascii="Calibri" w:hAnsi="Calibri" w:cs="TimesNewRomanPS"/>
          <w:b/>
        </w:rPr>
        <w:t xml:space="preserve"> </w:t>
      </w:r>
      <w:r w:rsidRPr="00A7565C">
        <w:rPr>
          <w:rFonts w:ascii="Calibri" w:hAnsi="Calibri" w:cs="TimesNewRomanPS"/>
          <w:b/>
        </w:rPr>
        <w:t>1992;</w:t>
      </w:r>
      <w:r>
        <w:rPr>
          <w:rFonts w:ascii="Calibri" w:hAnsi="Calibri" w:cs="TimesNewRomanPS"/>
          <w:b/>
        </w:rPr>
        <w:t xml:space="preserve"> </w:t>
      </w:r>
      <w:r w:rsidRPr="00A7565C">
        <w:rPr>
          <w:rFonts w:ascii="Calibri" w:hAnsi="Calibri" w:cs="TimesNewRomanPS"/>
          <w:b/>
        </w:rPr>
        <w:t>55:</w:t>
      </w:r>
      <w:r>
        <w:rPr>
          <w:rFonts w:ascii="Calibri" w:hAnsi="Calibri" w:cs="TimesNewRomanPS"/>
          <w:b/>
        </w:rPr>
        <w:t xml:space="preserve"> </w:t>
      </w:r>
      <w:r w:rsidRPr="00A7565C">
        <w:rPr>
          <w:rFonts w:ascii="Calibri" w:hAnsi="Calibri" w:cs="TimesNewRomanPS"/>
          <w:b/>
        </w:rPr>
        <w:t>688–691.</w:t>
      </w:r>
    </w:p>
    <w:p w14:paraId="74E190CA" w14:textId="77777777" w:rsidR="00162981" w:rsidRPr="00143BF5" w:rsidRDefault="00162981" w:rsidP="001A1720">
      <w:pPr>
        <w:pStyle w:val="Normal1"/>
        <w:rPr>
          <w:rFonts w:ascii="Calibri" w:hAnsi="Calibri"/>
          <w:b/>
        </w:rPr>
      </w:pPr>
    </w:p>
    <w:p w14:paraId="0C7C9BF5" w14:textId="77777777" w:rsidR="00143BF5" w:rsidRPr="00143BF5" w:rsidRDefault="00143BF5" w:rsidP="00143BF5">
      <w:pPr>
        <w:autoSpaceDE w:val="0"/>
        <w:autoSpaceDN w:val="0"/>
        <w:adjustRightInd w:val="0"/>
        <w:rPr>
          <w:rFonts w:ascii="Calibri" w:hAnsi="Calibri" w:cs="AdvTTda6f6cb8.B"/>
          <w:b/>
          <w:color w:val="000000"/>
        </w:rPr>
      </w:pPr>
      <w:r w:rsidRPr="00143BF5">
        <w:rPr>
          <w:rFonts w:ascii="Calibri" w:hAnsi="Calibri"/>
          <w:b/>
        </w:rPr>
        <w:t>Sperling MR, Schilling CA, Glosser D, Tracy JL, Asadi-Pooya AA.  Self-perception of seizure precipitants and their relation to anxiety level, depression, and health locus of control in epilepsy.</w:t>
      </w:r>
      <w:r>
        <w:rPr>
          <w:rFonts w:ascii="Calibri" w:hAnsi="Calibri"/>
          <w:b/>
        </w:rPr>
        <w:t xml:space="preserve"> Seizure</w:t>
      </w:r>
      <w:r w:rsidRPr="00143BF5">
        <w:rPr>
          <w:rFonts w:ascii="Calibri" w:hAnsi="Calibri"/>
          <w:b/>
        </w:rPr>
        <w:t xml:space="preserve"> Jun 2008; 17 (4): 302 – 307. </w:t>
      </w:r>
    </w:p>
    <w:p w14:paraId="2377C22C" w14:textId="77777777" w:rsidR="00143BF5" w:rsidRPr="00143BF5" w:rsidRDefault="00143BF5" w:rsidP="001A1720">
      <w:pPr>
        <w:pStyle w:val="Normal1"/>
        <w:rPr>
          <w:rFonts w:ascii="Calibri" w:hAnsi="Calibri"/>
          <w:b/>
        </w:rPr>
      </w:pPr>
    </w:p>
    <w:p w14:paraId="4460E65B" w14:textId="77777777" w:rsidR="00162981" w:rsidRDefault="00162981" w:rsidP="00162981">
      <w:pPr>
        <w:autoSpaceDE w:val="0"/>
        <w:autoSpaceDN w:val="0"/>
        <w:adjustRightInd w:val="0"/>
        <w:rPr>
          <w:rFonts w:ascii="Calibri" w:hAnsi="Calibri" w:cs="Times-Roman"/>
          <w:b/>
        </w:rPr>
      </w:pPr>
      <w:r w:rsidRPr="00911F44">
        <w:rPr>
          <w:rFonts w:ascii="Calibri" w:hAnsi="Calibri" w:cs="Times-Roman"/>
          <w:b/>
        </w:rPr>
        <w:t>Srichaiya A, Longchoopol C, Oo-Puthinan S, Sayasathid J, Sripalakit P, Viyoch J. Bioequivalence of generic lamotrigine 100-mg tablets in healthy Thai male volunteers: a randomized, single-dose, two-period, two-sequence crossover study. Clin Ther 2008;</w:t>
      </w:r>
      <w:r>
        <w:rPr>
          <w:rFonts w:ascii="Calibri" w:hAnsi="Calibri" w:cs="Times-Roman"/>
          <w:b/>
        </w:rPr>
        <w:t xml:space="preserve"> </w:t>
      </w:r>
      <w:r w:rsidRPr="00911F44">
        <w:rPr>
          <w:rFonts w:ascii="Calibri" w:hAnsi="Calibri" w:cs="Times-Roman"/>
          <w:b/>
        </w:rPr>
        <w:t xml:space="preserve">30 </w:t>
      </w:r>
      <w:r>
        <w:rPr>
          <w:rFonts w:ascii="Calibri" w:hAnsi="Calibri" w:cs="Times-Roman"/>
          <w:b/>
        </w:rPr>
        <w:t>(</w:t>
      </w:r>
      <w:r w:rsidRPr="00911F44">
        <w:rPr>
          <w:rFonts w:ascii="Calibri" w:hAnsi="Calibri" w:cs="Times-Roman"/>
          <w:b/>
        </w:rPr>
        <w:t>10</w:t>
      </w:r>
      <w:r>
        <w:rPr>
          <w:rFonts w:ascii="Calibri" w:hAnsi="Calibri" w:cs="Times-Roman"/>
          <w:b/>
        </w:rPr>
        <w:t xml:space="preserve">): </w:t>
      </w:r>
      <w:r w:rsidRPr="00911F44">
        <w:rPr>
          <w:rFonts w:ascii="Calibri" w:hAnsi="Calibri" w:cs="Times-Roman"/>
          <w:b/>
        </w:rPr>
        <w:t>1844-</w:t>
      </w:r>
      <w:r>
        <w:rPr>
          <w:rFonts w:ascii="Calibri" w:hAnsi="Calibri" w:cs="Times-Roman"/>
          <w:b/>
        </w:rPr>
        <w:t xml:space="preserve"> </w:t>
      </w:r>
      <w:r w:rsidRPr="00911F44">
        <w:rPr>
          <w:rFonts w:ascii="Calibri" w:hAnsi="Calibri" w:cs="Times-Roman"/>
          <w:b/>
        </w:rPr>
        <w:t>51.</w:t>
      </w:r>
    </w:p>
    <w:p w14:paraId="5471F8C4" w14:textId="77777777" w:rsidR="00162981" w:rsidRPr="00911F44" w:rsidRDefault="00162981" w:rsidP="00162981">
      <w:pPr>
        <w:autoSpaceDE w:val="0"/>
        <w:autoSpaceDN w:val="0"/>
        <w:adjustRightInd w:val="0"/>
        <w:rPr>
          <w:rFonts w:ascii="Calibri" w:hAnsi="Calibri" w:cs="Times-Roman"/>
          <w:b/>
        </w:rPr>
      </w:pPr>
    </w:p>
    <w:p w14:paraId="33614A86" w14:textId="77777777" w:rsidR="00162981" w:rsidRPr="00517208" w:rsidRDefault="00162981" w:rsidP="00162981">
      <w:pPr>
        <w:rPr>
          <w:rFonts w:ascii="Calibri" w:hAnsi="Calibri"/>
          <w:color w:val="000000"/>
        </w:rPr>
      </w:pPr>
      <w:r w:rsidRPr="005B07B5">
        <w:rPr>
          <w:rFonts w:ascii="Calibri" w:hAnsi="Calibri"/>
          <w:b/>
          <w:color w:val="000000"/>
        </w:rPr>
        <w:t>Stetz SA. (Letter) Neurology August 2005; 65: 657 – 658</w:t>
      </w:r>
      <w:r w:rsidR="00B26119" w:rsidRPr="005B07B5">
        <w:rPr>
          <w:rFonts w:ascii="Calibri" w:hAnsi="Calibri"/>
          <w:b/>
          <w:color w:val="000000"/>
        </w:rPr>
        <w:t>.</w:t>
      </w:r>
      <w:r w:rsidRPr="00517208">
        <w:rPr>
          <w:rFonts w:ascii="Calibri" w:hAnsi="Calibri"/>
          <w:b/>
          <w:color w:val="000000"/>
        </w:rPr>
        <w:t xml:space="preserve"> </w:t>
      </w:r>
    </w:p>
    <w:p w14:paraId="3674CFEC" w14:textId="77777777" w:rsidR="00162981" w:rsidRDefault="00162981" w:rsidP="001A1720">
      <w:pPr>
        <w:pStyle w:val="Normal1"/>
        <w:rPr>
          <w:rFonts w:ascii="Calibri" w:hAnsi="Calibri"/>
          <w:b/>
        </w:rPr>
      </w:pPr>
    </w:p>
    <w:p w14:paraId="3A595106" w14:textId="77777777" w:rsidR="00F23530" w:rsidRPr="00B24DD3" w:rsidRDefault="00F23530" w:rsidP="00F23530">
      <w:pPr>
        <w:pStyle w:val="Normal1"/>
        <w:rPr>
          <w:rFonts w:ascii="Calibri" w:hAnsi="Calibri"/>
          <w:b/>
        </w:rPr>
      </w:pPr>
      <w:r w:rsidRPr="00B24DD3">
        <w:rPr>
          <w:rFonts w:ascii="Calibri" w:hAnsi="Calibri"/>
          <w:b/>
        </w:rPr>
        <w:t>Summary of Product Characteristics for Frisium (Clobazam). Date of revision of text April 2011. Accessed via http://www.medicines.org.uk/emc/medicine/8298/SPC/</w:t>
      </w:r>
      <w:r>
        <w:rPr>
          <w:rFonts w:ascii="Calibri" w:hAnsi="Calibri"/>
          <w:b/>
        </w:rPr>
        <w:t>.</w:t>
      </w:r>
      <w:r w:rsidRPr="00B24DD3">
        <w:rPr>
          <w:rFonts w:ascii="Calibri" w:hAnsi="Calibri"/>
          <w:b/>
        </w:rPr>
        <w:t xml:space="preserve"> </w:t>
      </w:r>
    </w:p>
    <w:p w14:paraId="27B80FFC" w14:textId="77777777" w:rsidR="004B49D1" w:rsidRDefault="004B49D1" w:rsidP="00F23530">
      <w:pPr>
        <w:rPr>
          <w:rFonts w:ascii="Calibri" w:hAnsi="Calibri"/>
          <w:b/>
        </w:rPr>
      </w:pPr>
    </w:p>
    <w:p w14:paraId="0F86272D" w14:textId="60D35200" w:rsidR="00F23530" w:rsidRDefault="00F23530" w:rsidP="00F23530">
      <w:pPr>
        <w:rPr>
          <w:rStyle w:val="normalChar"/>
          <w:rFonts w:ascii="Calibri" w:hAnsi="Calibri"/>
          <w:b/>
        </w:rPr>
      </w:pPr>
      <w:r w:rsidRPr="003C60FB">
        <w:rPr>
          <w:rFonts w:ascii="Calibri" w:hAnsi="Calibri"/>
          <w:b/>
        </w:rPr>
        <w:t xml:space="preserve">Summary of Product Characteristics for Zebinix (eslicarbazepine).  Date of revision of text June 2012.  Accessed via </w:t>
      </w:r>
      <w:r>
        <w:rPr>
          <w:rFonts w:ascii="Calibri" w:hAnsi="Calibri"/>
          <w:b/>
        </w:rPr>
        <w:t xml:space="preserve"> </w:t>
      </w:r>
      <w:r w:rsidRPr="003C60FB">
        <w:rPr>
          <w:rStyle w:val="normalChar"/>
          <w:rFonts w:ascii="Calibri" w:hAnsi="Calibri"/>
          <w:b/>
        </w:rPr>
        <w:t>http://www.medicines.org.uk/emc/medicine/22376/SPC/.</w:t>
      </w:r>
    </w:p>
    <w:p w14:paraId="63F4F83B" w14:textId="47E3E2E6" w:rsidR="003D0DCE" w:rsidRDefault="003D0DCE" w:rsidP="00F23530">
      <w:pPr>
        <w:rPr>
          <w:rStyle w:val="normalChar"/>
          <w:rFonts w:ascii="Calibri" w:hAnsi="Calibri"/>
          <w:b/>
        </w:rPr>
      </w:pPr>
    </w:p>
    <w:p w14:paraId="0C8467E0" w14:textId="44773222" w:rsidR="003D0DCE" w:rsidRPr="006C7EBE" w:rsidRDefault="003D0DCE" w:rsidP="00F23530">
      <w:pPr>
        <w:rPr>
          <w:rStyle w:val="normalChar"/>
          <w:rFonts w:ascii="Calibri" w:hAnsi="Calibri" w:cs="Calibri"/>
          <w:b/>
          <w:lang w:val="en-US"/>
        </w:rPr>
      </w:pPr>
      <w:r w:rsidRPr="00763112">
        <w:rPr>
          <w:rStyle w:val="normalChar"/>
          <w:rFonts w:ascii="Calibri" w:hAnsi="Calibri" w:cs="Calibri"/>
          <w:b/>
          <w:lang w:val="en-US"/>
        </w:rPr>
        <w:t>Summary of Product Characteristics for B</w:t>
      </w:r>
      <w:r w:rsidR="00E40103" w:rsidRPr="00763112">
        <w:rPr>
          <w:rStyle w:val="normalChar"/>
          <w:rFonts w:ascii="Calibri" w:hAnsi="Calibri" w:cs="Calibri"/>
          <w:b/>
          <w:lang w:val="en-US"/>
        </w:rPr>
        <w:t>riviact (b</w:t>
      </w:r>
      <w:r w:rsidRPr="00763112">
        <w:rPr>
          <w:rStyle w:val="normalChar"/>
          <w:rFonts w:ascii="Calibri" w:hAnsi="Calibri" w:cs="Calibri"/>
          <w:b/>
          <w:lang w:val="en-US"/>
        </w:rPr>
        <w:t>riva</w:t>
      </w:r>
      <w:r w:rsidR="00311C5F" w:rsidRPr="00763112">
        <w:rPr>
          <w:rStyle w:val="normalChar"/>
          <w:rFonts w:ascii="Calibri" w:hAnsi="Calibri" w:cs="Calibri"/>
          <w:b/>
          <w:lang w:val="en-US"/>
        </w:rPr>
        <w:t>ra</w:t>
      </w:r>
      <w:r w:rsidRPr="00763112">
        <w:rPr>
          <w:rStyle w:val="normalChar"/>
          <w:rFonts w:ascii="Calibri" w:hAnsi="Calibri" w:cs="Calibri"/>
          <w:b/>
          <w:lang w:val="en-US"/>
        </w:rPr>
        <w:t>cetam</w:t>
      </w:r>
      <w:r w:rsidR="00E40103" w:rsidRPr="00763112">
        <w:rPr>
          <w:rStyle w:val="normalChar"/>
          <w:rFonts w:ascii="Calibri" w:hAnsi="Calibri" w:cs="Calibri"/>
          <w:b/>
          <w:lang w:val="en-US"/>
        </w:rPr>
        <w:t>)</w:t>
      </w:r>
      <w:r w:rsidRPr="00763112">
        <w:rPr>
          <w:rStyle w:val="normalChar"/>
          <w:rFonts w:ascii="Calibri" w:hAnsi="Calibri" w:cs="Calibri"/>
          <w:b/>
          <w:lang w:val="en-US"/>
        </w:rPr>
        <w:t xml:space="preserve">.  Date of revision of text </w:t>
      </w:r>
      <w:r w:rsidR="00E40103" w:rsidRPr="00763112">
        <w:rPr>
          <w:rStyle w:val="normalChar"/>
          <w:rFonts w:ascii="Calibri" w:hAnsi="Calibri" w:cs="Calibri"/>
          <w:b/>
          <w:lang w:val="en-US"/>
        </w:rPr>
        <w:t xml:space="preserve">January 2020. </w:t>
      </w:r>
      <w:r w:rsidR="004B49D1" w:rsidRPr="006C7EBE">
        <w:rPr>
          <w:rStyle w:val="normalChar"/>
          <w:rFonts w:ascii="Calibri" w:hAnsi="Calibri" w:cs="Calibri"/>
          <w:b/>
          <w:lang w:val="en-US"/>
        </w:rPr>
        <w:t xml:space="preserve">Accessed via </w:t>
      </w:r>
      <w:hyperlink r:id="rId25" w:history="1">
        <w:r w:rsidR="004B49D1" w:rsidRPr="006C7EBE">
          <w:rPr>
            <w:rStyle w:val="Hyperlink"/>
            <w:rFonts w:ascii="Calibri" w:hAnsi="Calibri" w:cs="Calibri"/>
            <w:b/>
            <w:lang w:val="en-US"/>
          </w:rPr>
          <w:t>https://www.medicines.org.uk/emc/product/1963/smpc</w:t>
        </w:r>
      </w:hyperlink>
    </w:p>
    <w:p w14:paraId="02F146EB" w14:textId="77777777" w:rsidR="003D0DCE" w:rsidRPr="006C7EBE" w:rsidRDefault="003D0DCE" w:rsidP="00F23530">
      <w:pPr>
        <w:rPr>
          <w:rStyle w:val="normalChar"/>
          <w:rFonts w:ascii="Calibri" w:hAnsi="Calibri"/>
          <w:b/>
          <w:lang w:val="en-US"/>
        </w:rPr>
      </w:pPr>
    </w:p>
    <w:p w14:paraId="12137C63" w14:textId="77777777" w:rsidR="000B67CE" w:rsidRPr="000B67CE" w:rsidRDefault="000B67CE" w:rsidP="000B67CE">
      <w:pPr>
        <w:rPr>
          <w:rFonts w:ascii="Calibri" w:hAnsi="Calibri" w:cs="Calibri"/>
          <w:b/>
          <w:bCs/>
          <w:color w:val="000000"/>
          <w:lang w:val="en-US"/>
        </w:rPr>
      </w:pPr>
      <w:r w:rsidRPr="006C7EBE">
        <w:rPr>
          <w:rFonts w:ascii="Calibri" w:hAnsi="Calibri" w:cs="Calibri"/>
          <w:b/>
          <w:bCs/>
          <w:color w:val="000000"/>
          <w:lang w:val="en-US"/>
        </w:rPr>
        <w:t xml:space="preserve">Talati R. et al. </w:t>
      </w:r>
      <w:r w:rsidRPr="000B67CE">
        <w:rPr>
          <w:rFonts w:ascii="Calibri" w:hAnsi="Calibri" w:cs="Calibri"/>
          <w:b/>
          <w:bCs/>
          <w:color w:val="000000"/>
          <w:lang w:val="en-US"/>
        </w:rPr>
        <w:t>Efficacy and Safety of Innovator versus Generic Drugs in Patients with Epilepsy: A Systematic Review.  Pharmacotherapy 2012;32(4):314–322.</w:t>
      </w:r>
    </w:p>
    <w:p w14:paraId="1CECC1E5" w14:textId="77777777" w:rsidR="006F5671" w:rsidRPr="003C60FB" w:rsidRDefault="006F5671" w:rsidP="00F23530">
      <w:pPr>
        <w:rPr>
          <w:rFonts w:ascii="Calibri" w:hAnsi="Calibri" w:cs="Arial"/>
          <w:b/>
        </w:rPr>
      </w:pPr>
    </w:p>
    <w:p w14:paraId="48B768BA" w14:textId="77777777" w:rsidR="006F5671" w:rsidRPr="006F5671" w:rsidRDefault="006F5671" w:rsidP="006F5671">
      <w:pPr>
        <w:spacing w:after="80"/>
        <w:rPr>
          <w:rFonts w:ascii="Calibri" w:hAnsi="Calibri" w:cs="Calibri"/>
          <w:b/>
          <w:bCs/>
          <w:color w:val="000000"/>
        </w:rPr>
      </w:pPr>
      <w:r w:rsidRPr="006C7EBE">
        <w:rPr>
          <w:rFonts w:ascii="Calibri" w:hAnsi="Calibri" w:cs="Calibri"/>
          <w:b/>
          <w:bCs/>
          <w:color w:val="000000"/>
          <w:lang w:val="en-US"/>
        </w:rPr>
        <w:t xml:space="preserve">Ting T.Y et al.  </w:t>
      </w:r>
      <w:r w:rsidRPr="006F5671">
        <w:rPr>
          <w:rFonts w:ascii="Calibri" w:hAnsi="Calibri" w:cs="Calibri"/>
          <w:b/>
          <w:bCs/>
          <w:color w:val="000000"/>
        </w:rPr>
        <w:t>Generic lamotrigine versus brand-name Lamictal bioequivalence in patients with epilepsy: A field test of the FDA bioequivalence standard.  Epilepsia; Sep 2015; vol. 56 (no. 9); p. 1415-1424.</w:t>
      </w:r>
    </w:p>
    <w:p w14:paraId="59896276" w14:textId="77777777" w:rsidR="009673C7" w:rsidRDefault="009673C7" w:rsidP="001A1720">
      <w:pPr>
        <w:pStyle w:val="Normal1"/>
        <w:rPr>
          <w:rFonts w:ascii="Calibri" w:hAnsi="Calibri"/>
          <w:b/>
        </w:rPr>
      </w:pPr>
    </w:p>
    <w:p w14:paraId="6BD3EA3A" w14:textId="2F530759" w:rsidR="009673C7" w:rsidRDefault="009673C7" w:rsidP="009673C7">
      <w:pPr>
        <w:rPr>
          <w:rFonts w:ascii="Calibri" w:hAnsi="Calibri" w:cs="Calibri"/>
          <w:b/>
          <w:bCs/>
          <w:color w:val="000000"/>
        </w:rPr>
      </w:pPr>
      <w:r w:rsidRPr="009673C7">
        <w:rPr>
          <w:rFonts w:ascii="Calibri" w:hAnsi="Calibri" w:cs="Calibri"/>
          <w:b/>
          <w:bCs/>
          <w:color w:val="000000"/>
        </w:rPr>
        <w:t>Vari MS et al. Safety of Overnight Switch from Brand-Name to Generic Levetiracetam. Clin Drug Investig (2016) 36:87–91.</w:t>
      </w:r>
    </w:p>
    <w:p w14:paraId="1F4D9D94" w14:textId="77777777" w:rsidR="004A4814" w:rsidRPr="009673C7" w:rsidRDefault="004A4814" w:rsidP="009673C7">
      <w:pPr>
        <w:rPr>
          <w:rFonts w:ascii="Calibri" w:hAnsi="Calibri" w:cs="Calibri"/>
          <w:b/>
          <w:bCs/>
          <w:color w:val="000000"/>
        </w:rPr>
      </w:pPr>
    </w:p>
    <w:p w14:paraId="5F34CCE2" w14:textId="77777777" w:rsidR="004A4814" w:rsidRPr="004A4814" w:rsidRDefault="004A4814" w:rsidP="004A4814">
      <w:pPr>
        <w:spacing w:after="80"/>
        <w:rPr>
          <w:rFonts w:ascii="Calibri" w:hAnsi="Calibri" w:cs="Calibri"/>
          <w:b/>
          <w:bCs/>
          <w:color w:val="000000"/>
        </w:rPr>
      </w:pPr>
      <w:bookmarkStart w:id="34" w:name="b231c87a-5a75-3e58-b40e-158e717e96ae-37"/>
      <w:r w:rsidRPr="004A4814">
        <w:rPr>
          <w:rFonts w:ascii="Calibri" w:hAnsi="Calibri" w:cs="Calibri"/>
          <w:b/>
          <w:bCs/>
          <w:color w:val="000000"/>
        </w:rPr>
        <w:t>Vaithianathan et al.  Biopharmaceutic Risk Assessment of Brand and Generic Lamotrigine Tablets</w:t>
      </w:r>
      <w:bookmarkEnd w:id="34"/>
      <w:r w:rsidRPr="004A4814">
        <w:rPr>
          <w:rFonts w:ascii="Calibri" w:hAnsi="Calibri" w:cs="Calibri"/>
          <w:b/>
          <w:bCs/>
          <w:color w:val="000000"/>
        </w:rPr>
        <w:t>.  Molecular Pharmaceutics; Jul 2015; vol. 12 (no. 7); p. 2436-2443.</w:t>
      </w:r>
    </w:p>
    <w:p w14:paraId="2BB15354" w14:textId="77777777" w:rsidR="00B277BA" w:rsidRDefault="00B277BA" w:rsidP="001A1720">
      <w:pPr>
        <w:pStyle w:val="Normal1"/>
        <w:rPr>
          <w:rFonts w:ascii="Calibri" w:hAnsi="Calibri"/>
          <w:b/>
        </w:rPr>
      </w:pPr>
    </w:p>
    <w:p w14:paraId="4CD694E2" w14:textId="77777777" w:rsidR="00B277BA" w:rsidRPr="008F3439" w:rsidRDefault="00B277BA" w:rsidP="00B277BA">
      <w:pPr>
        <w:rPr>
          <w:rFonts w:ascii="Calibri" w:hAnsi="Calibri"/>
          <w:b/>
        </w:rPr>
      </w:pPr>
      <w:r w:rsidRPr="008F3439">
        <w:rPr>
          <w:rFonts w:ascii="Calibri" w:hAnsi="Calibri"/>
          <w:b/>
        </w:rPr>
        <w:t>Wangemann M, Retzow A, Evers G, Mazur D, Schug B, Blume H.  Bioavailability study of two carbamazepine containing sustained release formulations after multiple oral dose administration. Arzneimittel Forschung/Drug Res 1998; 48: 1131—7.</w:t>
      </w:r>
    </w:p>
    <w:p w14:paraId="5F1A73FF" w14:textId="77777777" w:rsidR="001A1720" w:rsidRPr="008F3439" w:rsidRDefault="001A1720" w:rsidP="001A1720">
      <w:pPr>
        <w:pStyle w:val="Normal1"/>
        <w:rPr>
          <w:rFonts w:ascii="Calibri" w:hAnsi="Calibri"/>
          <w:b/>
        </w:rPr>
      </w:pPr>
    </w:p>
    <w:p w14:paraId="14E0EBEF" w14:textId="77777777" w:rsidR="00B628E6" w:rsidRDefault="00B628E6" w:rsidP="00B628E6">
      <w:pPr>
        <w:autoSpaceDE w:val="0"/>
        <w:autoSpaceDN w:val="0"/>
        <w:adjustRightInd w:val="0"/>
        <w:rPr>
          <w:rFonts w:ascii="Calibri" w:hAnsi="Calibri"/>
          <w:b/>
        </w:rPr>
      </w:pPr>
      <w:r w:rsidRPr="008F3439">
        <w:rPr>
          <w:rFonts w:ascii="Calibri" w:hAnsi="Calibri"/>
          <w:b/>
        </w:rPr>
        <w:t>Welty TE, Pickering PR, Hale BC, Arazi R. Loss of seizure control associated with generic substitution of carbamazepine. Ann Pharmacother 1992; 26: 775—7.</w:t>
      </w:r>
    </w:p>
    <w:p w14:paraId="13C7F1B0" w14:textId="77777777" w:rsidR="00162981" w:rsidRPr="001C6F7B" w:rsidRDefault="00162981" w:rsidP="00B628E6">
      <w:pPr>
        <w:autoSpaceDE w:val="0"/>
        <w:autoSpaceDN w:val="0"/>
        <w:adjustRightInd w:val="0"/>
        <w:rPr>
          <w:rFonts w:ascii="Calibri" w:hAnsi="Calibri"/>
          <w:b/>
          <w:color w:val="000000"/>
        </w:rPr>
      </w:pPr>
    </w:p>
    <w:p w14:paraId="788FB9D0" w14:textId="77777777" w:rsidR="00162981" w:rsidRPr="001C6F7B" w:rsidRDefault="00162981" w:rsidP="00162981">
      <w:pPr>
        <w:rPr>
          <w:rFonts w:ascii="Calibri" w:hAnsi="Calibri"/>
          <w:b/>
          <w:color w:val="000000"/>
        </w:rPr>
      </w:pPr>
      <w:r w:rsidRPr="001C6F7B">
        <w:rPr>
          <w:rFonts w:ascii="Calibri" w:hAnsi="Calibri"/>
          <w:b/>
          <w:color w:val="000000"/>
        </w:rPr>
        <w:t>Wilder BJ, Leppik I, Hietpas TJ, Cloyd JC, Randinitis EJ, Cook J.  Effects of food on absorption of Dilantin Kapseals and Mylan extended phenytoin sodium capsules. Neurology 2001; 57: 582–589.</w:t>
      </w:r>
    </w:p>
    <w:p w14:paraId="3CD84857" w14:textId="77777777" w:rsidR="001A1720" w:rsidRDefault="001A1720" w:rsidP="001A1720">
      <w:pPr>
        <w:pStyle w:val="Normal1"/>
        <w:rPr>
          <w:rFonts w:ascii="Calibri" w:hAnsi="Calibri"/>
          <w:b/>
        </w:rPr>
      </w:pPr>
    </w:p>
    <w:p w14:paraId="505BFB1C" w14:textId="77777777" w:rsidR="00D63102" w:rsidRDefault="007F40B9" w:rsidP="008D0B19">
      <w:pPr>
        <w:pStyle w:val="Heading1"/>
        <w:rPr>
          <w:rFonts w:ascii="Calibri" w:hAnsi="Calibri" w:cs="AdvPSTim"/>
          <w:b/>
          <w:color w:val="000000"/>
          <w:sz w:val="24"/>
          <w:szCs w:val="24"/>
        </w:rPr>
      </w:pPr>
      <w:r w:rsidRPr="007F40B9">
        <w:rPr>
          <w:rFonts w:ascii="Calibri" w:hAnsi="Calibri"/>
          <w:b/>
          <w:color w:val="000000"/>
          <w:sz w:val="24"/>
          <w:szCs w:val="24"/>
        </w:rPr>
        <w:t xml:space="preserve">Wilner AN. </w:t>
      </w:r>
      <w:r>
        <w:rPr>
          <w:rFonts w:ascii="Calibri" w:hAnsi="Calibri"/>
          <w:b/>
          <w:color w:val="000000"/>
          <w:sz w:val="24"/>
          <w:szCs w:val="24"/>
        </w:rPr>
        <w:t xml:space="preserve"> </w:t>
      </w:r>
      <w:r w:rsidRPr="007F40B9">
        <w:rPr>
          <w:rFonts w:ascii="Calibri" w:hAnsi="Calibri" w:cs="AdvPSTim"/>
          <w:b/>
          <w:color w:val="000000"/>
          <w:sz w:val="24"/>
          <w:szCs w:val="24"/>
        </w:rPr>
        <w:t>Physicians underestimate the frequency of generic carbamazepine substitution: results of a survey and review of the problem Epilepsy &amp; Behavior Dec 2002; 3 (6): 522–525.</w:t>
      </w:r>
    </w:p>
    <w:p w14:paraId="73BD4247" w14:textId="77777777" w:rsidR="00B628E6" w:rsidRDefault="00B628E6" w:rsidP="008D0B19">
      <w:pPr>
        <w:pStyle w:val="Heading1"/>
        <w:rPr>
          <w:rFonts w:ascii="Calibri" w:hAnsi="Calibri" w:cs="AdvPSTim"/>
          <w:b/>
          <w:color w:val="000000"/>
          <w:sz w:val="24"/>
          <w:szCs w:val="24"/>
        </w:rPr>
      </w:pPr>
    </w:p>
    <w:p w14:paraId="3EA48738" w14:textId="77777777" w:rsidR="00B628E6" w:rsidRPr="00DA4103" w:rsidRDefault="00B628E6" w:rsidP="00B628E6">
      <w:pPr>
        <w:autoSpaceDE w:val="0"/>
        <w:autoSpaceDN w:val="0"/>
        <w:adjustRightInd w:val="0"/>
        <w:rPr>
          <w:rFonts w:ascii="Calibri" w:hAnsi="Calibri"/>
          <w:b/>
          <w:lang w:val="de-DE"/>
        </w:rPr>
      </w:pPr>
      <w:r w:rsidRPr="008F3439">
        <w:rPr>
          <w:rFonts w:ascii="Calibri" w:hAnsi="Calibri"/>
          <w:b/>
        </w:rPr>
        <w:t>Wolf P, May T, Tiska G, Schreiber G. Stead s</w:t>
      </w:r>
      <w:r w:rsidR="00907A95" w:rsidRPr="008F3439">
        <w:rPr>
          <w:rFonts w:ascii="Calibri" w:hAnsi="Calibri"/>
          <w:b/>
        </w:rPr>
        <w:t>t</w:t>
      </w:r>
      <w:r w:rsidRPr="008F3439">
        <w:rPr>
          <w:rFonts w:ascii="Calibri" w:hAnsi="Calibri"/>
          <w:b/>
        </w:rPr>
        <w:t xml:space="preserve">ate concentrations and diurnal fluctuations of carbamazepine in patients with different slow release formulations. </w:t>
      </w:r>
      <w:r w:rsidRPr="00DA4103">
        <w:rPr>
          <w:rFonts w:ascii="Calibri" w:hAnsi="Calibri"/>
          <w:b/>
          <w:lang w:val="de-DE"/>
        </w:rPr>
        <w:t>Arzneimittel Forschung/ Drug Res 1992; 42: 284—8.</w:t>
      </w:r>
    </w:p>
    <w:p w14:paraId="48E438B3" w14:textId="77777777" w:rsidR="00162981" w:rsidRPr="00DA4103" w:rsidRDefault="00162981" w:rsidP="00B628E6">
      <w:pPr>
        <w:autoSpaceDE w:val="0"/>
        <w:autoSpaceDN w:val="0"/>
        <w:adjustRightInd w:val="0"/>
        <w:rPr>
          <w:rFonts w:ascii="Calibri" w:hAnsi="Calibri"/>
          <w:b/>
          <w:lang w:val="de-DE"/>
        </w:rPr>
      </w:pPr>
    </w:p>
    <w:p w14:paraId="765FFE32" w14:textId="77777777" w:rsidR="00162981" w:rsidRPr="00D14901" w:rsidRDefault="00162981" w:rsidP="00162981">
      <w:pPr>
        <w:autoSpaceDE w:val="0"/>
        <w:autoSpaceDN w:val="0"/>
        <w:adjustRightInd w:val="0"/>
        <w:rPr>
          <w:rFonts w:ascii="Calibri" w:hAnsi="Calibri" w:cs="TimesNewRomanPS"/>
          <w:b/>
        </w:rPr>
      </w:pPr>
      <w:r w:rsidRPr="00DA4103">
        <w:rPr>
          <w:rFonts w:ascii="Calibri" w:hAnsi="Calibri" w:cs="TimesNewRomanPS"/>
          <w:b/>
          <w:lang w:val="de-DE"/>
        </w:rPr>
        <w:t xml:space="preserve">Wyllie E, Pippenger CE, Rothner AD. </w:t>
      </w:r>
      <w:r w:rsidRPr="00D14901">
        <w:rPr>
          <w:rFonts w:ascii="Calibri" w:hAnsi="Calibri" w:cs="TimesNewRomanPS"/>
          <w:b/>
        </w:rPr>
        <w:t>Increased seizure frequency with</w:t>
      </w:r>
      <w:r w:rsidR="00B26119">
        <w:rPr>
          <w:rFonts w:ascii="Calibri" w:hAnsi="Calibri" w:cs="TimesNewRomanPS"/>
          <w:b/>
        </w:rPr>
        <w:t xml:space="preserve"> </w:t>
      </w:r>
      <w:r w:rsidRPr="00D14901">
        <w:rPr>
          <w:rFonts w:ascii="Calibri" w:hAnsi="Calibri" w:cs="TimesNewRomanPS"/>
          <w:b/>
        </w:rPr>
        <w:t xml:space="preserve">generic primidone. </w:t>
      </w:r>
      <w:r w:rsidRPr="00D14901">
        <w:rPr>
          <w:rFonts w:ascii="Calibri" w:hAnsi="Calibri" w:cs="TimesNewRomanPS-Italic"/>
          <w:b/>
          <w:iCs/>
        </w:rPr>
        <w:t>JAMA</w:t>
      </w:r>
      <w:r w:rsidRPr="00D14901">
        <w:rPr>
          <w:rFonts w:ascii="Calibri" w:hAnsi="Calibri" w:cs="TimesNewRomanPS"/>
          <w:b/>
        </w:rPr>
        <w:t xml:space="preserve"> </w:t>
      </w:r>
      <w:r w:rsidRPr="00D14901">
        <w:rPr>
          <w:rFonts w:ascii="Calibri" w:hAnsi="Calibri"/>
          <w:b/>
        </w:rPr>
        <w:t xml:space="preserve">4 Sept </w:t>
      </w:r>
      <w:r w:rsidRPr="00D14901">
        <w:rPr>
          <w:rFonts w:ascii="Calibri" w:hAnsi="Calibri" w:cs="TimesNewRomanPS"/>
          <w:b/>
        </w:rPr>
        <w:t>1987; 258 (9): 1216–1217.</w:t>
      </w:r>
    </w:p>
    <w:p w14:paraId="5BA7B5D4" w14:textId="77777777" w:rsidR="00B628E6" w:rsidRPr="007F40B9" w:rsidRDefault="00B628E6" w:rsidP="008D0B19">
      <w:pPr>
        <w:pStyle w:val="Heading1"/>
        <w:rPr>
          <w:rFonts w:ascii="Calibri" w:hAnsi="Calibri"/>
          <w:b/>
          <w:color w:val="000000"/>
          <w:sz w:val="24"/>
          <w:szCs w:val="24"/>
        </w:rPr>
      </w:pPr>
    </w:p>
    <w:p w14:paraId="4BF774FC" w14:textId="77777777" w:rsidR="00B628E6" w:rsidRDefault="00B628E6" w:rsidP="00B628E6">
      <w:pPr>
        <w:autoSpaceDE w:val="0"/>
        <w:autoSpaceDN w:val="0"/>
        <w:adjustRightInd w:val="0"/>
        <w:rPr>
          <w:rFonts w:ascii="Calibri" w:hAnsi="Calibri"/>
          <w:b/>
          <w:color w:val="000000"/>
        </w:rPr>
      </w:pPr>
      <w:r>
        <w:rPr>
          <w:rFonts w:ascii="Calibri" w:hAnsi="Calibri" w:cs="Galliard-Bold"/>
          <w:b/>
          <w:bCs/>
          <w:color w:val="000000"/>
        </w:rPr>
        <w:t>Yacobi A</w:t>
      </w:r>
      <w:r w:rsidRPr="009B0D47">
        <w:rPr>
          <w:rFonts w:ascii="Calibri" w:hAnsi="Calibri" w:cs="Galliard-Bold"/>
          <w:b/>
          <w:bCs/>
          <w:color w:val="000000"/>
        </w:rPr>
        <w:t>, Zlotnick S,  Colaizzi JL, Moros D, Masson E, Abolfathi Z</w:t>
      </w:r>
      <w:r>
        <w:rPr>
          <w:rFonts w:ascii="Calibri" w:hAnsi="Calibri" w:cs="Galliard-Bold"/>
          <w:b/>
          <w:bCs/>
          <w:color w:val="000000"/>
        </w:rPr>
        <w:t xml:space="preserve"> et al</w:t>
      </w:r>
      <w:r w:rsidRPr="009B0D47">
        <w:rPr>
          <w:rFonts w:ascii="Calibri" w:hAnsi="Calibri" w:cs="Galliard-Bold"/>
          <w:b/>
          <w:bCs/>
          <w:color w:val="000000"/>
        </w:rPr>
        <w:t xml:space="preserve">. </w:t>
      </w:r>
      <w:r w:rsidRPr="009B0D47">
        <w:rPr>
          <w:rFonts w:ascii="Calibri" w:hAnsi="Calibri"/>
          <w:b/>
          <w:color w:val="000000"/>
        </w:rPr>
        <w:t>A multiple-dose safety and bioequivalence study of a narrow therapeutic index drug: A case for carbamazepine</w:t>
      </w:r>
      <w:r>
        <w:rPr>
          <w:rFonts w:ascii="Calibri" w:hAnsi="Calibri"/>
          <w:b/>
          <w:color w:val="000000"/>
        </w:rPr>
        <w:t xml:space="preserve">. </w:t>
      </w:r>
      <w:r w:rsidRPr="009B0D47">
        <w:rPr>
          <w:rFonts w:ascii="Calibri" w:hAnsi="Calibri"/>
          <w:b/>
          <w:color w:val="000000"/>
        </w:rPr>
        <w:t>Clinical Pharmacology and Therapeutics 1999</w:t>
      </w:r>
      <w:r>
        <w:rPr>
          <w:rFonts w:ascii="Calibri" w:hAnsi="Calibri"/>
          <w:b/>
          <w:color w:val="000000"/>
        </w:rPr>
        <w:t>;</w:t>
      </w:r>
      <w:r w:rsidRPr="009B0D47">
        <w:rPr>
          <w:rFonts w:ascii="Calibri" w:hAnsi="Calibri"/>
          <w:b/>
          <w:color w:val="000000"/>
        </w:rPr>
        <w:t xml:space="preserve"> 65</w:t>
      </w:r>
      <w:r>
        <w:rPr>
          <w:rFonts w:ascii="Calibri" w:hAnsi="Calibri"/>
          <w:b/>
          <w:color w:val="000000"/>
        </w:rPr>
        <w:t xml:space="preserve">: </w:t>
      </w:r>
      <w:r w:rsidRPr="009B0D47">
        <w:rPr>
          <w:rFonts w:ascii="Calibri" w:hAnsi="Calibri"/>
          <w:b/>
          <w:color w:val="000000"/>
        </w:rPr>
        <w:t>389 – 94</w:t>
      </w:r>
      <w:r>
        <w:rPr>
          <w:rFonts w:ascii="Calibri" w:hAnsi="Calibri"/>
          <w:b/>
          <w:color w:val="000000"/>
        </w:rPr>
        <w:t>.</w:t>
      </w:r>
    </w:p>
    <w:p w14:paraId="6F4FC1C2" w14:textId="77777777" w:rsidR="00FD69A1" w:rsidRPr="009B0D47" w:rsidRDefault="00FD69A1" w:rsidP="00B628E6">
      <w:pPr>
        <w:autoSpaceDE w:val="0"/>
        <w:autoSpaceDN w:val="0"/>
        <w:adjustRightInd w:val="0"/>
        <w:rPr>
          <w:rFonts w:ascii="Calibri" w:hAnsi="Calibri"/>
          <w:b/>
          <w:color w:val="000000"/>
        </w:rPr>
      </w:pPr>
    </w:p>
    <w:p w14:paraId="61C923FD" w14:textId="77777777" w:rsidR="00FD69A1" w:rsidRPr="002D4AD7" w:rsidRDefault="00FD69A1" w:rsidP="00FD69A1">
      <w:pPr>
        <w:autoSpaceDE w:val="0"/>
        <w:autoSpaceDN w:val="0"/>
        <w:adjustRightInd w:val="0"/>
        <w:rPr>
          <w:rFonts w:ascii="Calibri" w:hAnsi="Calibri" w:cs="Times-Bold"/>
          <w:b/>
        </w:rPr>
      </w:pPr>
      <w:r w:rsidRPr="002D4AD7">
        <w:rPr>
          <w:rFonts w:ascii="Calibri" w:hAnsi="Calibri" w:cs="Helvetica"/>
          <w:b/>
        </w:rPr>
        <w:t xml:space="preserve">Yamada M, Welty TE. </w:t>
      </w:r>
      <w:r w:rsidRPr="002D4AD7">
        <w:rPr>
          <w:rFonts w:ascii="Calibri" w:hAnsi="Calibri" w:cs="GillSans-Bold"/>
          <w:b/>
          <w:bCs/>
        </w:rPr>
        <w:t>Generic Substitution of Antiepileptic Drugs: A Systematic Review of Prospective and Retrospective Studies</w:t>
      </w:r>
      <w:r>
        <w:rPr>
          <w:rFonts w:ascii="Calibri" w:hAnsi="Calibri" w:cs="GillSans-Bold"/>
          <w:b/>
          <w:bCs/>
        </w:rPr>
        <w:t xml:space="preserve">. </w:t>
      </w:r>
      <w:r w:rsidRPr="002D4AD7">
        <w:rPr>
          <w:rFonts w:ascii="Calibri" w:hAnsi="Calibri" w:cs="Times-Italic"/>
          <w:b/>
          <w:iCs/>
        </w:rPr>
        <w:t xml:space="preserve">The Annals of Pharmacotherapy </w:t>
      </w:r>
      <w:r w:rsidRPr="002D4AD7">
        <w:rPr>
          <w:rFonts w:ascii="Calibri" w:hAnsi="Calibri" w:cs="ZapfDingbatsITC"/>
          <w:b/>
        </w:rPr>
        <w:t xml:space="preserve"> </w:t>
      </w:r>
      <w:r>
        <w:rPr>
          <w:rFonts w:ascii="Calibri" w:hAnsi="Calibri" w:cs="Times-Italic"/>
          <w:b/>
          <w:iCs/>
        </w:rPr>
        <w:t xml:space="preserve">November 2011; </w:t>
      </w:r>
      <w:r w:rsidRPr="002D4AD7">
        <w:rPr>
          <w:rFonts w:ascii="Calibri" w:hAnsi="Calibri" w:cs="Times-Italic"/>
          <w:b/>
          <w:iCs/>
        </w:rPr>
        <w:t>45</w:t>
      </w:r>
      <w:r>
        <w:rPr>
          <w:rFonts w:ascii="Calibri" w:hAnsi="Calibri" w:cs="Times-Italic"/>
          <w:b/>
          <w:iCs/>
        </w:rPr>
        <w:t xml:space="preserve">: </w:t>
      </w:r>
      <w:r w:rsidRPr="002D4AD7">
        <w:rPr>
          <w:rFonts w:ascii="Calibri" w:hAnsi="Calibri" w:cs="Times-Bold"/>
          <w:b/>
          <w:bCs/>
        </w:rPr>
        <w:t>1406</w:t>
      </w:r>
    </w:p>
    <w:p w14:paraId="7C768C21" w14:textId="77777777" w:rsidR="00D63102" w:rsidRDefault="00D63102" w:rsidP="008D0B19">
      <w:pPr>
        <w:pStyle w:val="Heading1"/>
        <w:rPr>
          <w:rFonts w:ascii="Calibri" w:hAnsi="Calibri"/>
          <w:b/>
          <w:color w:val="000000"/>
          <w:sz w:val="24"/>
          <w:szCs w:val="24"/>
        </w:rPr>
      </w:pPr>
    </w:p>
    <w:p w14:paraId="6AEACB6A" w14:textId="77777777" w:rsidR="00DF4A56" w:rsidRPr="00AB52E6" w:rsidRDefault="00DF4A56" w:rsidP="00DF4A56">
      <w:pPr>
        <w:rPr>
          <w:rFonts w:ascii="Calibri" w:hAnsi="Calibri" w:cs="AdvTimes"/>
          <w:b/>
        </w:rPr>
      </w:pPr>
      <w:r w:rsidRPr="00AB52E6">
        <w:rPr>
          <w:rFonts w:ascii="Calibri" w:hAnsi="Calibri" w:cs="AdvTimes"/>
          <w:b/>
        </w:rPr>
        <w:t xml:space="preserve">Zachry 3rd WM, Doan QD, Clewell JD, </w:t>
      </w:r>
      <w:r>
        <w:rPr>
          <w:rFonts w:ascii="Calibri" w:hAnsi="Calibri" w:cs="AdvTimes"/>
          <w:b/>
        </w:rPr>
        <w:t xml:space="preserve">Smith BJ.  </w:t>
      </w:r>
      <w:r w:rsidRPr="00AB52E6">
        <w:rPr>
          <w:rFonts w:ascii="Calibri" w:hAnsi="Calibri" w:cs="AdvTimes"/>
          <w:b/>
        </w:rPr>
        <w:t>Case-control</w:t>
      </w:r>
      <w:r>
        <w:rPr>
          <w:rFonts w:ascii="Calibri" w:hAnsi="Calibri" w:cs="AdvTimes"/>
          <w:b/>
        </w:rPr>
        <w:t xml:space="preserve"> </w:t>
      </w:r>
      <w:r w:rsidRPr="00AB52E6">
        <w:rPr>
          <w:rFonts w:ascii="Calibri" w:hAnsi="Calibri" w:cs="AdvTimes"/>
          <w:b/>
        </w:rPr>
        <w:t>analysis of ambulance, emergency room, or inpatient hospital</w:t>
      </w:r>
      <w:r>
        <w:rPr>
          <w:rFonts w:ascii="Calibri" w:hAnsi="Calibri" w:cs="AdvTimes"/>
          <w:b/>
        </w:rPr>
        <w:t xml:space="preserve"> </w:t>
      </w:r>
      <w:r w:rsidRPr="00AB52E6">
        <w:rPr>
          <w:rFonts w:ascii="Calibri" w:hAnsi="Calibri" w:cs="AdvTimes"/>
          <w:b/>
        </w:rPr>
        <w:t>events for epilepsy and antiepileptic drug formulation</w:t>
      </w:r>
      <w:r>
        <w:rPr>
          <w:rFonts w:ascii="Calibri" w:hAnsi="Calibri" w:cs="AdvTimes"/>
          <w:b/>
        </w:rPr>
        <w:t xml:space="preserve"> </w:t>
      </w:r>
      <w:r w:rsidRPr="00AB52E6">
        <w:rPr>
          <w:rFonts w:ascii="Calibri" w:hAnsi="Calibri" w:cs="AdvTimes"/>
          <w:b/>
        </w:rPr>
        <w:t>changes. Epilepsia 2009; 50 (3): 493-500</w:t>
      </w:r>
      <w:r>
        <w:rPr>
          <w:rFonts w:ascii="Calibri" w:hAnsi="Calibri" w:cs="AdvTimes"/>
          <w:b/>
        </w:rPr>
        <w:t>.</w:t>
      </w:r>
    </w:p>
    <w:p w14:paraId="4C8AA468" w14:textId="77777777" w:rsidR="00441E8C" w:rsidRDefault="00441E8C" w:rsidP="00441E8C">
      <w:pPr>
        <w:pStyle w:val="Normal1"/>
        <w:rPr>
          <w:rFonts w:ascii="Calibri" w:hAnsi="Calibri"/>
          <w:b/>
        </w:rPr>
      </w:pPr>
    </w:p>
    <w:p w14:paraId="0749939F" w14:textId="448D7A67" w:rsidR="00DA4103" w:rsidRPr="006C7EBE" w:rsidRDefault="002101E9" w:rsidP="00DA4103">
      <w:pPr>
        <w:pStyle w:val="NoSpacing"/>
        <w:rPr>
          <w:rFonts w:ascii="Calibri" w:hAnsi="Calibri" w:cs="Calibri"/>
          <w:b/>
          <w:bCs/>
          <w:color w:val="000000" w:themeColor="text1"/>
          <w:lang w:val="en-US" w:eastAsia="en-US"/>
        </w:rPr>
      </w:pPr>
      <w:r w:rsidRPr="006C7EBE">
        <w:rPr>
          <w:rFonts w:ascii="Calibri" w:hAnsi="Calibri" w:cs="Calibri"/>
          <w:b/>
          <w:bCs/>
          <w:color w:val="000000" w:themeColor="text1"/>
          <w:lang w:val="en-US" w:eastAsia="en-US"/>
        </w:rPr>
        <w:t xml:space="preserve">Zis P. et al. </w:t>
      </w:r>
      <w:r w:rsidRPr="006C7EBE">
        <w:rPr>
          <w:rFonts w:ascii="Calibri" w:hAnsi="Calibri" w:cs="Calibri"/>
          <w:b/>
          <w:bCs/>
          <w:color w:val="000000" w:themeColor="text1"/>
          <w:kern w:val="36"/>
          <w:lang w:val="en-US" w:eastAsia="en-US"/>
        </w:rPr>
        <w:t xml:space="preserve">Nocebo Effect in Refractory Partial Epilepsy During Pre-Surgical Monitoring: Systematic Review and Meta-Analysis of Placebo-Controlled Clinical Trials. </w:t>
      </w:r>
      <w:r w:rsidR="00DA4103" w:rsidRPr="006C7EBE">
        <w:rPr>
          <w:rFonts w:ascii="Calibri" w:hAnsi="Calibri" w:cs="Calibri"/>
          <w:b/>
          <w:bCs/>
          <w:color w:val="000000" w:themeColor="text1"/>
          <w:lang w:val="en-US" w:eastAsia="en-US"/>
        </w:rPr>
        <w:t>Seizure</w:t>
      </w:r>
      <w:r w:rsidRPr="006C7EBE">
        <w:rPr>
          <w:rFonts w:ascii="Calibri" w:hAnsi="Calibri" w:cs="Calibri"/>
          <w:b/>
          <w:bCs/>
          <w:color w:val="000000" w:themeColor="text1"/>
          <w:lang w:val="en-US" w:eastAsia="en-US"/>
        </w:rPr>
        <w:t xml:space="preserve"> </w:t>
      </w:r>
      <w:r w:rsidR="00DA4103" w:rsidRPr="006C7EBE">
        <w:rPr>
          <w:rFonts w:ascii="Calibri" w:hAnsi="Calibri" w:cs="Calibri"/>
          <w:b/>
          <w:bCs/>
          <w:color w:val="000000" w:themeColor="text1"/>
          <w:lang w:val="en-US" w:eastAsia="en-US"/>
        </w:rPr>
        <w:t>2017 Feb;45:95-99.</w:t>
      </w:r>
    </w:p>
    <w:p w14:paraId="4B1392B1" w14:textId="719A5677" w:rsidR="008F3439" w:rsidRDefault="008F3439" w:rsidP="00DA4103">
      <w:pPr>
        <w:pStyle w:val="NoSpacing"/>
      </w:pPr>
    </w:p>
    <w:p w14:paraId="48F4093E" w14:textId="55137833" w:rsidR="001B5E8D" w:rsidRDefault="001B5E8D" w:rsidP="00DA4103">
      <w:pPr>
        <w:pStyle w:val="NoSpacing"/>
      </w:pPr>
    </w:p>
    <w:p w14:paraId="66F70CD9" w14:textId="2EB4D63F" w:rsidR="001B5E8D" w:rsidRDefault="001B5E8D" w:rsidP="00DA4103">
      <w:pPr>
        <w:pStyle w:val="NoSpacing"/>
      </w:pPr>
    </w:p>
    <w:p w14:paraId="6A8BFA90" w14:textId="171851B0" w:rsidR="001B5E8D" w:rsidRDefault="001B5E8D" w:rsidP="00DA4103">
      <w:pPr>
        <w:pStyle w:val="NoSpacing"/>
      </w:pPr>
    </w:p>
    <w:p w14:paraId="1B028B95" w14:textId="4BB180E9" w:rsidR="001B5E8D" w:rsidRDefault="001B5E8D" w:rsidP="00DA4103">
      <w:pPr>
        <w:pStyle w:val="NoSpacing"/>
      </w:pPr>
    </w:p>
    <w:p w14:paraId="73AB43CE" w14:textId="0C553BE3" w:rsidR="001B5E8D" w:rsidRDefault="001B5E8D" w:rsidP="00DA4103">
      <w:pPr>
        <w:pStyle w:val="NoSpacing"/>
      </w:pPr>
    </w:p>
    <w:p w14:paraId="3CE7254B" w14:textId="0A8E8012" w:rsidR="001B5E8D" w:rsidRDefault="001B5E8D" w:rsidP="00DA4103">
      <w:pPr>
        <w:pStyle w:val="NoSpacing"/>
      </w:pPr>
    </w:p>
    <w:p w14:paraId="17D3F381" w14:textId="393161D9" w:rsidR="001B5E8D" w:rsidRDefault="001B5E8D" w:rsidP="00DA4103">
      <w:pPr>
        <w:pStyle w:val="NoSpacing"/>
      </w:pPr>
    </w:p>
    <w:p w14:paraId="36838E56" w14:textId="6FF83E2C" w:rsidR="001B5E8D" w:rsidRDefault="001B5E8D" w:rsidP="00DA4103">
      <w:pPr>
        <w:pStyle w:val="NoSpacing"/>
      </w:pPr>
    </w:p>
    <w:p w14:paraId="1CFDAB57" w14:textId="4AA2E9DE" w:rsidR="001B5E8D" w:rsidRDefault="001B5E8D" w:rsidP="00DA4103">
      <w:pPr>
        <w:pStyle w:val="NoSpacing"/>
      </w:pPr>
    </w:p>
    <w:p w14:paraId="66F2CB81" w14:textId="0B75F63F" w:rsidR="001B5E8D" w:rsidRDefault="001B5E8D" w:rsidP="00DA4103">
      <w:pPr>
        <w:pStyle w:val="NoSpacing"/>
      </w:pPr>
    </w:p>
    <w:p w14:paraId="533C46E3" w14:textId="77777777" w:rsidR="00B75471" w:rsidRDefault="00B75471" w:rsidP="00B75471">
      <w:pPr>
        <w:pStyle w:val="NoSpacing"/>
      </w:pPr>
    </w:p>
    <w:p w14:paraId="02CF4CA0" w14:textId="77777777" w:rsidR="00B75471" w:rsidRDefault="00B75471" w:rsidP="00B75471">
      <w:pPr>
        <w:pStyle w:val="NoSpacing"/>
      </w:pPr>
    </w:p>
    <w:p w14:paraId="5DBE4236" w14:textId="77777777" w:rsidR="00B75471" w:rsidRDefault="00B75471" w:rsidP="00B75471">
      <w:pPr>
        <w:pStyle w:val="NoSpacing"/>
      </w:pPr>
    </w:p>
    <w:p w14:paraId="6016D115" w14:textId="77777777" w:rsidR="00B75471" w:rsidRPr="00C41855" w:rsidRDefault="001B5E8D" w:rsidP="00B75471">
      <w:pPr>
        <w:pStyle w:val="NoSpacing"/>
        <w:rPr>
          <w:rFonts w:asciiTheme="minorHAnsi" w:hAnsiTheme="minorHAnsi" w:cstheme="minorHAnsi"/>
          <w:sz w:val="20"/>
          <w:szCs w:val="20"/>
        </w:rPr>
      </w:pPr>
      <w:r w:rsidRPr="00C41855">
        <w:rPr>
          <w:rFonts w:asciiTheme="minorHAnsi" w:hAnsiTheme="minorHAnsi" w:cstheme="minorHAnsi"/>
          <w:sz w:val="20"/>
          <w:szCs w:val="20"/>
        </w:rPr>
        <w:t>Author:</w:t>
      </w:r>
      <w:r w:rsidR="00C22FF4" w:rsidRPr="00C41855">
        <w:rPr>
          <w:rFonts w:asciiTheme="minorHAnsi" w:hAnsiTheme="minorHAnsi" w:cstheme="minorHAnsi"/>
          <w:sz w:val="20"/>
          <w:szCs w:val="20"/>
        </w:rPr>
        <w:t xml:space="preserve"> </w:t>
      </w:r>
    </w:p>
    <w:p w14:paraId="6D999F8E" w14:textId="1362CD02" w:rsidR="001B5E8D" w:rsidRPr="00C41855" w:rsidRDefault="001B5E8D" w:rsidP="00B75471">
      <w:pPr>
        <w:pStyle w:val="NoSpacing"/>
        <w:rPr>
          <w:rFonts w:asciiTheme="minorHAnsi" w:hAnsiTheme="minorHAnsi" w:cstheme="minorHAnsi"/>
          <w:sz w:val="20"/>
          <w:szCs w:val="20"/>
        </w:rPr>
      </w:pPr>
      <w:r w:rsidRPr="00C41855">
        <w:rPr>
          <w:rFonts w:asciiTheme="minorHAnsi" w:hAnsiTheme="minorHAnsi" w:cstheme="minorHAnsi"/>
          <w:sz w:val="20"/>
          <w:szCs w:val="20"/>
        </w:rPr>
        <w:t>Diane Bramley</w:t>
      </w:r>
      <w:r w:rsidR="00B75471" w:rsidRPr="00C41855">
        <w:rPr>
          <w:rFonts w:asciiTheme="minorHAnsi" w:hAnsiTheme="minorHAnsi" w:cstheme="minorHAnsi"/>
          <w:sz w:val="20"/>
          <w:szCs w:val="20"/>
        </w:rPr>
        <w:t xml:space="preserve">, </w:t>
      </w:r>
      <w:r w:rsidRPr="00C41855">
        <w:rPr>
          <w:rFonts w:asciiTheme="minorHAnsi" w:hAnsiTheme="minorHAnsi" w:cstheme="minorHAnsi"/>
          <w:sz w:val="20"/>
          <w:szCs w:val="20"/>
        </w:rPr>
        <w:t xml:space="preserve">Highly Specialist </w:t>
      </w:r>
      <w:r w:rsidR="00A30BF9" w:rsidRPr="00C41855">
        <w:rPr>
          <w:rFonts w:asciiTheme="minorHAnsi" w:hAnsiTheme="minorHAnsi" w:cstheme="minorHAnsi"/>
          <w:sz w:val="20"/>
          <w:szCs w:val="20"/>
        </w:rPr>
        <w:t>Pharmacist Medicines Information</w:t>
      </w:r>
      <w:r w:rsidRPr="00C41855">
        <w:rPr>
          <w:rFonts w:asciiTheme="minorHAnsi" w:hAnsiTheme="minorHAnsi" w:cstheme="minorHAnsi"/>
          <w:sz w:val="20"/>
          <w:szCs w:val="20"/>
        </w:rPr>
        <w:t xml:space="preserve">. </w:t>
      </w:r>
    </w:p>
    <w:p w14:paraId="59FAB3BD" w14:textId="4EF7B47A" w:rsidR="001B5E8D" w:rsidRPr="00C41855" w:rsidRDefault="001B5E8D" w:rsidP="0061633B">
      <w:pPr>
        <w:pStyle w:val="Footer"/>
        <w:rPr>
          <w:rFonts w:asciiTheme="minorHAnsi" w:hAnsiTheme="minorHAnsi" w:cstheme="minorHAnsi"/>
          <w:sz w:val="20"/>
          <w:szCs w:val="20"/>
        </w:rPr>
      </w:pPr>
      <w:r w:rsidRPr="00C41855">
        <w:rPr>
          <w:rFonts w:asciiTheme="minorHAnsi" w:hAnsiTheme="minorHAnsi" w:cstheme="minorHAnsi"/>
          <w:sz w:val="20"/>
          <w:szCs w:val="20"/>
        </w:rPr>
        <w:t>Guys and St Thomas’ NHS Foundation Trust.</w:t>
      </w:r>
    </w:p>
    <w:sectPr w:rsidR="001B5E8D" w:rsidRPr="00C41855" w:rsidSect="00091CC2">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35B1B" w14:textId="77777777" w:rsidR="008F69EB" w:rsidRDefault="008F69EB" w:rsidP="0007151A">
      <w:r>
        <w:separator/>
      </w:r>
    </w:p>
  </w:endnote>
  <w:endnote w:type="continuationSeparator" w:id="0">
    <w:p w14:paraId="1E622003" w14:textId="77777777" w:rsidR="008F69EB" w:rsidRDefault="008F69EB" w:rsidP="0007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vPSTim">
    <w:panose1 w:val="00000000000000000000"/>
    <w:charset w:val="00"/>
    <w:family w:val="auto"/>
    <w:notTrueType/>
    <w:pitch w:val="default"/>
    <w:sig w:usb0="00000003" w:usb1="00000000" w:usb2="00000000" w:usb3="00000000" w:csb0="00000001" w:csb1="00000000"/>
  </w:font>
  <w:font w:name="AdvP7B6C">
    <w:panose1 w:val="00000000000000000000"/>
    <w:charset w:val="00"/>
    <w:family w:val="roman"/>
    <w:notTrueType/>
    <w:pitch w:val="default"/>
    <w:sig w:usb0="00000003" w:usb1="00000000" w:usb2="00000000" w:usb3="00000000" w:csb0="00000001" w:csb1="00000000"/>
  </w:font>
  <w:font w:name="AdvPSSym">
    <w:panose1 w:val="00000000000000000000"/>
    <w:charset w:val="00"/>
    <w:family w:val="auto"/>
    <w:notTrueType/>
    <w:pitch w:val="default"/>
    <w:sig w:usb0="00000003" w:usb1="00000000" w:usb2="00000000" w:usb3="00000000" w:csb0="00000001" w:csb1="00000000"/>
  </w:font>
  <w:font w:name="AdvPS9779">
    <w:panose1 w:val="00000000000000000000"/>
    <w:charset w:val="00"/>
    <w:family w:val="swiss"/>
    <w:notTrueType/>
    <w:pitch w:val="default"/>
    <w:sig w:usb0="00000003" w:usb1="00000000" w:usb2="00000000" w:usb3="00000000" w:csb0="00000001" w:csb1="00000000"/>
  </w:font>
  <w:font w:name="AdvP7B72">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PS_TII">
    <w:altName w:val="Arial Unicode MS"/>
    <w:panose1 w:val="00000000000000000000"/>
    <w:charset w:val="80"/>
    <w:family w:val="auto"/>
    <w:notTrueType/>
    <w:pitch w:val="default"/>
    <w:sig w:usb0="00000003" w:usb1="08070000" w:usb2="00000010" w:usb3="00000000" w:csb0="00020001" w:csb1="00000000"/>
  </w:font>
  <w:font w:name="AdvPS_TIR">
    <w:panose1 w:val="00000000000000000000"/>
    <w:charset w:val="00"/>
    <w:family w:val="auto"/>
    <w:notTrueType/>
    <w:pitch w:val="default"/>
    <w:sig w:usb0="00000003" w:usb1="00000000" w:usb2="00000000" w:usb3="00000000" w:csb0="00000001" w:csb1="00000000"/>
  </w:font>
  <w:font w:name="Meridien-Roman">
    <w:panose1 w:val="00000000000000000000"/>
    <w:charset w:val="00"/>
    <w:family w:val="roman"/>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Galliard-Bold">
    <w:panose1 w:val="00000000000000000000"/>
    <w:charset w:val="00"/>
    <w:family w:val="roman"/>
    <w:notTrueType/>
    <w:pitch w:val="default"/>
    <w:sig w:usb0="00000003" w:usb1="00000000" w:usb2="00000000" w:usb3="00000000" w:csb0="00000001" w:csb1="00000000"/>
  </w:font>
  <w:font w:name="MinionPro-Regular">
    <w:altName w:val="Arial Unicode MS"/>
    <w:panose1 w:val="00000000000000000000"/>
    <w:charset w:val="80"/>
    <w:family w:val="roman"/>
    <w:notTrueType/>
    <w:pitch w:val="default"/>
    <w:sig w:usb0="00000003" w:usb1="08070000" w:usb2="00000010" w:usb3="00000000" w:csb0="00020001" w:csb1="00000000"/>
  </w:font>
  <w:font w:name="AdvAGaramond-R">
    <w:panose1 w:val="00000000000000000000"/>
    <w:charset w:val="00"/>
    <w:family w:val="auto"/>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Times Roman">
    <w:altName w:val="Times New Roman"/>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roman"/>
    <w:notTrueType/>
    <w:pitch w:val="default"/>
    <w:sig w:usb0="00000003" w:usb1="00000000" w:usb2="00000000" w:usb3="00000000" w:csb0="00000001" w:csb1="00000000"/>
  </w:font>
  <w:font w:name="TimesNewRomanTur">
    <w:panose1 w:val="00000000000000000000"/>
    <w:charset w:val="00"/>
    <w:family w:val="roman"/>
    <w:notTrueType/>
    <w:pitch w:val="default"/>
    <w:sig w:usb0="00000003" w:usb1="00000000" w:usb2="00000000" w:usb3="00000000" w:csb0="00000001" w:csb1="00000000"/>
  </w:font>
  <w:font w:name="TimesNewRomanCE">
    <w:panose1 w:val="00000000000000000000"/>
    <w:charset w:val="00"/>
    <w:family w:val="auto"/>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TimesNewRomanPS-Bold">
    <w:panose1 w:val="00000000000000000000"/>
    <w:charset w:val="00"/>
    <w:family w:val="roman"/>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AdvTTc9c3bd71">
    <w:panose1 w:val="00000000000000000000"/>
    <w:charset w:val="00"/>
    <w:family w:val="roman"/>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Palatino-Bold">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dvPTimes">
    <w:panose1 w:val="00000000000000000000"/>
    <w:charset w:val="00"/>
    <w:family w:val="roman"/>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AdvGSANS-B">
    <w:panose1 w:val="00000000000000000000"/>
    <w:charset w:val="00"/>
    <w:family w:val="swiss"/>
    <w:notTrueType/>
    <w:pitch w:val="default"/>
    <w:sig w:usb0="00000003" w:usb1="00000000" w:usb2="00000000" w:usb3="00000000" w:csb0="00000001" w:csb1="00000000"/>
  </w:font>
  <w:font w:name="NewCenturySchlbk-Bold">
    <w:panose1 w:val="00000000000000000000"/>
    <w:charset w:val="00"/>
    <w:family w:val="roman"/>
    <w:notTrueType/>
    <w:pitch w:val="default"/>
    <w:sig w:usb0="00000003" w:usb1="00000000" w:usb2="00000000" w:usb3="00000000" w:csb0="00000001" w:csb1="00000000"/>
  </w:font>
  <w:font w:name="CongressSans">
    <w:panose1 w:val="00000000000000000000"/>
    <w:charset w:val="00"/>
    <w:family w:val="auto"/>
    <w:notTrueType/>
    <w:pitch w:val="default"/>
    <w:sig w:usb0="00000003" w:usb1="00000000" w:usb2="00000000" w:usb3="00000000" w:csb0="00000001" w:csb1="00000000"/>
  </w:font>
  <w:font w:name="CongressSans-Light">
    <w:panose1 w:val="00000000000000000000"/>
    <w:charset w:val="00"/>
    <w:family w:val="auto"/>
    <w:notTrueType/>
    <w:pitch w:val="default"/>
    <w:sig w:usb0="00000003" w:usb1="00000000" w:usb2="00000000" w:usb3="00000000" w:csb0="00000001" w:csb1="00000000"/>
  </w:font>
  <w:font w:name="CongressSans-ExtraBold">
    <w:panose1 w:val="00000000000000000000"/>
    <w:charset w:val="00"/>
    <w:family w:val="auto"/>
    <w:notTrueType/>
    <w:pitch w:val="default"/>
    <w:sig w:usb0="00000003" w:usb1="00000000" w:usb2="00000000" w:usb3="00000000" w:csb0="00000001" w:csb1="00000000"/>
  </w:font>
  <w:font w:name="CongressSans-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Meridien-Bold">
    <w:panose1 w:val="00000000000000000000"/>
    <w:charset w:val="00"/>
    <w:family w:val="roman"/>
    <w:notTrueType/>
    <w:pitch w:val="default"/>
    <w:sig w:usb0="00000003" w:usb1="00000000" w:usb2="00000000" w:usb3="00000000" w:csb0="00000001" w:csb1="00000000"/>
  </w:font>
  <w:font w:name="AdvTTda6f6cb8.B">
    <w:altName w:val="Cambria"/>
    <w:panose1 w:val="00000000000000000000"/>
    <w:charset w:val="00"/>
    <w:family w:val="roman"/>
    <w:notTrueType/>
    <w:pitch w:val="default"/>
    <w:sig w:usb0="00000003" w:usb1="00000000" w:usb2="00000000" w:usb3="00000000" w:csb0="00000001" w:csb1="00000000"/>
  </w:font>
  <w:font w:name="AdvPalI">
    <w:panose1 w:val="00000000000000000000"/>
    <w:charset w:val="00"/>
    <w:family w:val="roman"/>
    <w:notTrueType/>
    <w:pitch w:val="default"/>
    <w:sig w:usb0="00000003" w:usb1="00000000" w:usb2="00000000" w:usb3="00000000" w:csb0="00000001" w:csb1="00000000"/>
  </w:font>
  <w:font w:name="AdvP1484">
    <w:panose1 w:val="00000000000000000000"/>
    <w:charset w:val="00"/>
    <w:family w:val="swiss"/>
    <w:notTrueType/>
    <w:pitch w:val="default"/>
    <w:sig w:usb0="00000003" w:usb1="00000000" w:usb2="00000000" w:usb3="00000000" w:csb0="00000001" w:csb1="00000000"/>
  </w:font>
  <w:font w:name="AdvPalR">
    <w:panose1 w:val="00000000000000000000"/>
    <w:charset w:val="00"/>
    <w:family w:val="roman"/>
    <w:notTrueType/>
    <w:pitch w:val="default"/>
    <w:sig w:usb0="00000003" w:usb1="00000000" w:usb2="00000000" w:usb3="00000000" w:csb0="00000001" w:csb1="00000000"/>
  </w:font>
  <w:font w:name="AdvPalB">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AdvAVENIR-L">
    <w:panose1 w:val="00000000000000000000"/>
    <w:charset w:val="00"/>
    <w:family w:val="auto"/>
    <w:notTrueType/>
    <w:pitch w:val="default"/>
    <w:sig w:usb0="00000003" w:usb1="00000000" w:usb2="00000000" w:usb3="00000000" w:csb0="00000001" w:csb1="00000000"/>
  </w:font>
  <w:font w:name="AdvAVENIR-H">
    <w:panose1 w:val="00000000000000000000"/>
    <w:charset w:val="00"/>
    <w:family w:val="auto"/>
    <w:notTrueType/>
    <w:pitch w:val="default"/>
    <w:sig w:usb0="00000003" w:usb1="00000000" w:usb2="00000000" w:usb3="00000000" w:csb0="00000001" w:csb1="00000000"/>
  </w:font>
  <w:font w:name="AdvTTe5c5f14d.B">
    <w:panose1 w:val="00000000000000000000"/>
    <w:charset w:val="00"/>
    <w:family w:val="roman"/>
    <w:notTrueType/>
    <w:pitch w:val="default"/>
    <w:sig w:usb0="00000003" w:usb1="00000000" w:usb2="00000000" w:usb3="00000000" w:csb0="00000001" w:csb1="00000000"/>
  </w:font>
  <w:font w:name="AdvP0005">
    <w:panose1 w:val="00000000000000000000"/>
    <w:charset w:val="00"/>
    <w:family w:val="swiss"/>
    <w:notTrueType/>
    <w:pitch w:val="default"/>
    <w:sig w:usb0="00000003" w:usb1="00000000" w:usb2="00000000" w:usb3="00000000" w:csb0="00000001" w:csb1="00000000"/>
  </w:font>
  <w:font w:name="AdvTT2acb703b">
    <w:panose1 w:val="00000000000000000000"/>
    <w:charset w:val="00"/>
    <w:family w:val="roman"/>
    <w:notTrueType/>
    <w:pitch w:val="default"/>
    <w:sig w:usb0="00000003" w:usb1="00000000" w:usb2="00000000" w:usb3="00000000" w:csb0="00000001" w:csb1="00000000"/>
  </w:font>
  <w:font w:name="AdvTT2acb703b+20">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roman"/>
    <w:notTrueType/>
    <w:pitch w:val="default"/>
    <w:sig w:usb0="00000003" w:usb1="00000000" w:usb2="00000000" w:usb3="00000000" w:csb0="00000001" w:csb1="00000000"/>
  </w:font>
  <w:font w:name="HelveticaNeue-LightItalic">
    <w:panose1 w:val="00000000000000000000"/>
    <w:charset w:val="00"/>
    <w:family w:val="roman"/>
    <w:notTrueType/>
    <w:pitch w:val="default"/>
    <w:sig w:usb0="00000003" w:usb1="00000000" w:usb2="00000000" w:usb3="00000000" w:csb0="00000001" w:csb1="00000000"/>
  </w:font>
  <w:font w:name="HelveticaNeue-Medium">
    <w:panose1 w:val="00000000000000000000"/>
    <w:charset w:val="00"/>
    <w:family w:val="roman"/>
    <w:notTrueType/>
    <w:pitch w:val="default"/>
    <w:sig w:usb0="00000003" w:usb1="00000000" w:usb2="00000000" w:usb3="00000000" w:csb0="00000001" w:csb1="00000000"/>
  </w:font>
  <w:font w:name="AdvPSA5BA">
    <w:panose1 w:val="00000000000000000000"/>
    <w:charset w:val="00"/>
    <w:family w:val="auto"/>
    <w:notTrueType/>
    <w:pitch w:val="default"/>
    <w:sig w:usb0="00000003" w:usb1="00000000" w:usb2="00000000" w:usb3="00000000" w:csb0="00000001" w:csb1="00000000"/>
  </w:font>
  <w:font w:name="ZapfDingbatsIT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136879"/>
      <w:docPartObj>
        <w:docPartGallery w:val="Page Numbers (Bottom of Page)"/>
        <w:docPartUnique/>
      </w:docPartObj>
    </w:sdtPr>
    <w:sdtEndPr>
      <w:rPr>
        <w:rFonts w:asciiTheme="minorHAnsi" w:hAnsiTheme="minorHAnsi" w:cstheme="minorHAnsi"/>
        <w:noProof/>
      </w:rPr>
    </w:sdtEndPr>
    <w:sdtContent>
      <w:p w14:paraId="6D7E1D16" w14:textId="23C5DB10" w:rsidR="00722911" w:rsidRPr="00091CC2" w:rsidRDefault="00091CC2" w:rsidP="00091CC2">
        <w:pPr>
          <w:pStyle w:val="Footer"/>
          <w:rPr>
            <w:rFonts w:asciiTheme="minorHAnsi" w:hAnsiTheme="minorHAnsi" w:cstheme="minorHAnsi"/>
          </w:rPr>
        </w:pPr>
        <w:hyperlink r:id="rId1" w:history="1">
          <w:r w:rsidRPr="00091CC2">
            <w:rPr>
              <w:rStyle w:val="Hyperlink"/>
              <w:rFonts w:asciiTheme="minorHAnsi" w:hAnsiTheme="minorHAnsi" w:cstheme="minorHAnsi"/>
            </w:rPr>
            <w:t>www.sps.nhs.uk</w:t>
          </w:r>
        </w:hyperlink>
        <w:r w:rsidRPr="00091CC2">
          <w:rPr>
            <w:rFonts w:asciiTheme="minorHAnsi" w:hAnsiTheme="minorHAnsi" w:cstheme="minorHAnsi"/>
          </w:rPr>
          <w:t xml:space="preserve"> </w:t>
        </w:r>
        <w:r w:rsidRPr="00091CC2">
          <w:rPr>
            <w:rFonts w:asciiTheme="minorHAnsi" w:hAnsiTheme="minorHAnsi" w:cstheme="minorHAnsi"/>
          </w:rPr>
          <w:tab/>
        </w:r>
        <w:r w:rsidR="00722911" w:rsidRPr="00091CC2">
          <w:rPr>
            <w:rFonts w:asciiTheme="minorHAnsi" w:hAnsiTheme="minorHAnsi" w:cstheme="minorHAnsi"/>
          </w:rPr>
          <w:fldChar w:fldCharType="begin"/>
        </w:r>
        <w:r w:rsidR="00722911" w:rsidRPr="00091CC2">
          <w:rPr>
            <w:rFonts w:asciiTheme="minorHAnsi" w:hAnsiTheme="minorHAnsi" w:cstheme="minorHAnsi"/>
          </w:rPr>
          <w:instrText xml:space="preserve"> PAGE   \* MERGEFORMAT </w:instrText>
        </w:r>
        <w:r w:rsidR="00722911" w:rsidRPr="00091CC2">
          <w:rPr>
            <w:rFonts w:asciiTheme="minorHAnsi" w:hAnsiTheme="minorHAnsi" w:cstheme="minorHAnsi"/>
          </w:rPr>
          <w:fldChar w:fldCharType="separate"/>
        </w:r>
        <w:r>
          <w:rPr>
            <w:rFonts w:asciiTheme="minorHAnsi" w:hAnsiTheme="minorHAnsi" w:cstheme="minorHAnsi"/>
            <w:noProof/>
          </w:rPr>
          <w:t>3</w:t>
        </w:r>
        <w:r w:rsidR="00722911" w:rsidRPr="00091CC2">
          <w:rPr>
            <w:rFonts w:asciiTheme="minorHAnsi" w:hAnsiTheme="minorHAnsi" w:cstheme="minorHAnsi"/>
            <w:noProof/>
          </w:rPr>
          <w:fldChar w:fldCharType="end"/>
        </w:r>
        <w:r w:rsidRPr="00091CC2">
          <w:rPr>
            <w:rFonts w:asciiTheme="minorHAnsi" w:hAnsiTheme="minorHAnsi" w:cstheme="minorHAnsi"/>
            <w:noProof/>
          </w:rPr>
          <w:tab/>
          <w:t>September 2020</w:t>
        </w:r>
      </w:p>
    </w:sdtContent>
  </w:sdt>
  <w:p w14:paraId="3B36E79A" w14:textId="77777777" w:rsidR="00722911" w:rsidRDefault="00722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0BD0" w14:textId="25688ED7" w:rsidR="00091CC2" w:rsidRDefault="00091CC2">
    <w:pPr>
      <w:pStyle w:val="Footer"/>
    </w:pPr>
    <w:hyperlink r:id="rId1" w:history="1">
      <w:r w:rsidRPr="0061127A">
        <w:rPr>
          <w:rStyle w:val="Hyperlink"/>
        </w:rPr>
        <w:t>www.sps.nhs.uk</w:t>
      </w:r>
    </w:hyperlink>
    <w:r>
      <w:t xml:space="preserve"> </w:t>
    </w:r>
    <w:r>
      <w:tab/>
    </w:r>
    <w:r>
      <w:tab/>
      <w:t>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13ED2" w14:textId="77777777" w:rsidR="008F69EB" w:rsidRDefault="008F69EB" w:rsidP="0007151A">
      <w:r>
        <w:separator/>
      </w:r>
    </w:p>
  </w:footnote>
  <w:footnote w:type="continuationSeparator" w:id="0">
    <w:p w14:paraId="6AE5FC6F" w14:textId="77777777" w:rsidR="008F69EB" w:rsidRDefault="008F69EB" w:rsidP="00071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83992" w14:textId="0DD25C79" w:rsidR="00091CC2" w:rsidRDefault="00091CC2">
    <w:pPr>
      <w:pStyle w:val="Header"/>
    </w:pPr>
    <w:r>
      <w:rPr>
        <w:noProof/>
      </w:rPr>
      <w:drawing>
        <wp:inline distT="0" distB="0" distL="0" distR="0" wp14:anchorId="4B76E0B8" wp14:editId="65CD61A0">
          <wp:extent cx="5731510" cy="707258"/>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633" t="15237" r="8109" b="22858"/>
                  <a:stretch>
                    <a:fillRect/>
                  </a:stretch>
                </pic:blipFill>
                <pic:spPr bwMode="auto">
                  <a:xfrm>
                    <a:off x="0" y="0"/>
                    <a:ext cx="5731510" cy="70725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911"/>
    <w:multiLevelType w:val="multilevel"/>
    <w:tmpl w:val="A41C7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74F89"/>
    <w:multiLevelType w:val="multilevel"/>
    <w:tmpl w:val="1CC2C1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8360C"/>
    <w:multiLevelType w:val="hybridMultilevel"/>
    <w:tmpl w:val="381A8B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0C1E8D"/>
    <w:multiLevelType w:val="hybridMultilevel"/>
    <w:tmpl w:val="72E4F0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AA1FA3"/>
    <w:multiLevelType w:val="multilevel"/>
    <w:tmpl w:val="EDFE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E1D19"/>
    <w:multiLevelType w:val="multilevel"/>
    <w:tmpl w:val="1864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474C12"/>
    <w:multiLevelType w:val="hybridMultilevel"/>
    <w:tmpl w:val="0E16B200"/>
    <w:lvl w:ilvl="0" w:tplc="D5F829C2">
      <w:start w:val="1"/>
      <w:numFmt w:val="bullet"/>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EA2FD2"/>
    <w:multiLevelType w:val="hybridMultilevel"/>
    <w:tmpl w:val="831AFD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4931B0"/>
    <w:multiLevelType w:val="multilevel"/>
    <w:tmpl w:val="E450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0262F"/>
    <w:multiLevelType w:val="multilevel"/>
    <w:tmpl w:val="25AA3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67DE3"/>
    <w:multiLevelType w:val="hybridMultilevel"/>
    <w:tmpl w:val="9F54FA22"/>
    <w:lvl w:ilvl="0" w:tplc="07DCD4FE">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1" w15:restartNumberingAfterBreak="0">
    <w:nsid w:val="288522DA"/>
    <w:multiLevelType w:val="hybridMultilevel"/>
    <w:tmpl w:val="B43E57D4"/>
    <w:lvl w:ilvl="0" w:tplc="0B228040">
      <w:start w:val="11"/>
      <w:numFmt w:val="decimal"/>
      <w:lvlText w:val="%1."/>
      <w:lvlJc w:val="left"/>
      <w:pPr>
        <w:tabs>
          <w:tab w:val="num" w:pos="360"/>
        </w:tabs>
        <w:ind w:left="360" w:hanging="360"/>
      </w:pPr>
      <w:rPr>
        <w:rFonts w:cs="Arial" w:hint="default"/>
      </w:r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12" w15:restartNumberingAfterBreak="0">
    <w:nsid w:val="2B215EF6"/>
    <w:multiLevelType w:val="hybridMultilevel"/>
    <w:tmpl w:val="B62C5A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56F77"/>
    <w:multiLevelType w:val="hybridMultilevel"/>
    <w:tmpl w:val="053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490DC6"/>
    <w:multiLevelType w:val="multilevel"/>
    <w:tmpl w:val="4FFA9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3422FA"/>
    <w:multiLevelType w:val="multilevel"/>
    <w:tmpl w:val="F80ED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47DA"/>
    <w:multiLevelType w:val="hybridMultilevel"/>
    <w:tmpl w:val="90AED2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B831EFB"/>
    <w:multiLevelType w:val="hybridMultilevel"/>
    <w:tmpl w:val="6D0CBD3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D90690"/>
    <w:multiLevelType w:val="multilevel"/>
    <w:tmpl w:val="F5FC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E026A1"/>
    <w:multiLevelType w:val="multilevel"/>
    <w:tmpl w:val="35DA7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463072"/>
    <w:multiLevelType w:val="hybridMultilevel"/>
    <w:tmpl w:val="B2B421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9380089"/>
    <w:multiLevelType w:val="multilevel"/>
    <w:tmpl w:val="522E3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DC42AF"/>
    <w:multiLevelType w:val="multilevel"/>
    <w:tmpl w:val="DACE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E37B0A"/>
    <w:multiLevelType w:val="multilevel"/>
    <w:tmpl w:val="04741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790089"/>
    <w:multiLevelType w:val="hybridMultilevel"/>
    <w:tmpl w:val="6960FE9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2551CEB"/>
    <w:multiLevelType w:val="hybridMultilevel"/>
    <w:tmpl w:val="252A48D8"/>
    <w:lvl w:ilvl="0" w:tplc="D5F829C2">
      <w:start w:val="1"/>
      <w:numFmt w:val="bullet"/>
      <w:lvlText w:val=""/>
      <w:lvlJc w:val="left"/>
      <w:pPr>
        <w:tabs>
          <w:tab w:val="num" w:pos="530"/>
        </w:tabs>
        <w:ind w:left="530" w:hanging="17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31037F2"/>
    <w:multiLevelType w:val="hybridMultilevel"/>
    <w:tmpl w:val="1C541A1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3EC2E5E"/>
    <w:multiLevelType w:val="hybridMultilevel"/>
    <w:tmpl w:val="EF9A78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07D86"/>
    <w:multiLevelType w:val="hybridMultilevel"/>
    <w:tmpl w:val="91FAAE42"/>
    <w:lvl w:ilvl="0" w:tplc="D5F829C2">
      <w:start w:val="1"/>
      <w:numFmt w:val="bullet"/>
      <w:lvlText w:val=""/>
      <w:lvlJc w:val="left"/>
      <w:pPr>
        <w:tabs>
          <w:tab w:val="num" w:pos="530"/>
        </w:tabs>
        <w:ind w:left="530" w:hanging="17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106036"/>
    <w:multiLevelType w:val="multilevel"/>
    <w:tmpl w:val="887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B5380"/>
    <w:multiLevelType w:val="multilevel"/>
    <w:tmpl w:val="5F28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70836"/>
    <w:multiLevelType w:val="hybridMultilevel"/>
    <w:tmpl w:val="607E344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D9708B8"/>
    <w:multiLevelType w:val="multilevel"/>
    <w:tmpl w:val="5C7C7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5F6834"/>
    <w:multiLevelType w:val="multilevel"/>
    <w:tmpl w:val="B30C5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F11B61"/>
    <w:multiLevelType w:val="hybridMultilevel"/>
    <w:tmpl w:val="2B408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E139D"/>
    <w:multiLevelType w:val="hybridMultilevel"/>
    <w:tmpl w:val="E278D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3"/>
  </w:num>
  <w:num w:numId="4">
    <w:abstractNumId w:val="24"/>
  </w:num>
  <w:num w:numId="5">
    <w:abstractNumId w:val="26"/>
  </w:num>
  <w:num w:numId="6">
    <w:abstractNumId w:val="31"/>
  </w:num>
  <w:num w:numId="7">
    <w:abstractNumId w:val="12"/>
  </w:num>
  <w:num w:numId="8">
    <w:abstractNumId w:val="27"/>
  </w:num>
  <w:num w:numId="9">
    <w:abstractNumId w:val="2"/>
  </w:num>
  <w:num w:numId="10">
    <w:abstractNumId w:val="20"/>
  </w:num>
  <w:num w:numId="11">
    <w:abstractNumId w:val="34"/>
  </w:num>
  <w:num w:numId="12">
    <w:abstractNumId w:val="0"/>
  </w:num>
  <w:num w:numId="13">
    <w:abstractNumId w:val="6"/>
  </w:num>
  <w:num w:numId="14">
    <w:abstractNumId w:val="10"/>
  </w:num>
  <w:num w:numId="15">
    <w:abstractNumId w:val="11"/>
  </w:num>
  <w:num w:numId="16">
    <w:abstractNumId w:val="29"/>
  </w:num>
  <w:num w:numId="17">
    <w:abstractNumId w:val="28"/>
  </w:num>
  <w:num w:numId="18">
    <w:abstractNumId w:val="25"/>
  </w:num>
  <w:num w:numId="19">
    <w:abstractNumId w:val="4"/>
  </w:num>
  <w:num w:numId="20">
    <w:abstractNumId w:val="30"/>
  </w:num>
  <w:num w:numId="21">
    <w:abstractNumId w:val="5"/>
  </w:num>
  <w:num w:numId="22">
    <w:abstractNumId w:val="15"/>
    <w:lvlOverride w:ilvl="1">
      <w:lvl w:ilvl="1">
        <w:numFmt w:val="bullet"/>
        <w:lvlText w:val=""/>
        <w:lvlJc w:val="left"/>
        <w:pPr>
          <w:tabs>
            <w:tab w:val="num" w:pos="1440"/>
          </w:tabs>
          <w:ind w:left="1440" w:hanging="360"/>
        </w:pPr>
        <w:rPr>
          <w:rFonts w:ascii="Wingdings" w:hAnsi="Wingdings" w:hint="default"/>
          <w:sz w:val="20"/>
        </w:rPr>
      </w:lvl>
    </w:lvlOverride>
  </w:num>
  <w:num w:numId="23">
    <w:abstractNumId w:val="32"/>
    <w:lvlOverride w:ilvl="1">
      <w:lvl w:ilvl="1">
        <w:numFmt w:val="bullet"/>
        <w:lvlText w:val=""/>
        <w:lvlJc w:val="left"/>
        <w:pPr>
          <w:tabs>
            <w:tab w:val="num" w:pos="1440"/>
          </w:tabs>
          <w:ind w:left="1440" w:hanging="360"/>
        </w:pPr>
        <w:rPr>
          <w:rFonts w:ascii="Wingdings" w:hAnsi="Wingdings" w:hint="default"/>
          <w:sz w:val="20"/>
        </w:rPr>
      </w:lvl>
    </w:lvlOverride>
  </w:num>
  <w:num w:numId="24">
    <w:abstractNumId w:val="21"/>
    <w:lvlOverride w:ilvl="1">
      <w:lvl w:ilvl="1">
        <w:numFmt w:val="bullet"/>
        <w:lvlText w:val=""/>
        <w:lvlJc w:val="left"/>
        <w:pPr>
          <w:tabs>
            <w:tab w:val="num" w:pos="1440"/>
          </w:tabs>
          <w:ind w:left="1440" w:hanging="360"/>
        </w:pPr>
        <w:rPr>
          <w:rFonts w:ascii="Wingdings" w:hAnsi="Wingdings" w:hint="default"/>
          <w:sz w:val="20"/>
        </w:rPr>
      </w:lvl>
    </w:lvlOverride>
  </w:num>
  <w:num w:numId="25">
    <w:abstractNumId w:val="18"/>
    <w:lvlOverride w:ilvl="1">
      <w:lvl w:ilvl="1">
        <w:numFmt w:val="bullet"/>
        <w:lvlText w:val=""/>
        <w:lvlJc w:val="left"/>
        <w:pPr>
          <w:tabs>
            <w:tab w:val="num" w:pos="1440"/>
          </w:tabs>
          <w:ind w:left="1440" w:hanging="360"/>
        </w:pPr>
        <w:rPr>
          <w:rFonts w:ascii="Wingdings" w:hAnsi="Wingdings" w:hint="default"/>
          <w:sz w:val="20"/>
        </w:rPr>
      </w:lvl>
    </w:lvlOverride>
  </w:num>
  <w:num w:numId="26">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27">
    <w:abstractNumId w:val="14"/>
    <w:lvlOverride w:ilvl="1">
      <w:lvl w:ilvl="1">
        <w:numFmt w:val="bullet"/>
        <w:lvlText w:val=""/>
        <w:lvlJc w:val="left"/>
        <w:pPr>
          <w:tabs>
            <w:tab w:val="num" w:pos="1440"/>
          </w:tabs>
          <w:ind w:left="1440" w:hanging="360"/>
        </w:pPr>
        <w:rPr>
          <w:rFonts w:ascii="Wingdings" w:hAnsi="Wingdings" w:hint="default"/>
          <w:sz w:val="20"/>
        </w:rPr>
      </w:lvl>
    </w:lvlOverride>
  </w:num>
  <w:num w:numId="28">
    <w:abstractNumId w:val="9"/>
    <w:lvlOverride w:ilvl="1">
      <w:lvl w:ilvl="1">
        <w:numFmt w:val="bullet"/>
        <w:lvlText w:val=""/>
        <w:lvlJc w:val="left"/>
        <w:pPr>
          <w:tabs>
            <w:tab w:val="num" w:pos="1440"/>
          </w:tabs>
          <w:ind w:left="1440" w:hanging="360"/>
        </w:pPr>
        <w:rPr>
          <w:rFonts w:ascii="Wingdings" w:hAnsi="Wingdings" w:hint="default"/>
          <w:sz w:val="20"/>
        </w:rPr>
      </w:lvl>
    </w:lvlOverride>
  </w:num>
  <w:num w:numId="29">
    <w:abstractNumId w:val="33"/>
    <w:lvlOverride w:ilvl="1">
      <w:lvl w:ilvl="1">
        <w:numFmt w:val="bullet"/>
        <w:lvlText w:val=""/>
        <w:lvlJc w:val="left"/>
        <w:pPr>
          <w:tabs>
            <w:tab w:val="num" w:pos="1440"/>
          </w:tabs>
          <w:ind w:left="1440" w:hanging="360"/>
        </w:pPr>
        <w:rPr>
          <w:rFonts w:ascii="Wingdings" w:hAnsi="Wingdings" w:hint="default"/>
          <w:sz w:val="20"/>
        </w:rPr>
      </w:lvl>
    </w:lvlOverride>
  </w:num>
  <w:num w:numId="30">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31">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32">
    <w:abstractNumId w:val="35"/>
  </w:num>
  <w:num w:numId="33">
    <w:abstractNumId w:val="22"/>
  </w:num>
  <w:num w:numId="34">
    <w:abstractNumId w:val="1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31"/>
    <w:rsid w:val="00001536"/>
    <w:rsid w:val="00003726"/>
    <w:rsid w:val="000044F0"/>
    <w:rsid w:val="00004BB7"/>
    <w:rsid w:val="00006FD4"/>
    <w:rsid w:val="000075C3"/>
    <w:rsid w:val="0001081D"/>
    <w:rsid w:val="00013A6F"/>
    <w:rsid w:val="00014201"/>
    <w:rsid w:val="00016E1F"/>
    <w:rsid w:val="000231E0"/>
    <w:rsid w:val="00023727"/>
    <w:rsid w:val="00023AC9"/>
    <w:rsid w:val="00025A3D"/>
    <w:rsid w:val="000262AE"/>
    <w:rsid w:val="000327D2"/>
    <w:rsid w:val="000360C5"/>
    <w:rsid w:val="00036CF3"/>
    <w:rsid w:val="00041505"/>
    <w:rsid w:val="00041577"/>
    <w:rsid w:val="000418AA"/>
    <w:rsid w:val="00044C21"/>
    <w:rsid w:val="00047999"/>
    <w:rsid w:val="00047BE2"/>
    <w:rsid w:val="000526BA"/>
    <w:rsid w:val="0005346A"/>
    <w:rsid w:val="000553B2"/>
    <w:rsid w:val="00057B00"/>
    <w:rsid w:val="00061D45"/>
    <w:rsid w:val="00062EBF"/>
    <w:rsid w:val="0006474C"/>
    <w:rsid w:val="0006567E"/>
    <w:rsid w:val="00065BDB"/>
    <w:rsid w:val="00067365"/>
    <w:rsid w:val="0007151A"/>
    <w:rsid w:val="00074359"/>
    <w:rsid w:val="000745D8"/>
    <w:rsid w:val="0007488D"/>
    <w:rsid w:val="00076146"/>
    <w:rsid w:val="0008288C"/>
    <w:rsid w:val="000839A9"/>
    <w:rsid w:val="00087C7F"/>
    <w:rsid w:val="0009059C"/>
    <w:rsid w:val="0009063B"/>
    <w:rsid w:val="00091CC2"/>
    <w:rsid w:val="00093E52"/>
    <w:rsid w:val="00094C7F"/>
    <w:rsid w:val="00095118"/>
    <w:rsid w:val="000A00FE"/>
    <w:rsid w:val="000A0573"/>
    <w:rsid w:val="000A2F69"/>
    <w:rsid w:val="000A59C8"/>
    <w:rsid w:val="000B67CE"/>
    <w:rsid w:val="000B6D42"/>
    <w:rsid w:val="000B7EE5"/>
    <w:rsid w:val="000C01D8"/>
    <w:rsid w:val="000C0595"/>
    <w:rsid w:val="000D0475"/>
    <w:rsid w:val="000D2039"/>
    <w:rsid w:val="000D50AB"/>
    <w:rsid w:val="000E09AF"/>
    <w:rsid w:val="000E1611"/>
    <w:rsid w:val="000E181B"/>
    <w:rsid w:val="000E19CD"/>
    <w:rsid w:val="000E2192"/>
    <w:rsid w:val="000E5D01"/>
    <w:rsid w:val="000E6963"/>
    <w:rsid w:val="000E7A7E"/>
    <w:rsid w:val="000F2AEF"/>
    <w:rsid w:val="000F2C3E"/>
    <w:rsid w:val="000F502D"/>
    <w:rsid w:val="000F75E4"/>
    <w:rsid w:val="000F769D"/>
    <w:rsid w:val="001007F7"/>
    <w:rsid w:val="00101404"/>
    <w:rsid w:val="001029CD"/>
    <w:rsid w:val="001036D1"/>
    <w:rsid w:val="0010682A"/>
    <w:rsid w:val="001068EE"/>
    <w:rsid w:val="001070B4"/>
    <w:rsid w:val="00111231"/>
    <w:rsid w:val="00120840"/>
    <w:rsid w:val="001214CE"/>
    <w:rsid w:val="001219C5"/>
    <w:rsid w:val="001221BC"/>
    <w:rsid w:val="00124EF3"/>
    <w:rsid w:val="00125DD5"/>
    <w:rsid w:val="00130561"/>
    <w:rsid w:val="001338D5"/>
    <w:rsid w:val="00134490"/>
    <w:rsid w:val="001356A8"/>
    <w:rsid w:val="00137870"/>
    <w:rsid w:val="00137B39"/>
    <w:rsid w:val="00137F01"/>
    <w:rsid w:val="00140F3A"/>
    <w:rsid w:val="00143BF5"/>
    <w:rsid w:val="00144C98"/>
    <w:rsid w:val="001478F8"/>
    <w:rsid w:val="00153C09"/>
    <w:rsid w:val="0015514C"/>
    <w:rsid w:val="00160125"/>
    <w:rsid w:val="00160A0A"/>
    <w:rsid w:val="001614A5"/>
    <w:rsid w:val="00162981"/>
    <w:rsid w:val="00165A15"/>
    <w:rsid w:val="001708D2"/>
    <w:rsid w:val="00173445"/>
    <w:rsid w:val="00173EDD"/>
    <w:rsid w:val="0018137D"/>
    <w:rsid w:val="00181A64"/>
    <w:rsid w:val="001821C7"/>
    <w:rsid w:val="0018400B"/>
    <w:rsid w:val="00184E14"/>
    <w:rsid w:val="0018508E"/>
    <w:rsid w:val="001853C3"/>
    <w:rsid w:val="00186D47"/>
    <w:rsid w:val="00191090"/>
    <w:rsid w:val="001910BE"/>
    <w:rsid w:val="001913E6"/>
    <w:rsid w:val="00191932"/>
    <w:rsid w:val="001925C6"/>
    <w:rsid w:val="00193544"/>
    <w:rsid w:val="00194208"/>
    <w:rsid w:val="00197049"/>
    <w:rsid w:val="00197F40"/>
    <w:rsid w:val="001A1720"/>
    <w:rsid w:val="001A6FDF"/>
    <w:rsid w:val="001A723D"/>
    <w:rsid w:val="001B10E4"/>
    <w:rsid w:val="001B20DC"/>
    <w:rsid w:val="001B394F"/>
    <w:rsid w:val="001B3C5D"/>
    <w:rsid w:val="001B5B98"/>
    <w:rsid w:val="001B5E8D"/>
    <w:rsid w:val="001C3B94"/>
    <w:rsid w:val="001C5B76"/>
    <w:rsid w:val="001C6F7B"/>
    <w:rsid w:val="001D0DA6"/>
    <w:rsid w:val="001D3E75"/>
    <w:rsid w:val="001D423C"/>
    <w:rsid w:val="001D7B8D"/>
    <w:rsid w:val="001E11DB"/>
    <w:rsid w:val="001E2D49"/>
    <w:rsid w:val="001E4B2E"/>
    <w:rsid w:val="001F06F3"/>
    <w:rsid w:val="001F1019"/>
    <w:rsid w:val="001F11A9"/>
    <w:rsid w:val="001F2EE5"/>
    <w:rsid w:val="001F3F27"/>
    <w:rsid w:val="00200CA0"/>
    <w:rsid w:val="002027D4"/>
    <w:rsid w:val="00204DEB"/>
    <w:rsid w:val="002054DE"/>
    <w:rsid w:val="002101E9"/>
    <w:rsid w:val="002102D8"/>
    <w:rsid w:val="002118AD"/>
    <w:rsid w:val="00211ABB"/>
    <w:rsid w:val="0021223E"/>
    <w:rsid w:val="002130C2"/>
    <w:rsid w:val="00214533"/>
    <w:rsid w:val="002168D7"/>
    <w:rsid w:val="0022068D"/>
    <w:rsid w:val="00225965"/>
    <w:rsid w:val="00226CB3"/>
    <w:rsid w:val="00230219"/>
    <w:rsid w:val="0023218A"/>
    <w:rsid w:val="00234DB8"/>
    <w:rsid w:val="00235DC1"/>
    <w:rsid w:val="00236351"/>
    <w:rsid w:val="002368B2"/>
    <w:rsid w:val="00241E3B"/>
    <w:rsid w:val="00242F63"/>
    <w:rsid w:val="002466CB"/>
    <w:rsid w:val="00246EBE"/>
    <w:rsid w:val="0024760E"/>
    <w:rsid w:val="002534F1"/>
    <w:rsid w:val="00255E47"/>
    <w:rsid w:val="00256F61"/>
    <w:rsid w:val="00257636"/>
    <w:rsid w:val="00260CC6"/>
    <w:rsid w:val="00260E0C"/>
    <w:rsid w:val="00264C15"/>
    <w:rsid w:val="00265BC0"/>
    <w:rsid w:val="00265D6C"/>
    <w:rsid w:val="00266167"/>
    <w:rsid w:val="00266353"/>
    <w:rsid w:val="002677C2"/>
    <w:rsid w:val="002678DB"/>
    <w:rsid w:val="002713B6"/>
    <w:rsid w:val="002725ED"/>
    <w:rsid w:val="00276FFC"/>
    <w:rsid w:val="002777D3"/>
    <w:rsid w:val="00281BB5"/>
    <w:rsid w:val="0028447A"/>
    <w:rsid w:val="002845E0"/>
    <w:rsid w:val="002959C1"/>
    <w:rsid w:val="00295E04"/>
    <w:rsid w:val="002A0538"/>
    <w:rsid w:val="002A0967"/>
    <w:rsid w:val="002A1AC5"/>
    <w:rsid w:val="002A2EE6"/>
    <w:rsid w:val="002A720F"/>
    <w:rsid w:val="002A7E3D"/>
    <w:rsid w:val="002B28B0"/>
    <w:rsid w:val="002B62AF"/>
    <w:rsid w:val="002B65C3"/>
    <w:rsid w:val="002B7AFC"/>
    <w:rsid w:val="002C0A0D"/>
    <w:rsid w:val="002C0A40"/>
    <w:rsid w:val="002C0EE1"/>
    <w:rsid w:val="002C3691"/>
    <w:rsid w:val="002C4B37"/>
    <w:rsid w:val="002C4C9F"/>
    <w:rsid w:val="002C7F0B"/>
    <w:rsid w:val="002D1257"/>
    <w:rsid w:val="002D426D"/>
    <w:rsid w:val="002D4808"/>
    <w:rsid w:val="002D5A14"/>
    <w:rsid w:val="002D76C2"/>
    <w:rsid w:val="002D7812"/>
    <w:rsid w:val="002E25FE"/>
    <w:rsid w:val="002E3D74"/>
    <w:rsid w:val="002E482E"/>
    <w:rsid w:val="002E552F"/>
    <w:rsid w:val="002F0DC5"/>
    <w:rsid w:val="002F2E86"/>
    <w:rsid w:val="002F50BC"/>
    <w:rsid w:val="002F70AB"/>
    <w:rsid w:val="003010F1"/>
    <w:rsid w:val="00303FDA"/>
    <w:rsid w:val="00310B4E"/>
    <w:rsid w:val="00311C5F"/>
    <w:rsid w:val="003132CA"/>
    <w:rsid w:val="00313F11"/>
    <w:rsid w:val="003140B3"/>
    <w:rsid w:val="00315EA8"/>
    <w:rsid w:val="00320CA2"/>
    <w:rsid w:val="003224AD"/>
    <w:rsid w:val="003224FA"/>
    <w:rsid w:val="00325D62"/>
    <w:rsid w:val="00327652"/>
    <w:rsid w:val="003307EB"/>
    <w:rsid w:val="003347FD"/>
    <w:rsid w:val="00337835"/>
    <w:rsid w:val="0034018E"/>
    <w:rsid w:val="003405F8"/>
    <w:rsid w:val="00340A36"/>
    <w:rsid w:val="00345125"/>
    <w:rsid w:val="00347028"/>
    <w:rsid w:val="00350D7E"/>
    <w:rsid w:val="00352893"/>
    <w:rsid w:val="003544AE"/>
    <w:rsid w:val="00355037"/>
    <w:rsid w:val="00355656"/>
    <w:rsid w:val="00356540"/>
    <w:rsid w:val="0035757F"/>
    <w:rsid w:val="00360625"/>
    <w:rsid w:val="00360C20"/>
    <w:rsid w:val="0036110F"/>
    <w:rsid w:val="00362F28"/>
    <w:rsid w:val="00366281"/>
    <w:rsid w:val="0037031E"/>
    <w:rsid w:val="00370B88"/>
    <w:rsid w:val="00371994"/>
    <w:rsid w:val="00372220"/>
    <w:rsid w:val="00373837"/>
    <w:rsid w:val="00373E47"/>
    <w:rsid w:val="00374D85"/>
    <w:rsid w:val="00377514"/>
    <w:rsid w:val="0037790E"/>
    <w:rsid w:val="00380EBC"/>
    <w:rsid w:val="00383007"/>
    <w:rsid w:val="00383939"/>
    <w:rsid w:val="00383F85"/>
    <w:rsid w:val="00385017"/>
    <w:rsid w:val="003850DA"/>
    <w:rsid w:val="003865C8"/>
    <w:rsid w:val="00394605"/>
    <w:rsid w:val="003A1828"/>
    <w:rsid w:val="003A3A37"/>
    <w:rsid w:val="003A4E48"/>
    <w:rsid w:val="003A5B36"/>
    <w:rsid w:val="003A7ACB"/>
    <w:rsid w:val="003B00B5"/>
    <w:rsid w:val="003B403B"/>
    <w:rsid w:val="003B43E0"/>
    <w:rsid w:val="003B4401"/>
    <w:rsid w:val="003B52AD"/>
    <w:rsid w:val="003B7E61"/>
    <w:rsid w:val="003C0A74"/>
    <w:rsid w:val="003C1665"/>
    <w:rsid w:val="003C4E9A"/>
    <w:rsid w:val="003C60FB"/>
    <w:rsid w:val="003C7B43"/>
    <w:rsid w:val="003D047C"/>
    <w:rsid w:val="003D0DCE"/>
    <w:rsid w:val="003D1E94"/>
    <w:rsid w:val="003D3617"/>
    <w:rsid w:val="003D36A0"/>
    <w:rsid w:val="003E1F7C"/>
    <w:rsid w:val="003E44C4"/>
    <w:rsid w:val="003E518F"/>
    <w:rsid w:val="003E59C2"/>
    <w:rsid w:val="003F13E0"/>
    <w:rsid w:val="003F15A1"/>
    <w:rsid w:val="003F30CD"/>
    <w:rsid w:val="003F4191"/>
    <w:rsid w:val="003F4263"/>
    <w:rsid w:val="003F53C8"/>
    <w:rsid w:val="003F7119"/>
    <w:rsid w:val="003F7366"/>
    <w:rsid w:val="004006CE"/>
    <w:rsid w:val="00401196"/>
    <w:rsid w:val="004026FF"/>
    <w:rsid w:val="00405A35"/>
    <w:rsid w:val="00410BDF"/>
    <w:rsid w:val="00411AA7"/>
    <w:rsid w:val="00411BD9"/>
    <w:rsid w:val="00423E74"/>
    <w:rsid w:val="00424463"/>
    <w:rsid w:val="0042461F"/>
    <w:rsid w:val="0042594D"/>
    <w:rsid w:val="00425F62"/>
    <w:rsid w:val="00427F8C"/>
    <w:rsid w:val="00433547"/>
    <w:rsid w:val="00441E8C"/>
    <w:rsid w:val="0044293E"/>
    <w:rsid w:val="00444B66"/>
    <w:rsid w:val="00452E9B"/>
    <w:rsid w:val="00455187"/>
    <w:rsid w:val="00457256"/>
    <w:rsid w:val="0045756D"/>
    <w:rsid w:val="0046452B"/>
    <w:rsid w:val="00465B70"/>
    <w:rsid w:val="00465FD9"/>
    <w:rsid w:val="004662A6"/>
    <w:rsid w:val="004730DA"/>
    <w:rsid w:val="00474D31"/>
    <w:rsid w:val="004805EF"/>
    <w:rsid w:val="00481F3B"/>
    <w:rsid w:val="00493883"/>
    <w:rsid w:val="00493BAC"/>
    <w:rsid w:val="0049445E"/>
    <w:rsid w:val="004A1311"/>
    <w:rsid w:val="004A39DC"/>
    <w:rsid w:val="004A3B9A"/>
    <w:rsid w:val="004A4814"/>
    <w:rsid w:val="004A4A4A"/>
    <w:rsid w:val="004A4DE5"/>
    <w:rsid w:val="004B3C9A"/>
    <w:rsid w:val="004B49D1"/>
    <w:rsid w:val="004C0FA8"/>
    <w:rsid w:val="004C1756"/>
    <w:rsid w:val="004C676C"/>
    <w:rsid w:val="004C7A6C"/>
    <w:rsid w:val="004D3656"/>
    <w:rsid w:val="004D7181"/>
    <w:rsid w:val="004E006D"/>
    <w:rsid w:val="004E340A"/>
    <w:rsid w:val="004E45E1"/>
    <w:rsid w:val="004E5002"/>
    <w:rsid w:val="004E73C6"/>
    <w:rsid w:val="004F171C"/>
    <w:rsid w:val="004F26A9"/>
    <w:rsid w:val="004F52F1"/>
    <w:rsid w:val="004F5D0B"/>
    <w:rsid w:val="004F63D7"/>
    <w:rsid w:val="004F7DCF"/>
    <w:rsid w:val="00500006"/>
    <w:rsid w:val="00500908"/>
    <w:rsid w:val="00502922"/>
    <w:rsid w:val="00506F41"/>
    <w:rsid w:val="0051136C"/>
    <w:rsid w:val="00512A25"/>
    <w:rsid w:val="0051610D"/>
    <w:rsid w:val="0051628D"/>
    <w:rsid w:val="005214AA"/>
    <w:rsid w:val="00522DF9"/>
    <w:rsid w:val="00523B5D"/>
    <w:rsid w:val="00524125"/>
    <w:rsid w:val="00524D57"/>
    <w:rsid w:val="005331C4"/>
    <w:rsid w:val="0054090D"/>
    <w:rsid w:val="00541A08"/>
    <w:rsid w:val="005422C9"/>
    <w:rsid w:val="00543735"/>
    <w:rsid w:val="00545D1B"/>
    <w:rsid w:val="00552C6D"/>
    <w:rsid w:val="00555DA2"/>
    <w:rsid w:val="005565DC"/>
    <w:rsid w:val="00557901"/>
    <w:rsid w:val="00557F1D"/>
    <w:rsid w:val="00560537"/>
    <w:rsid w:val="00560C60"/>
    <w:rsid w:val="005610B4"/>
    <w:rsid w:val="00562483"/>
    <w:rsid w:val="00562ADB"/>
    <w:rsid w:val="00564B08"/>
    <w:rsid w:val="00566B99"/>
    <w:rsid w:val="00566D7C"/>
    <w:rsid w:val="0057213E"/>
    <w:rsid w:val="005772A8"/>
    <w:rsid w:val="005805CB"/>
    <w:rsid w:val="00586B0A"/>
    <w:rsid w:val="005876BA"/>
    <w:rsid w:val="00593867"/>
    <w:rsid w:val="00594256"/>
    <w:rsid w:val="00594A41"/>
    <w:rsid w:val="00596C3B"/>
    <w:rsid w:val="005A5D02"/>
    <w:rsid w:val="005A7CD3"/>
    <w:rsid w:val="005B07B5"/>
    <w:rsid w:val="005B151B"/>
    <w:rsid w:val="005B199E"/>
    <w:rsid w:val="005B5B89"/>
    <w:rsid w:val="005B72F7"/>
    <w:rsid w:val="005C0967"/>
    <w:rsid w:val="005C1A06"/>
    <w:rsid w:val="005C1CA8"/>
    <w:rsid w:val="005C3BA2"/>
    <w:rsid w:val="005C403C"/>
    <w:rsid w:val="005C47F2"/>
    <w:rsid w:val="005D3875"/>
    <w:rsid w:val="005D39BA"/>
    <w:rsid w:val="005D39BC"/>
    <w:rsid w:val="005D40CF"/>
    <w:rsid w:val="005D4AF2"/>
    <w:rsid w:val="005E76A6"/>
    <w:rsid w:val="005F185D"/>
    <w:rsid w:val="005F25E6"/>
    <w:rsid w:val="005F5AB5"/>
    <w:rsid w:val="005F6F8F"/>
    <w:rsid w:val="0060219D"/>
    <w:rsid w:val="00602288"/>
    <w:rsid w:val="00602D92"/>
    <w:rsid w:val="00603277"/>
    <w:rsid w:val="00605B9D"/>
    <w:rsid w:val="00606879"/>
    <w:rsid w:val="00613725"/>
    <w:rsid w:val="00614BAA"/>
    <w:rsid w:val="006156E6"/>
    <w:rsid w:val="0061633B"/>
    <w:rsid w:val="0062124F"/>
    <w:rsid w:val="00625362"/>
    <w:rsid w:val="006303B2"/>
    <w:rsid w:val="00632EE2"/>
    <w:rsid w:val="00633F3A"/>
    <w:rsid w:val="0063628B"/>
    <w:rsid w:val="00636D65"/>
    <w:rsid w:val="00640B94"/>
    <w:rsid w:val="006438E2"/>
    <w:rsid w:val="00652C43"/>
    <w:rsid w:val="006536F1"/>
    <w:rsid w:val="00655D5B"/>
    <w:rsid w:val="00657569"/>
    <w:rsid w:val="006575D9"/>
    <w:rsid w:val="0066149D"/>
    <w:rsid w:val="00661DB4"/>
    <w:rsid w:val="0066277A"/>
    <w:rsid w:val="006716CF"/>
    <w:rsid w:val="0067581A"/>
    <w:rsid w:val="00683272"/>
    <w:rsid w:val="00685480"/>
    <w:rsid w:val="00686D8E"/>
    <w:rsid w:val="00690A6C"/>
    <w:rsid w:val="00696268"/>
    <w:rsid w:val="00696BA2"/>
    <w:rsid w:val="006A00A0"/>
    <w:rsid w:val="006A0D8D"/>
    <w:rsid w:val="006A2DEA"/>
    <w:rsid w:val="006A3C78"/>
    <w:rsid w:val="006A6FE8"/>
    <w:rsid w:val="006A7C0C"/>
    <w:rsid w:val="006B04CF"/>
    <w:rsid w:val="006B0FD9"/>
    <w:rsid w:val="006B37A3"/>
    <w:rsid w:val="006B4298"/>
    <w:rsid w:val="006B5505"/>
    <w:rsid w:val="006B5EA0"/>
    <w:rsid w:val="006C0699"/>
    <w:rsid w:val="006C1270"/>
    <w:rsid w:val="006C2AEB"/>
    <w:rsid w:val="006C7EBE"/>
    <w:rsid w:val="006D1F51"/>
    <w:rsid w:val="006D74D2"/>
    <w:rsid w:val="006E1AFB"/>
    <w:rsid w:val="006E1F62"/>
    <w:rsid w:val="006E36CD"/>
    <w:rsid w:val="006E675F"/>
    <w:rsid w:val="006F51BE"/>
    <w:rsid w:val="006F5671"/>
    <w:rsid w:val="006F5B3B"/>
    <w:rsid w:val="007036B7"/>
    <w:rsid w:val="007051EA"/>
    <w:rsid w:val="00707368"/>
    <w:rsid w:val="0071019F"/>
    <w:rsid w:val="00710A44"/>
    <w:rsid w:val="00712576"/>
    <w:rsid w:val="007141D8"/>
    <w:rsid w:val="00714596"/>
    <w:rsid w:val="007150EC"/>
    <w:rsid w:val="007173B8"/>
    <w:rsid w:val="0072213D"/>
    <w:rsid w:val="00722792"/>
    <w:rsid w:val="00722911"/>
    <w:rsid w:val="007250E0"/>
    <w:rsid w:val="00725925"/>
    <w:rsid w:val="0072765E"/>
    <w:rsid w:val="00727719"/>
    <w:rsid w:val="00727DB5"/>
    <w:rsid w:val="00730DC9"/>
    <w:rsid w:val="00731049"/>
    <w:rsid w:val="00735856"/>
    <w:rsid w:val="00736DE5"/>
    <w:rsid w:val="00741212"/>
    <w:rsid w:val="00743483"/>
    <w:rsid w:val="00747728"/>
    <w:rsid w:val="0074781D"/>
    <w:rsid w:val="007578FB"/>
    <w:rsid w:val="00757A3C"/>
    <w:rsid w:val="00761B9C"/>
    <w:rsid w:val="00761E00"/>
    <w:rsid w:val="00763112"/>
    <w:rsid w:val="0076333E"/>
    <w:rsid w:val="00764490"/>
    <w:rsid w:val="0076504A"/>
    <w:rsid w:val="007658D9"/>
    <w:rsid w:val="007663F4"/>
    <w:rsid w:val="0077054F"/>
    <w:rsid w:val="007725FE"/>
    <w:rsid w:val="007734BA"/>
    <w:rsid w:val="00775BCE"/>
    <w:rsid w:val="00775F71"/>
    <w:rsid w:val="00780A50"/>
    <w:rsid w:val="00782593"/>
    <w:rsid w:val="00782EB4"/>
    <w:rsid w:val="007841F7"/>
    <w:rsid w:val="00794F9D"/>
    <w:rsid w:val="00797283"/>
    <w:rsid w:val="007A1051"/>
    <w:rsid w:val="007A2753"/>
    <w:rsid w:val="007A62DC"/>
    <w:rsid w:val="007A721F"/>
    <w:rsid w:val="007B0228"/>
    <w:rsid w:val="007B0253"/>
    <w:rsid w:val="007B2778"/>
    <w:rsid w:val="007B7417"/>
    <w:rsid w:val="007C0AF3"/>
    <w:rsid w:val="007C50CE"/>
    <w:rsid w:val="007C7ABC"/>
    <w:rsid w:val="007C7D65"/>
    <w:rsid w:val="007D325D"/>
    <w:rsid w:val="007D3904"/>
    <w:rsid w:val="007D56B4"/>
    <w:rsid w:val="007D69A5"/>
    <w:rsid w:val="007D731D"/>
    <w:rsid w:val="007E018E"/>
    <w:rsid w:val="007E0D28"/>
    <w:rsid w:val="007E1BF0"/>
    <w:rsid w:val="007E201F"/>
    <w:rsid w:val="007E20F2"/>
    <w:rsid w:val="007E3D15"/>
    <w:rsid w:val="007E4CE0"/>
    <w:rsid w:val="007E6BFC"/>
    <w:rsid w:val="007F40B9"/>
    <w:rsid w:val="007F4619"/>
    <w:rsid w:val="007F5F64"/>
    <w:rsid w:val="007F7767"/>
    <w:rsid w:val="008034D0"/>
    <w:rsid w:val="00804C95"/>
    <w:rsid w:val="00804FC9"/>
    <w:rsid w:val="00815D9F"/>
    <w:rsid w:val="008160B3"/>
    <w:rsid w:val="00817ADC"/>
    <w:rsid w:val="00820D24"/>
    <w:rsid w:val="008232B0"/>
    <w:rsid w:val="008239F6"/>
    <w:rsid w:val="00824220"/>
    <w:rsid w:val="00824C09"/>
    <w:rsid w:val="00824EFB"/>
    <w:rsid w:val="00831B67"/>
    <w:rsid w:val="00840443"/>
    <w:rsid w:val="00842022"/>
    <w:rsid w:val="00842FAE"/>
    <w:rsid w:val="008467F1"/>
    <w:rsid w:val="00846DE7"/>
    <w:rsid w:val="0085002D"/>
    <w:rsid w:val="0085240F"/>
    <w:rsid w:val="00852634"/>
    <w:rsid w:val="00853001"/>
    <w:rsid w:val="00855579"/>
    <w:rsid w:val="0086181D"/>
    <w:rsid w:val="00862148"/>
    <w:rsid w:val="00862A26"/>
    <w:rsid w:val="00864BF1"/>
    <w:rsid w:val="00865391"/>
    <w:rsid w:val="00866E9C"/>
    <w:rsid w:val="008704E0"/>
    <w:rsid w:val="00871C0B"/>
    <w:rsid w:val="008726A2"/>
    <w:rsid w:val="00873707"/>
    <w:rsid w:val="00873806"/>
    <w:rsid w:val="008753D7"/>
    <w:rsid w:val="008805EA"/>
    <w:rsid w:val="0088107F"/>
    <w:rsid w:val="00883862"/>
    <w:rsid w:val="00884AA1"/>
    <w:rsid w:val="00887C0A"/>
    <w:rsid w:val="0089149A"/>
    <w:rsid w:val="0089228F"/>
    <w:rsid w:val="008A0EB8"/>
    <w:rsid w:val="008A2408"/>
    <w:rsid w:val="008A7E9A"/>
    <w:rsid w:val="008B0EE0"/>
    <w:rsid w:val="008B0FD0"/>
    <w:rsid w:val="008B20E4"/>
    <w:rsid w:val="008B2DEE"/>
    <w:rsid w:val="008B2EA8"/>
    <w:rsid w:val="008B374D"/>
    <w:rsid w:val="008B5E25"/>
    <w:rsid w:val="008B6367"/>
    <w:rsid w:val="008B6E4C"/>
    <w:rsid w:val="008C0A31"/>
    <w:rsid w:val="008C1909"/>
    <w:rsid w:val="008C2A02"/>
    <w:rsid w:val="008C2F21"/>
    <w:rsid w:val="008C6C45"/>
    <w:rsid w:val="008D0B19"/>
    <w:rsid w:val="008D12C8"/>
    <w:rsid w:val="008D3C2A"/>
    <w:rsid w:val="008D5CD7"/>
    <w:rsid w:val="008E05D0"/>
    <w:rsid w:val="008E16FC"/>
    <w:rsid w:val="008E1F8F"/>
    <w:rsid w:val="008E3521"/>
    <w:rsid w:val="008E48BB"/>
    <w:rsid w:val="008E4940"/>
    <w:rsid w:val="008E5454"/>
    <w:rsid w:val="008E7580"/>
    <w:rsid w:val="008E7BE6"/>
    <w:rsid w:val="008F1310"/>
    <w:rsid w:val="008F2340"/>
    <w:rsid w:val="008F2F2A"/>
    <w:rsid w:val="008F321F"/>
    <w:rsid w:val="008F3439"/>
    <w:rsid w:val="008F361D"/>
    <w:rsid w:val="008F4362"/>
    <w:rsid w:val="008F4CF2"/>
    <w:rsid w:val="008F5D26"/>
    <w:rsid w:val="008F69EB"/>
    <w:rsid w:val="008F6CC0"/>
    <w:rsid w:val="00902AB1"/>
    <w:rsid w:val="00903030"/>
    <w:rsid w:val="00903A82"/>
    <w:rsid w:val="0090614D"/>
    <w:rsid w:val="00907A95"/>
    <w:rsid w:val="00910D18"/>
    <w:rsid w:val="00913400"/>
    <w:rsid w:val="009146BB"/>
    <w:rsid w:val="00916852"/>
    <w:rsid w:val="0091718E"/>
    <w:rsid w:val="00920AF2"/>
    <w:rsid w:val="00922B38"/>
    <w:rsid w:val="00923218"/>
    <w:rsid w:val="009234C9"/>
    <w:rsid w:val="009252F5"/>
    <w:rsid w:val="00925812"/>
    <w:rsid w:val="00930654"/>
    <w:rsid w:val="00930FE0"/>
    <w:rsid w:val="00934371"/>
    <w:rsid w:val="009345C6"/>
    <w:rsid w:val="00935FAA"/>
    <w:rsid w:val="00936224"/>
    <w:rsid w:val="00937ABD"/>
    <w:rsid w:val="00940FAF"/>
    <w:rsid w:val="00943FCE"/>
    <w:rsid w:val="00945B73"/>
    <w:rsid w:val="009500E7"/>
    <w:rsid w:val="00951344"/>
    <w:rsid w:val="00954031"/>
    <w:rsid w:val="00960073"/>
    <w:rsid w:val="009606EC"/>
    <w:rsid w:val="009611AA"/>
    <w:rsid w:val="009630CA"/>
    <w:rsid w:val="009670D3"/>
    <w:rsid w:val="009673C7"/>
    <w:rsid w:val="00967B3D"/>
    <w:rsid w:val="009708A8"/>
    <w:rsid w:val="00970C38"/>
    <w:rsid w:val="00972FFB"/>
    <w:rsid w:val="00973872"/>
    <w:rsid w:val="0097545C"/>
    <w:rsid w:val="009771D1"/>
    <w:rsid w:val="009843E2"/>
    <w:rsid w:val="00987831"/>
    <w:rsid w:val="0098794C"/>
    <w:rsid w:val="00992ECA"/>
    <w:rsid w:val="009933CE"/>
    <w:rsid w:val="009933D7"/>
    <w:rsid w:val="0099408B"/>
    <w:rsid w:val="009961A0"/>
    <w:rsid w:val="009A1E2F"/>
    <w:rsid w:val="009A2202"/>
    <w:rsid w:val="009B088D"/>
    <w:rsid w:val="009B1543"/>
    <w:rsid w:val="009B1A54"/>
    <w:rsid w:val="009B229C"/>
    <w:rsid w:val="009B3692"/>
    <w:rsid w:val="009B7331"/>
    <w:rsid w:val="009C1F08"/>
    <w:rsid w:val="009C3323"/>
    <w:rsid w:val="009C3A6E"/>
    <w:rsid w:val="009C41C1"/>
    <w:rsid w:val="009D04D9"/>
    <w:rsid w:val="009D1681"/>
    <w:rsid w:val="009D29E9"/>
    <w:rsid w:val="009D413E"/>
    <w:rsid w:val="009D6345"/>
    <w:rsid w:val="009D7BFF"/>
    <w:rsid w:val="009E263E"/>
    <w:rsid w:val="009E28EC"/>
    <w:rsid w:val="009E55BB"/>
    <w:rsid w:val="009E74BA"/>
    <w:rsid w:val="009F0A52"/>
    <w:rsid w:val="009F282D"/>
    <w:rsid w:val="00A004AE"/>
    <w:rsid w:val="00A01FE8"/>
    <w:rsid w:val="00A04275"/>
    <w:rsid w:val="00A04412"/>
    <w:rsid w:val="00A05A01"/>
    <w:rsid w:val="00A06562"/>
    <w:rsid w:val="00A06F98"/>
    <w:rsid w:val="00A07C03"/>
    <w:rsid w:val="00A07CDF"/>
    <w:rsid w:val="00A10759"/>
    <w:rsid w:val="00A11D3E"/>
    <w:rsid w:val="00A13DC6"/>
    <w:rsid w:val="00A13F55"/>
    <w:rsid w:val="00A14A59"/>
    <w:rsid w:val="00A20115"/>
    <w:rsid w:val="00A203C9"/>
    <w:rsid w:val="00A21511"/>
    <w:rsid w:val="00A227F5"/>
    <w:rsid w:val="00A22C50"/>
    <w:rsid w:val="00A22E22"/>
    <w:rsid w:val="00A247A3"/>
    <w:rsid w:val="00A25980"/>
    <w:rsid w:val="00A26849"/>
    <w:rsid w:val="00A30B0F"/>
    <w:rsid w:val="00A30BC1"/>
    <w:rsid w:val="00A30BF9"/>
    <w:rsid w:val="00A30C43"/>
    <w:rsid w:val="00A31076"/>
    <w:rsid w:val="00A310AA"/>
    <w:rsid w:val="00A31267"/>
    <w:rsid w:val="00A31432"/>
    <w:rsid w:val="00A32814"/>
    <w:rsid w:val="00A328BE"/>
    <w:rsid w:val="00A32B93"/>
    <w:rsid w:val="00A34D68"/>
    <w:rsid w:val="00A36827"/>
    <w:rsid w:val="00A37CE4"/>
    <w:rsid w:val="00A4045F"/>
    <w:rsid w:val="00A4050E"/>
    <w:rsid w:val="00A40A1E"/>
    <w:rsid w:val="00A50816"/>
    <w:rsid w:val="00A51839"/>
    <w:rsid w:val="00A53054"/>
    <w:rsid w:val="00A53723"/>
    <w:rsid w:val="00A607B7"/>
    <w:rsid w:val="00A61492"/>
    <w:rsid w:val="00A6361A"/>
    <w:rsid w:val="00A64502"/>
    <w:rsid w:val="00A66C24"/>
    <w:rsid w:val="00A70E9D"/>
    <w:rsid w:val="00A72F23"/>
    <w:rsid w:val="00A73311"/>
    <w:rsid w:val="00A7364C"/>
    <w:rsid w:val="00A740AF"/>
    <w:rsid w:val="00A76289"/>
    <w:rsid w:val="00A81C3E"/>
    <w:rsid w:val="00A83203"/>
    <w:rsid w:val="00A83A77"/>
    <w:rsid w:val="00A84695"/>
    <w:rsid w:val="00A84FFD"/>
    <w:rsid w:val="00A871A8"/>
    <w:rsid w:val="00A8787E"/>
    <w:rsid w:val="00A906F2"/>
    <w:rsid w:val="00A93977"/>
    <w:rsid w:val="00A97F9A"/>
    <w:rsid w:val="00AA08CF"/>
    <w:rsid w:val="00AA1D79"/>
    <w:rsid w:val="00AA279F"/>
    <w:rsid w:val="00AA3894"/>
    <w:rsid w:val="00AA6483"/>
    <w:rsid w:val="00AA7A4C"/>
    <w:rsid w:val="00AB11E8"/>
    <w:rsid w:val="00AB22AA"/>
    <w:rsid w:val="00AB2A05"/>
    <w:rsid w:val="00AB2C34"/>
    <w:rsid w:val="00AB3E12"/>
    <w:rsid w:val="00AC0184"/>
    <w:rsid w:val="00AC02DD"/>
    <w:rsid w:val="00AC1231"/>
    <w:rsid w:val="00AC4402"/>
    <w:rsid w:val="00AC47C9"/>
    <w:rsid w:val="00AC7CAD"/>
    <w:rsid w:val="00AD1C4F"/>
    <w:rsid w:val="00AD2ECF"/>
    <w:rsid w:val="00AD7772"/>
    <w:rsid w:val="00AE08AD"/>
    <w:rsid w:val="00AE10D1"/>
    <w:rsid w:val="00AE1ED1"/>
    <w:rsid w:val="00AE3C0F"/>
    <w:rsid w:val="00AE5F06"/>
    <w:rsid w:val="00AE73AF"/>
    <w:rsid w:val="00AF07A5"/>
    <w:rsid w:val="00AF4025"/>
    <w:rsid w:val="00B00B53"/>
    <w:rsid w:val="00B01E9C"/>
    <w:rsid w:val="00B078DA"/>
    <w:rsid w:val="00B119F2"/>
    <w:rsid w:val="00B12D9E"/>
    <w:rsid w:val="00B14945"/>
    <w:rsid w:val="00B1572E"/>
    <w:rsid w:val="00B219AB"/>
    <w:rsid w:val="00B234C7"/>
    <w:rsid w:val="00B24DD3"/>
    <w:rsid w:val="00B25680"/>
    <w:rsid w:val="00B256D4"/>
    <w:rsid w:val="00B26119"/>
    <w:rsid w:val="00B26241"/>
    <w:rsid w:val="00B265FF"/>
    <w:rsid w:val="00B277BA"/>
    <w:rsid w:val="00B32B97"/>
    <w:rsid w:val="00B367CE"/>
    <w:rsid w:val="00B36D10"/>
    <w:rsid w:val="00B423D8"/>
    <w:rsid w:val="00B45518"/>
    <w:rsid w:val="00B508FF"/>
    <w:rsid w:val="00B54626"/>
    <w:rsid w:val="00B552BA"/>
    <w:rsid w:val="00B557DF"/>
    <w:rsid w:val="00B55A9C"/>
    <w:rsid w:val="00B55BBB"/>
    <w:rsid w:val="00B57569"/>
    <w:rsid w:val="00B60A47"/>
    <w:rsid w:val="00B6115C"/>
    <w:rsid w:val="00B628E6"/>
    <w:rsid w:val="00B62C60"/>
    <w:rsid w:val="00B63BB2"/>
    <w:rsid w:val="00B66B9A"/>
    <w:rsid w:val="00B70C5C"/>
    <w:rsid w:val="00B716C5"/>
    <w:rsid w:val="00B72C3B"/>
    <w:rsid w:val="00B74195"/>
    <w:rsid w:val="00B75471"/>
    <w:rsid w:val="00B768EF"/>
    <w:rsid w:val="00B776ED"/>
    <w:rsid w:val="00B805AD"/>
    <w:rsid w:val="00B8305B"/>
    <w:rsid w:val="00B85949"/>
    <w:rsid w:val="00B928F0"/>
    <w:rsid w:val="00B92E98"/>
    <w:rsid w:val="00B940A7"/>
    <w:rsid w:val="00B95CAB"/>
    <w:rsid w:val="00BA29E1"/>
    <w:rsid w:val="00BA5160"/>
    <w:rsid w:val="00BA51FD"/>
    <w:rsid w:val="00BA6A9E"/>
    <w:rsid w:val="00BB01CA"/>
    <w:rsid w:val="00BB1BA0"/>
    <w:rsid w:val="00BB1D88"/>
    <w:rsid w:val="00BB2CB5"/>
    <w:rsid w:val="00BB540B"/>
    <w:rsid w:val="00BB6C6B"/>
    <w:rsid w:val="00BB782A"/>
    <w:rsid w:val="00BC1051"/>
    <w:rsid w:val="00BC137D"/>
    <w:rsid w:val="00BD0A05"/>
    <w:rsid w:val="00BD11E3"/>
    <w:rsid w:val="00BD3489"/>
    <w:rsid w:val="00BD414C"/>
    <w:rsid w:val="00BD452C"/>
    <w:rsid w:val="00BD4B67"/>
    <w:rsid w:val="00BE30C7"/>
    <w:rsid w:val="00BE605C"/>
    <w:rsid w:val="00BE7B3D"/>
    <w:rsid w:val="00BF0B92"/>
    <w:rsid w:val="00BF3E54"/>
    <w:rsid w:val="00BF6370"/>
    <w:rsid w:val="00BF7320"/>
    <w:rsid w:val="00C02A0F"/>
    <w:rsid w:val="00C02BF0"/>
    <w:rsid w:val="00C05128"/>
    <w:rsid w:val="00C05D19"/>
    <w:rsid w:val="00C07B5F"/>
    <w:rsid w:val="00C141D4"/>
    <w:rsid w:val="00C164BF"/>
    <w:rsid w:val="00C16B1C"/>
    <w:rsid w:val="00C22FF4"/>
    <w:rsid w:val="00C24952"/>
    <w:rsid w:val="00C26C12"/>
    <w:rsid w:val="00C351F9"/>
    <w:rsid w:val="00C370C2"/>
    <w:rsid w:val="00C4021C"/>
    <w:rsid w:val="00C41855"/>
    <w:rsid w:val="00C479D6"/>
    <w:rsid w:val="00C51D13"/>
    <w:rsid w:val="00C529E3"/>
    <w:rsid w:val="00C52CDE"/>
    <w:rsid w:val="00C52FF5"/>
    <w:rsid w:val="00C55177"/>
    <w:rsid w:val="00C61A3C"/>
    <w:rsid w:val="00C62B04"/>
    <w:rsid w:val="00C64243"/>
    <w:rsid w:val="00C713D4"/>
    <w:rsid w:val="00C74101"/>
    <w:rsid w:val="00C74E44"/>
    <w:rsid w:val="00C80F9F"/>
    <w:rsid w:val="00C834D0"/>
    <w:rsid w:val="00C93700"/>
    <w:rsid w:val="00C937E2"/>
    <w:rsid w:val="00C94A36"/>
    <w:rsid w:val="00C94F3D"/>
    <w:rsid w:val="00C97004"/>
    <w:rsid w:val="00CA0B2D"/>
    <w:rsid w:val="00CA728B"/>
    <w:rsid w:val="00CB43D5"/>
    <w:rsid w:val="00CB647E"/>
    <w:rsid w:val="00CC092D"/>
    <w:rsid w:val="00CC1292"/>
    <w:rsid w:val="00CC3013"/>
    <w:rsid w:val="00CC4D88"/>
    <w:rsid w:val="00CC6971"/>
    <w:rsid w:val="00CC7233"/>
    <w:rsid w:val="00CD0D57"/>
    <w:rsid w:val="00CD15DE"/>
    <w:rsid w:val="00CD3716"/>
    <w:rsid w:val="00CD5823"/>
    <w:rsid w:val="00CD59A1"/>
    <w:rsid w:val="00CD7045"/>
    <w:rsid w:val="00CE25A5"/>
    <w:rsid w:val="00CE5898"/>
    <w:rsid w:val="00CE6844"/>
    <w:rsid w:val="00CF25F1"/>
    <w:rsid w:val="00CF2947"/>
    <w:rsid w:val="00CF4058"/>
    <w:rsid w:val="00CF5203"/>
    <w:rsid w:val="00CF58C8"/>
    <w:rsid w:val="00D00A32"/>
    <w:rsid w:val="00D02DC3"/>
    <w:rsid w:val="00D0354D"/>
    <w:rsid w:val="00D066FE"/>
    <w:rsid w:val="00D1137E"/>
    <w:rsid w:val="00D133AF"/>
    <w:rsid w:val="00D14901"/>
    <w:rsid w:val="00D15845"/>
    <w:rsid w:val="00D21545"/>
    <w:rsid w:val="00D2168F"/>
    <w:rsid w:val="00D26934"/>
    <w:rsid w:val="00D27E06"/>
    <w:rsid w:val="00D316D6"/>
    <w:rsid w:val="00D31E3F"/>
    <w:rsid w:val="00D3474E"/>
    <w:rsid w:val="00D360D9"/>
    <w:rsid w:val="00D4031B"/>
    <w:rsid w:val="00D409C5"/>
    <w:rsid w:val="00D40FA9"/>
    <w:rsid w:val="00D47D04"/>
    <w:rsid w:val="00D47FE1"/>
    <w:rsid w:val="00D51994"/>
    <w:rsid w:val="00D5244E"/>
    <w:rsid w:val="00D53A18"/>
    <w:rsid w:val="00D55E7A"/>
    <w:rsid w:val="00D61D2A"/>
    <w:rsid w:val="00D63102"/>
    <w:rsid w:val="00D637EA"/>
    <w:rsid w:val="00D63BD3"/>
    <w:rsid w:val="00D65FC4"/>
    <w:rsid w:val="00D72DCC"/>
    <w:rsid w:val="00D730CA"/>
    <w:rsid w:val="00D77301"/>
    <w:rsid w:val="00D77FFD"/>
    <w:rsid w:val="00D8288B"/>
    <w:rsid w:val="00D82B6B"/>
    <w:rsid w:val="00D86334"/>
    <w:rsid w:val="00D865D6"/>
    <w:rsid w:val="00D869C0"/>
    <w:rsid w:val="00D87640"/>
    <w:rsid w:val="00D90495"/>
    <w:rsid w:val="00D90FA8"/>
    <w:rsid w:val="00D916D9"/>
    <w:rsid w:val="00D91B49"/>
    <w:rsid w:val="00D91CF8"/>
    <w:rsid w:val="00D9226A"/>
    <w:rsid w:val="00D95FC6"/>
    <w:rsid w:val="00DA1291"/>
    <w:rsid w:val="00DA15A3"/>
    <w:rsid w:val="00DA4103"/>
    <w:rsid w:val="00DA4659"/>
    <w:rsid w:val="00DA575C"/>
    <w:rsid w:val="00DA7FCD"/>
    <w:rsid w:val="00DB1149"/>
    <w:rsid w:val="00DB1767"/>
    <w:rsid w:val="00DB2BBC"/>
    <w:rsid w:val="00DB4EB5"/>
    <w:rsid w:val="00DB691B"/>
    <w:rsid w:val="00DB6DAE"/>
    <w:rsid w:val="00DC0519"/>
    <w:rsid w:val="00DC0B0F"/>
    <w:rsid w:val="00DC0F39"/>
    <w:rsid w:val="00DC2AFF"/>
    <w:rsid w:val="00DC397A"/>
    <w:rsid w:val="00DC5E13"/>
    <w:rsid w:val="00DD1A0D"/>
    <w:rsid w:val="00DD52FF"/>
    <w:rsid w:val="00DD5A37"/>
    <w:rsid w:val="00DD77AD"/>
    <w:rsid w:val="00DE6842"/>
    <w:rsid w:val="00DE7F98"/>
    <w:rsid w:val="00DF328C"/>
    <w:rsid w:val="00DF3C84"/>
    <w:rsid w:val="00DF4A56"/>
    <w:rsid w:val="00DF5FDA"/>
    <w:rsid w:val="00DF6368"/>
    <w:rsid w:val="00E00D81"/>
    <w:rsid w:val="00E01EA7"/>
    <w:rsid w:val="00E02898"/>
    <w:rsid w:val="00E033D1"/>
    <w:rsid w:val="00E03AB0"/>
    <w:rsid w:val="00E068DA"/>
    <w:rsid w:val="00E11C74"/>
    <w:rsid w:val="00E14912"/>
    <w:rsid w:val="00E151EC"/>
    <w:rsid w:val="00E23233"/>
    <w:rsid w:val="00E2384A"/>
    <w:rsid w:val="00E26DDC"/>
    <w:rsid w:val="00E3066E"/>
    <w:rsid w:val="00E35872"/>
    <w:rsid w:val="00E40103"/>
    <w:rsid w:val="00E409BD"/>
    <w:rsid w:val="00E41AA4"/>
    <w:rsid w:val="00E435F4"/>
    <w:rsid w:val="00E4422A"/>
    <w:rsid w:val="00E44C18"/>
    <w:rsid w:val="00E46362"/>
    <w:rsid w:val="00E46693"/>
    <w:rsid w:val="00E46AC6"/>
    <w:rsid w:val="00E50C1F"/>
    <w:rsid w:val="00E51C5F"/>
    <w:rsid w:val="00E55BC8"/>
    <w:rsid w:val="00E6614E"/>
    <w:rsid w:val="00E67C9C"/>
    <w:rsid w:val="00E708FB"/>
    <w:rsid w:val="00E70B2A"/>
    <w:rsid w:val="00E715A5"/>
    <w:rsid w:val="00E749D4"/>
    <w:rsid w:val="00E755DB"/>
    <w:rsid w:val="00E75B72"/>
    <w:rsid w:val="00E76690"/>
    <w:rsid w:val="00E77710"/>
    <w:rsid w:val="00E8010E"/>
    <w:rsid w:val="00E81975"/>
    <w:rsid w:val="00E83071"/>
    <w:rsid w:val="00E84B47"/>
    <w:rsid w:val="00E9166D"/>
    <w:rsid w:val="00E91BFF"/>
    <w:rsid w:val="00E92625"/>
    <w:rsid w:val="00E92F79"/>
    <w:rsid w:val="00E951E5"/>
    <w:rsid w:val="00EA51B6"/>
    <w:rsid w:val="00EA53C0"/>
    <w:rsid w:val="00EA69E2"/>
    <w:rsid w:val="00EA71A5"/>
    <w:rsid w:val="00EB0A6E"/>
    <w:rsid w:val="00EB7A32"/>
    <w:rsid w:val="00EC17D1"/>
    <w:rsid w:val="00EC37DF"/>
    <w:rsid w:val="00EC4025"/>
    <w:rsid w:val="00EC776F"/>
    <w:rsid w:val="00ED0BDD"/>
    <w:rsid w:val="00ED1861"/>
    <w:rsid w:val="00ED44A4"/>
    <w:rsid w:val="00ED7135"/>
    <w:rsid w:val="00ED735B"/>
    <w:rsid w:val="00EE5FA6"/>
    <w:rsid w:val="00EE6451"/>
    <w:rsid w:val="00EE7879"/>
    <w:rsid w:val="00EE7C4F"/>
    <w:rsid w:val="00EF010D"/>
    <w:rsid w:val="00EF34EB"/>
    <w:rsid w:val="00EF48B4"/>
    <w:rsid w:val="00EF4FE0"/>
    <w:rsid w:val="00EF5891"/>
    <w:rsid w:val="00EF6F55"/>
    <w:rsid w:val="00EF76D9"/>
    <w:rsid w:val="00F0088C"/>
    <w:rsid w:val="00F00EA8"/>
    <w:rsid w:val="00F01116"/>
    <w:rsid w:val="00F01A0B"/>
    <w:rsid w:val="00F01F39"/>
    <w:rsid w:val="00F026E6"/>
    <w:rsid w:val="00F0359C"/>
    <w:rsid w:val="00F05904"/>
    <w:rsid w:val="00F07B04"/>
    <w:rsid w:val="00F07D02"/>
    <w:rsid w:val="00F1009F"/>
    <w:rsid w:val="00F104C0"/>
    <w:rsid w:val="00F1084C"/>
    <w:rsid w:val="00F13208"/>
    <w:rsid w:val="00F13599"/>
    <w:rsid w:val="00F147BC"/>
    <w:rsid w:val="00F15C2C"/>
    <w:rsid w:val="00F20353"/>
    <w:rsid w:val="00F22953"/>
    <w:rsid w:val="00F23066"/>
    <w:rsid w:val="00F23530"/>
    <w:rsid w:val="00F258D2"/>
    <w:rsid w:val="00F25C60"/>
    <w:rsid w:val="00F31569"/>
    <w:rsid w:val="00F315AE"/>
    <w:rsid w:val="00F31AE6"/>
    <w:rsid w:val="00F32576"/>
    <w:rsid w:val="00F33448"/>
    <w:rsid w:val="00F355D0"/>
    <w:rsid w:val="00F35BF1"/>
    <w:rsid w:val="00F40810"/>
    <w:rsid w:val="00F40CD6"/>
    <w:rsid w:val="00F411B8"/>
    <w:rsid w:val="00F455F8"/>
    <w:rsid w:val="00F457D3"/>
    <w:rsid w:val="00F45863"/>
    <w:rsid w:val="00F46F73"/>
    <w:rsid w:val="00F4770C"/>
    <w:rsid w:val="00F501CC"/>
    <w:rsid w:val="00F525BC"/>
    <w:rsid w:val="00F53879"/>
    <w:rsid w:val="00F54252"/>
    <w:rsid w:val="00F55E6F"/>
    <w:rsid w:val="00F57991"/>
    <w:rsid w:val="00F643F9"/>
    <w:rsid w:val="00F64CD4"/>
    <w:rsid w:val="00F65043"/>
    <w:rsid w:val="00F65579"/>
    <w:rsid w:val="00F673D8"/>
    <w:rsid w:val="00F67634"/>
    <w:rsid w:val="00F751BB"/>
    <w:rsid w:val="00F76B95"/>
    <w:rsid w:val="00F76FC3"/>
    <w:rsid w:val="00F80726"/>
    <w:rsid w:val="00F821E9"/>
    <w:rsid w:val="00F86D8B"/>
    <w:rsid w:val="00F87A2C"/>
    <w:rsid w:val="00F948E0"/>
    <w:rsid w:val="00F94D01"/>
    <w:rsid w:val="00F96FD8"/>
    <w:rsid w:val="00FA1B5A"/>
    <w:rsid w:val="00FA1E5B"/>
    <w:rsid w:val="00FA2FC2"/>
    <w:rsid w:val="00FB2237"/>
    <w:rsid w:val="00FB4C81"/>
    <w:rsid w:val="00FB6585"/>
    <w:rsid w:val="00FC026A"/>
    <w:rsid w:val="00FC2628"/>
    <w:rsid w:val="00FC26FA"/>
    <w:rsid w:val="00FC3B53"/>
    <w:rsid w:val="00FC441D"/>
    <w:rsid w:val="00FC7FE2"/>
    <w:rsid w:val="00FD24FE"/>
    <w:rsid w:val="00FD3CCE"/>
    <w:rsid w:val="00FD69A1"/>
    <w:rsid w:val="00FD69C7"/>
    <w:rsid w:val="00FE112A"/>
    <w:rsid w:val="00FE239D"/>
    <w:rsid w:val="00FE31D3"/>
    <w:rsid w:val="00FE3C31"/>
    <w:rsid w:val="00FE59C9"/>
    <w:rsid w:val="00FE5DC5"/>
    <w:rsid w:val="00FE72C8"/>
    <w:rsid w:val="00FE7815"/>
    <w:rsid w:val="00FF1027"/>
    <w:rsid w:val="00FF1A97"/>
    <w:rsid w:val="00FF3DF2"/>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18C5385"/>
  <w15:chartTrackingRefBased/>
  <w15:docId w15:val="{B5B17D48-8A1E-4B81-995B-176C418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A6E"/>
    <w:rPr>
      <w:sz w:val="24"/>
      <w:szCs w:val="24"/>
      <w:lang w:val="en-GB" w:eastAsia="en-GB"/>
    </w:rPr>
  </w:style>
  <w:style w:type="paragraph" w:styleId="Heading1">
    <w:name w:val="heading 1"/>
    <w:basedOn w:val="Normal"/>
    <w:qFormat/>
    <w:rsid w:val="003C1665"/>
    <w:pPr>
      <w:outlineLvl w:val="0"/>
    </w:pPr>
    <w:rPr>
      <w:rFonts w:ascii="Arial" w:hAnsi="Arial" w:cs="Arial"/>
      <w:color w:val="336666"/>
      <w:kern w:val="36"/>
      <w:sz w:val="48"/>
      <w:szCs w:val="48"/>
      <w:lang w:eastAsia="en-US"/>
    </w:rPr>
  </w:style>
  <w:style w:type="paragraph" w:styleId="Heading2">
    <w:name w:val="heading 2"/>
    <w:basedOn w:val="Normal"/>
    <w:next w:val="Normal"/>
    <w:qFormat/>
    <w:rsid w:val="00DE7F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F0DC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3B5D"/>
    <w:rPr>
      <w:color w:val="0000FF"/>
      <w:u w:val="single"/>
    </w:rPr>
  </w:style>
  <w:style w:type="table" w:styleId="TableGrid">
    <w:name w:val="Table Grid"/>
    <w:basedOn w:val="TableNormal"/>
    <w:rsid w:val="0052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C1665"/>
    <w:rPr>
      <w:sz w:val="16"/>
      <w:szCs w:val="16"/>
    </w:rPr>
  </w:style>
  <w:style w:type="paragraph" w:styleId="CommentText">
    <w:name w:val="annotation text"/>
    <w:basedOn w:val="Normal"/>
    <w:semiHidden/>
    <w:rsid w:val="003C1665"/>
    <w:rPr>
      <w:sz w:val="20"/>
      <w:szCs w:val="20"/>
    </w:rPr>
  </w:style>
  <w:style w:type="paragraph" w:styleId="CommentSubject">
    <w:name w:val="annotation subject"/>
    <w:basedOn w:val="CommentText"/>
    <w:next w:val="CommentText"/>
    <w:semiHidden/>
    <w:rsid w:val="003C1665"/>
    <w:rPr>
      <w:b/>
      <w:bCs/>
    </w:rPr>
  </w:style>
  <w:style w:type="paragraph" w:styleId="BalloonText">
    <w:name w:val="Balloon Text"/>
    <w:basedOn w:val="Normal"/>
    <w:semiHidden/>
    <w:rsid w:val="003C1665"/>
    <w:rPr>
      <w:rFonts w:ascii="Tahoma" w:hAnsi="Tahoma" w:cs="Tahoma"/>
      <w:sz w:val="16"/>
      <w:szCs w:val="16"/>
    </w:rPr>
  </w:style>
  <w:style w:type="character" w:styleId="Strong">
    <w:name w:val="Strong"/>
    <w:qFormat/>
    <w:rsid w:val="003C1665"/>
    <w:rPr>
      <w:b/>
      <w:bCs/>
    </w:rPr>
  </w:style>
  <w:style w:type="paragraph" w:styleId="BodyText">
    <w:name w:val="Body Text"/>
    <w:basedOn w:val="Normal"/>
    <w:rsid w:val="001D423C"/>
    <w:pPr>
      <w:spacing w:after="120"/>
    </w:pPr>
  </w:style>
  <w:style w:type="paragraph" w:styleId="NormalWeb">
    <w:name w:val="Normal (Web)"/>
    <w:basedOn w:val="Normal"/>
    <w:rsid w:val="00DE7F98"/>
    <w:pPr>
      <w:spacing w:before="100" w:beforeAutospacing="1" w:after="100" w:afterAutospacing="1"/>
    </w:pPr>
  </w:style>
  <w:style w:type="paragraph" w:customStyle="1" w:styleId="Normal1">
    <w:name w:val="Normal1"/>
    <w:basedOn w:val="Normal"/>
    <w:link w:val="normalChar"/>
    <w:rsid w:val="00AE08AD"/>
    <w:rPr>
      <w:rFonts w:ascii="Arial" w:hAnsi="Arial" w:cs="Arial"/>
    </w:rPr>
  </w:style>
  <w:style w:type="character" w:styleId="FollowedHyperlink">
    <w:name w:val="FollowedHyperlink"/>
    <w:rsid w:val="008B374D"/>
    <w:rPr>
      <w:color w:val="800080"/>
      <w:u w:val="single"/>
    </w:rPr>
  </w:style>
  <w:style w:type="character" w:customStyle="1" w:styleId="content">
    <w:name w:val="content"/>
    <w:basedOn w:val="DefaultParagraphFont"/>
    <w:rsid w:val="005F6F8F"/>
  </w:style>
  <w:style w:type="character" w:customStyle="1" w:styleId="article-articlebody">
    <w:name w:val="article-articlebody"/>
    <w:basedOn w:val="DefaultParagraphFont"/>
    <w:rsid w:val="00DA1291"/>
  </w:style>
  <w:style w:type="paragraph" w:customStyle="1" w:styleId="Default">
    <w:name w:val="Default"/>
    <w:rsid w:val="00260CC6"/>
    <w:pPr>
      <w:autoSpaceDE w:val="0"/>
      <w:autoSpaceDN w:val="0"/>
      <w:adjustRightInd w:val="0"/>
    </w:pPr>
    <w:rPr>
      <w:rFonts w:ascii="Calibri" w:hAnsi="Calibri" w:cs="Calibri"/>
      <w:color w:val="000000"/>
      <w:sz w:val="24"/>
      <w:szCs w:val="24"/>
      <w:lang w:val="en-GB" w:eastAsia="en-GB"/>
    </w:rPr>
  </w:style>
  <w:style w:type="character" w:customStyle="1" w:styleId="name">
    <w:name w:val="name"/>
    <w:basedOn w:val="DefaultParagraphFont"/>
    <w:rsid w:val="006156E6"/>
  </w:style>
  <w:style w:type="character" w:customStyle="1" w:styleId="contrib-degrees">
    <w:name w:val="contrib-degrees"/>
    <w:basedOn w:val="DefaultParagraphFont"/>
    <w:rsid w:val="006156E6"/>
  </w:style>
  <w:style w:type="character" w:styleId="Emphasis">
    <w:name w:val="Emphasis"/>
    <w:qFormat/>
    <w:rsid w:val="00D63102"/>
    <w:rPr>
      <w:i/>
      <w:iCs/>
    </w:rPr>
  </w:style>
  <w:style w:type="character" w:customStyle="1" w:styleId="authornames">
    <w:name w:val="authornames"/>
    <w:basedOn w:val="DefaultParagraphFont"/>
    <w:rsid w:val="00D63102"/>
  </w:style>
  <w:style w:type="paragraph" w:customStyle="1" w:styleId="introtext">
    <w:name w:val="introtext"/>
    <w:basedOn w:val="Normal"/>
    <w:rsid w:val="00E6614E"/>
    <w:pPr>
      <w:spacing w:before="100" w:beforeAutospacing="1" w:after="100" w:afterAutospacing="1"/>
    </w:pPr>
  </w:style>
  <w:style w:type="paragraph" w:customStyle="1" w:styleId="CM42">
    <w:name w:val="CM42"/>
    <w:basedOn w:val="Default"/>
    <w:next w:val="Default"/>
    <w:rsid w:val="003D3617"/>
    <w:pPr>
      <w:spacing w:after="240"/>
    </w:pPr>
    <w:rPr>
      <w:rFonts w:ascii="Times New Roman" w:hAnsi="Times New Roman" w:cs="Times New Roman"/>
      <w:color w:val="auto"/>
    </w:rPr>
  </w:style>
  <w:style w:type="character" w:customStyle="1" w:styleId="hit">
    <w:name w:val="hit"/>
    <w:basedOn w:val="DefaultParagraphFont"/>
    <w:rsid w:val="00BD414C"/>
  </w:style>
  <w:style w:type="character" w:customStyle="1" w:styleId="normalChar">
    <w:name w:val="normal Char"/>
    <w:link w:val="Normal1"/>
    <w:rsid w:val="003C60FB"/>
    <w:rPr>
      <w:rFonts w:ascii="Arial" w:hAnsi="Arial" w:cs="Arial"/>
      <w:sz w:val="24"/>
      <w:szCs w:val="24"/>
      <w:lang w:val="en-GB" w:eastAsia="en-GB" w:bidi="ar-SA"/>
    </w:rPr>
  </w:style>
  <w:style w:type="character" w:customStyle="1" w:styleId="organisation-name">
    <w:name w:val="organisation-name"/>
    <w:rsid w:val="0021223E"/>
    <w:rPr>
      <w:sz w:val="21"/>
      <w:szCs w:val="21"/>
    </w:rPr>
  </w:style>
  <w:style w:type="paragraph" w:styleId="ListParagraph">
    <w:name w:val="List Paragraph"/>
    <w:basedOn w:val="Normal"/>
    <w:uiPriority w:val="34"/>
    <w:qFormat/>
    <w:rsid w:val="00D27E06"/>
    <w:pPr>
      <w:ind w:left="720"/>
    </w:pPr>
  </w:style>
  <w:style w:type="paragraph" w:customStyle="1" w:styleId="Normal0">
    <w:name w:val="[Normal]"/>
    <w:rsid w:val="00D90FA8"/>
    <w:pPr>
      <w:widowControl w:val="0"/>
      <w:autoSpaceDE w:val="0"/>
      <w:autoSpaceDN w:val="0"/>
      <w:adjustRightInd w:val="0"/>
    </w:pPr>
    <w:rPr>
      <w:rFonts w:ascii="Arial" w:eastAsia="Calibri" w:hAnsi="Arial" w:cs="Arial"/>
      <w:sz w:val="24"/>
      <w:szCs w:val="24"/>
      <w:lang w:val="en-GB"/>
    </w:rPr>
  </w:style>
  <w:style w:type="paragraph" w:styleId="NoSpacing">
    <w:name w:val="No Spacing"/>
    <w:uiPriority w:val="1"/>
    <w:qFormat/>
    <w:rsid w:val="00DA4103"/>
    <w:rPr>
      <w:sz w:val="24"/>
      <w:szCs w:val="24"/>
      <w:lang w:val="en-GB" w:eastAsia="en-GB"/>
    </w:rPr>
  </w:style>
  <w:style w:type="character" w:customStyle="1" w:styleId="UnresolvedMention1">
    <w:name w:val="Unresolved Mention1"/>
    <w:uiPriority w:val="99"/>
    <w:semiHidden/>
    <w:unhideWhenUsed/>
    <w:rsid w:val="004B49D1"/>
    <w:rPr>
      <w:color w:val="605E5C"/>
      <w:shd w:val="clear" w:color="auto" w:fill="E1DFDD"/>
    </w:rPr>
  </w:style>
  <w:style w:type="paragraph" w:styleId="Header">
    <w:name w:val="header"/>
    <w:basedOn w:val="Normal"/>
    <w:link w:val="HeaderChar"/>
    <w:rsid w:val="0007151A"/>
    <w:pPr>
      <w:tabs>
        <w:tab w:val="center" w:pos="4680"/>
        <w:tab w:val="right" w:pos="9360"/>
      </w:tabs>
    </w:pPr>
  </w:style>
  <w:style w:type="character" w:customStyle="1" w:styleId="HeaderChar">
    <w:name w:val="Header Char"/>
    <w:basedOn w:val="DefaultParagraphFont"/>
    <w:link w:val="Header"/>
    <w:rsid w:val="0007151A"/>
    <w:rPr>
      <w:sz w:val="24"/>
      <w:szCs w:val="24"/>
      <w:lang w:val="en-GB" w:eastAsia="en-GB"/>
    </w:rPr>
  </w:style>
  <w:style w:type="paragraph" w:styleId="Footer">
    <w:name w:val="footer"/>
    <w:basedOn w:val="Normal"/>
    <w:link w:val="FooterChar"/>
    <w:uiPriority w:val="99"/>
    <w:rsid w:val="0007151A"/>
    <w:pPr>
      <w:tabs>
        <w:tab w:val="center" w:pos="4680"/>
        <w:tab w:val="right" w:pos="9360"/>
      </w:tabs>
    </w:pPr>
  </w:style>
  <w:style w:type="character" w:customStyle="1" w:styleId="FooterChar">
    <w:name w:val="Footer Char"/>
    <w:basedOn w:val="DefaultParagraphFont"/>
    <w:link w:val="Footer"/>
    <w:uiPriority w:val="99"/>
    <w:rsid w:val="0007151A"/>
    <w:rPr>
      <w:sz w:val="24"/>
      <w:szCs w:val="24"/>
      <w:lang w:val="en-GB" w:eastAsia="en-GB"/>
    </w:rPr>
  </w:style>
  <w:style w:type="character" w:customStyle="1" w:styleId="UnresolvedMention2">
    <w:name w:val="Unresolved Mention2"/>
    <w:basedOn w:val="DefaultParagraphFont"/>
    <w:uiPriority w:val="99"/>
    <w:semiHidden/>
    <w:unhideWhenUsed/>
    <w:rsid w:val="00922B38"/>
    <w:rPr>
      <w:color w:val="605E5C"/>
      <w:shd w:val="clear" w:color="auto" w:fill="E1DFDD"/>
    </w:rPr>
  </w:style>
  <w:style w:type="paragraph" w:styleId="PlainText">
    <w:name w:val="Plain Text"/>
    <w:basedOn w:val="Normal"/>
    <w:link w:val="PlainTextChar"/>
    <w:uiPriority w:val="99"/>
    <w:unhideWhenUsed/>
    <w:rsid w:val="00091CC2"/>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91CC2"/>
    <w:rPr>
      <w:rFonts w:ascii="Calibri" w:eastAsia="Calibr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8007">
      <w:bodyDiv w:val="1"/>
      <w:marLeft w:val="0"/>
      <w:marRight w:val="0"/>
      <w:marTop w:val="0"/>
      <w:marBottom w:val="0"/>
      <w:divBdr>
        <w:top w:val="none" w:sz="0" w:space="0" w:color="auto"/>
        <w:left w:val="none" w:sz="0" w:space="0" w:color="auto"/>
        <w:bottom w:val="none" w:sz="0" w:space="0" w:color="auto"/>
        <w:right w:val="none" w:sz="0" w:space="0" w:color="auto"/>
      </w:divBdr>
    </w:div>
    <w:div w:id="139468406">
      <w:bodyDiv w:val="1"/>
      <w:marLeft w:val="0"/>
      <w:marRight w:val="0"/>
      <w:marTop w:val="0"/>
      <w:marBottom w:val="0"/>
      <w:divBdr>
        <w:top w:val="none" w:sz="0" w:space="0" w:color="auto"/>
        <w:left w:val="none" w:sz="0" w:space="0" w:color="auto"/>
        <w:bottom w:val="none" w:sz="0" w:space="0" w:color="auto"/>
        <w:right w:val="none" w:sz="0" w:space="0" w:color="auto"/>
      </w:divBdr>
    </w:div>
    <w:div w:id="186916616">
      <w:bodyDiv w:val="1"/>
      <w:marLeft w:val="0"/>
      <w:marRight w:val="0"/>
      <w:marTop w:val="0"/>
      <w:marBottom w:val="0"/>
      <w:divBdr>
        <w:top w:val="none" w:sz="0" w:space="0" w:color="auto"/>
        <w:left w:val="none" w:sz="0" w:space="0" w:color="auto"/>
        <w:bottom w:val="none" w:sz="0" w:space="0" w:color="auto"/>
        <w:right w:val="none" w:sz="0" w:space="0" w:color="auto"/>
      </w:divBdr>
      <w:divsChild>
        <w:div w:id="1229729368">
          <w:marLeft w:val="0"/>
          <w:marRight w:val="0"/>
          <w:marTop w:val="0"/>
          <w:marBottom w:val="0"/>
          <w:divBdr>
            <w:top w:val="none" w:sz="0" w:space="0" w:color="auto"/>
            <w:left w:val="none" w:sz="0" w:space="0" w:color="auto"/>
            <w:bottom w:val="none" w:sz="0" w:space="0" w:color="auto"/>
            <w:right w:val="none" w:sz="0" w:space="0" w:color="auto"/>
          </w:divBdr>
          <w:divsChild>
            <w:div w:id="47725360">
              <w:marLeft w:val="0"/>
              <w:marRight w:val="0"/>
              <w:marTop w:val="0"/>
              <w:marBottom w:val="0"/>
              <w:divBdr>
                <w:top w:val="none" w:sz="0" w:space="0" w:color="auto"/>
                <w:left w:val="none" w:sz="0" w:space="0" w:color="auto"/>
                <w:bottom w:val="none" w:sz="0" w:space="0" w:color="auto"/>
                <w:right w:val="none" w:sz="0" w:space="0" w:color="auto"/>
              </w:divBdr>
              <w:divsChild>
                <w:div w:id="2015259999">
                  <w:marLeft w:val="0"/>
                  <w:marRight w:val="0"/>
                  <w:marTop w:val="0"/>
                  <w:marBottom w:val="0"/>
                  <w:divBdr>
                    <w:top w:val="none" w:sz="0" w:space="0" w:color="auto"/>
                    <w:left w:val="none" w:sz="0" w:space="0" w:color="auto"/>
                    <w:bottom w:val="none" w:sz="0" w:space="0" w:color="auto"/>
                    <w:right w:val="none" w:sz="0" w:space="0" w:color="auto"/>
                  </w:divBdr>
                  <w:divsChild>
                    <w:div w:id="1023552131">
                      <w:marLeft w:val="0"/>
                      <w:marRight w:val="0"/>
                      <w:marTop w:val="0"/>
                      <w:marBottom w:val="0"/>
                      <w:divBdr>
                        <w:top w:val="none" w:sz="0" w:space="0" w:color="auto"/>
                        <w:left w:val="none" w:sz="0" w:space="0" w:color="auto"/>
                        <w:bottom w:val="none" w:sz="0" w:space="0" w:color="auto"/>
                        <w:right w:val="none" w:sz="0" w:space="0" w:color="auto"/>
                      </w:divBdr>
                      <w:divsChild>
                        <w:div w:id="420182306">
                          <w:marLeft w:val="0"/>
                          <w:marRight w:val="0"/>
                          <w:marTop w:val="0"/>
                          <w:marBottom w:val="0"/>
                          <w:divBdr>
                            <w:top w:val="none" w:sz="0" w:space="0" w:color="auto"/>
                            <w:left w:val="none" w:sz="0" w:space="0" w:color="auto"/>
                            <w:bottom w:val="none" w:sz="0" w:space="0" w:color="auto"/>
                            <w:right w:val="none" w:sz="0" w:space="0" w:color="auto"/>
                          </w:divBdr>
                          <w:divsChild>
                            <w:div w:id="958800759">
                              <w:marLeft w:val="0"/>
                              <w:marRight w:val="0"/>
                              <w:marTop w:val="0"/>
                              <w:marBottom w:val="0"/>
                              <w:divBdr>
                                <w:top w:val="none" w:sz="0" w:space="0" w:color="auto"/>
                                <w:left w:val="none" w:sz="0" w:space="0" w:color="auto"/>
                                <w:bottom w:val="none" w:sz="0" w:space="0" w:color="auto"/>
                                <w:right w:val="none" w:sz="0" w:space="0" w:color="auto"/>
                              </w:divBdr>
                              <w:divsChild>
                                <w:div w:id="300816440">
                                  <w:marLeft w:val="0"/>
                                  <w:marRight w:val="0"/>
                                  <w:marTop w:val="0"/>
                                  <w:marBottom w:val="0"/>
                                  <w:divBdr>
                                    <w:top w:val="none" w:sz="0" w:space="0" w:color="auto"/>
                                    <w:left w:val="none" w:sz="0" w:space="0" w:color="auto"/>
                                    <w:bottom w:val="none" w:sz="0" w:space="0" w:color="auto"/>
                                    <w:right w:val="none" w:sz="0" w:space="0" w:color="auto"/>
                                  </w:divBdr>
                                  <w:divsChild>
                                    <w:div w:id="80303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91099">
      <w:bodyDiv w:val="1"/>
      <w:marLeft w:val="0"/>
      <w:marRight w:val="0"/>
      <w:marTop w:val="0"/>
      <w:marBottom w:val="0"/>
      <w:divBdr>
        <w:top w:val="none" w:sz="0" w:space="0" w:color="auto"/>
        <w:left w:val="none" w:sz="0" w:space="0" w:color="auto"/>
        <w:bottom w:val="none" w:sz="0" w:space="0" w:color="auto"/>
        <w:right w:val="none" w:sz="0" w:space="0" w:color="auto"/>
      </w:divBdr>
      <w:divsChild>
        <w:div w:id="947198031">
          <w:marLeft w:val="0"/>
          <w:marRight w:val="0"/>
          <w:marTop w:val="0"/>
          <w:marBottom w:val="0"/>
          <w:divBdr>
            <w:top w:val="none" w:sz="0" w:space="0" w:color="auto"/>
            <w:left w:val="none" w:sz="0" w:space="0" w:color="auto"/>
            <w:bottom w:val="none" w:sz="0" w:space="0" w:color="auto"/>
            <w:right w:val="none" w:sz="0" w:space="0" w:color="auto"/>
          </w:divBdr>
          <w:divsChild>
            <w:div w:id="1288194331">
              <w:marLeft w:val="0"/>
              <w:marRight w:val="0"/>
              <w:marTop w:val="0"/>
              <w:marBottom w:val="0"/>
              <w:divBdr>
                <w:top w:val="none" w:sz="0" w:space="0" w:color="auto"/>
                <w:left w:val="none" w:sz="0" w:space="0" w:color="auto"/>
                <w:bottom w:val="none" w:sz="0" w:space="0" w:color="auto"/>
                <w:right w:val="none" w:sz="0" w:space="0" w:color="auto"/>
              </w:divBdr>
              <w:divsChild>
                <w:div w:id="1860778033">
                  <w:marLeft w:val="0"/>
                  <w:marRight w:val="0"/>
                  <w:marTop w:val="150"/>
                  <w:marBottom w:val="0"/>
                  <w:divBdr>
                    <w:top w:val="none" w:sz="0" w:space="0" w:color="auto"/>
                    <w:left w:val="none" w:sz="0" w:space="0" w:color="auto"/>
                    <w:bottom w:val="none" w:sz="0" w:space="0" w:color="auto"/>
                    <w:right w:val="none" w:sz="0" w:space="0" w:color="auto"/>
                  </w:divBdr>
                  <w:divsChild>
                    <w:div w:id="1211960737">
                      <w:marLeft w:val="0"/>
                      <w:marRight w:val="0"/>
                      <w:marTop w:val="0"/>
                      <w:marBottom w:val="0"/>
                      <w:divBdr>
                        <w:top w:val="none" w:sz="0" w:space="0" w:color="auto"/>
                        <w:left w:val="none" w:sz="0" w:space="0" w:color="auto"/>
                        <w:bottom w:val="none" w:sz="0" w:space="0" w:color="auto"/>
                        <w:right w:val="none" w:sz="0" w:space="0" w:color="auto"/>
                      </w:divBdr>
                      <w:divsChild>
                        <w:div w:id="1673944266">
                          <w:marLeft w:val="0"/>
                          <w:marRight w:val="0"/>
                          <w:marTop w:val="0"/>
                          <w:marBottom w:val="0"/>
                          <w:divBdr>
                            <w:top w:val="none" w:sz="0" w:space="0" w:color="auto"/>
                            <w:left w:val="none" w:sz="0" w:space="0" w:color="auto"/>
                            <w:bottom w:val="none" w:sz="0" w:space="0" w:color="auto"/>
                            <w:right w:val="none" w:sz="0" w:space="0" w:color="auto"/>
                          </w:divBdr>
                          <w:divsChild>
                            <w:div w:id="431972545">
                              <w:marLeft w:val="0"/>
                              <w:marRight w:val="0"/>
                              <w:marTop w:val="0"/>
                              <w:marBottom w:val="0"/>
                              <w:divBdr>
                                <w:top w:val="none" w:sz="0" w:space="0" w:color="auto"/>
                                <w:left w:val="none" w:sz="0" w:space="0" w:color="auto"/>
                                <w:bottom w:val="none" w:sz="0" w:space="0" w:color="auto"/>
                                <w:right w:val="none" w:sz="0" w:space="0" w:color="auto"/>
                              </w:divBdr>
                              <w:divsChild>
                                <w:div w:id="1471094900">
                                  <w:marLeft w:val="0"/>
                                  <w:marRight w:val="0"/>
                                  <w:marTop w:val="0"/>
                                  <w:marBottom w:val="0"/>
                                  <w:divBdr>
                                    <w:top w:val="none" w:sz="0" w:space="0" w:color="auto"/>
                                    <w:left w:val="none" w:sz="0" w:space="0" w:color="auto"/>
                                    <w:bottom w:val="none" w:sz="0" w:space="0" w:color="auto"/>
                                    <w:right w:val="none" w:sz="0" w:space="0" w:color="auto"/>
                                  </w:divBdr>
                                  <w:divsChild>
                                    <w:div w:id="1495225305">
                                      <w:marLeft w:val="0"/>
                                      <w:marRight w:val="0"/>
                                      <w:marTop w:val="0"/>
                                      <w:marBottom w:val="0"/>
                                      <w:divBdr>
                                        <w:top w:val="single" w:sz="36" w:space="0" w:color="AEC782"/>
                                        <w:left w:val="none" w:sz="0" w:space="0" w:color="auto"/>
                                        <w:bottom w:val="none" w:sz="0" w:space="0" w:color="auto"/>
                                        <w:right w:val="none" w:sz="0" w:space="0" w:color="auto"/>
                                      </w:divBdr>
                                      <w:divsChild>
                                        <w:div w:id="68045338">
                                          <w:marLeft w:val="0"/>
                                          <w:marRight w:val="0"/>
                                          <w:marTop w:val="0"/>
                                          <w:marBottom w:val="0"/>
                                          <w:divBdr>
                                            <w:top w:val="none" w:sz="0" w:space="0" w:color="auto"/>
                                            <w:left w:val="none" w:sz="0" w:space="0" w:color="auto"/>
                                            <w:bottom w:val="none" w:sz="0" w:space="0" w:color="auto"/>
                                            <w:right w:val="none" w:sz="0" w:space="0" w:color="auto"/>
                                          </w:divBdr>
                                          <w:divsChild>
                                            <w:div w:id="12783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851598">
      <w:bodyDiv w:val="1"/>
      <w:marLeft w:val="0"/>
      <w:marRight w:val="0"/>
      <w:marTop w:val="0"/>
      <w:marBottom w:val="0"/>
      <w:divBdr>
        <w:top w:val="none" w:sz="0" w:space="0" w:color="auto"/>
        <w:left w:val="none" w:sz="0" w:space="0" w:color="auto"/>
        <w:bottom w:val="none" w:sz="0" w:space="0" w:color="auto"/>
        <w:right w:val="none" w:sz="0" w:space="0" w:color="auto"/>
      </w:divBdr>
      <w:divsChild>
        <w:div w:id="1229996100">
          <w:marLeft w:val="0"/>
          <w:marRight w:val="0"/>
          <w:marTop w:val="0"/>
          <w:marBottom w:val="0"/>
          <w:divBdr>
            <w:top w:val="none" w:sz="0" w:space="0" w:color="auto"/>
            <w:left w:val="none" w:sz="0" w:space="0" w:color="auto"/>
            <w:bottom w:val="none" w:sz="0" w:space="0" w:color="auto"/>
            <w:right w:val="none" w:sz="0" w:space="0" w:color="auto"/>
          </w:divBdr>
          <w:divsChild>
            <w:div w:id="299112949">
              <w:marLeft w:val="0"/>
              <w:marRight w:val="0"/>
              <w:marTop w:val="0"/>
              <w:marBottom w:val="0"/>
              <w:divBdr>
                <w:top w:val="none" w:sz="0" w:space="0" w:color="auto"/>
                <w:left w:val="none" w:sz="0" w:space="0" w:color="auto"/>
                <w:bottom w:val="none" w:sz="0" w:space="0" w:color="auto"/>
                <w:right w:val="none" w:sz="0" w:space="0" w:color="auto"/>
              </w:divBdr>
              <w:divsChild>
                <w:div w:id="433329848">
                  <w:marLeft w:val="0"/>
                  <w:marRight w:val="0"/>
                  <w:marTop w:val="150"/>
                  <w:marBottom w:val="0"/>
                  <w:divBdr>
                    <w:top w:val="none" w:sz="0" w:space="0" w:color="auto"/>
                    <w:left w:val="none" w:sz="0" w:space="0" w:color="auto"/>
                    <w:bottom w:val="none" w:sz="0" w:space="0" w:color="auto"/>
                    <w:right w:val="none" w:sz="0" w:space="0" w:color="auto"/>
                  </w:divBdr>
                  <w:divsChild>
                    <w:div w:id="35011862">
                      <w:marLeft w:val="0"/>
                      <w:marRight w:val="0"/>
                      <w:marTop w:val="0"/>
                      <w:marBottom w:val="0"/>
                      <w:divBdr>
                        <w:top w:val="none" w:sz="0" w:space="0" w:color="auto"/>
                        <w:left w:val="none" w:sz="0" w:space="0" w:color="auto"/>
                        <w:bottom w:val="none" w:sz="0" w:space="0" w:color="auto"/>
                        <w:right w:val="none" w:sz="0" w:space="0" w:color="auto"/>
                      </w:divBdr>
                      <w:divsChild>
                        <w:div w:id="1842621420">
                          <w:marLeft w:val="0"/>
                          <w:marRight w:val="0"/>
                          <w:marTop w:val="0"/>
                          <w:marBottom w:val="0"/>
                          <w:divBdr>
                            <w:top w:val="none" w:sz="0" w:space="0" w:color="auto"/>
                            <w:left w:val="none" w:sz="0" w:space="0" w:color="auto"/>
                            <w:bottom w:val="none" w:sz="0" w:space="0" w:color="auto"/>
                            <w:right w:val="none" w:sz="0" w:space="0" w:color="auto"/>
                          </w:divBdr>
                          <w:divsChild>
                            <w:div w:id="2089766006">
                              <w:marLeft w:val="0"/>
                              <w:marRight w:val="0"/>
                              <w:marTop w:val="0"/>
                              <w:marBottom w:val="0"/>
                              <w:divBdr>
                                <w:top w:val="none" w:sz="0" w:space="0" w:color="auto"/>
                                <w:left w:val="none" w:sz="0" w:space="0" w:color="auto"/>
                                <w:bottom w:val="none" w:sz="0" w:space="0" w:color="auto"/>
                                <w:right w:val="none" w:sz="0" w:space="0" w:color="auto"/>
                              </w:divBdr>
                              <w:divsChild>
                                <w:div w:id="1003124274">
                                  <w:marLeft w:val="0"/>
                                  <w:marRight w:val="0"/>
                                  <w:marTop w:val="0"/>
                                  <w:marBottom w:val="0"/>
                                  <w:divBdr>
                                    <w:top w:val="none" w:sz="0" w:space="0" w:color="auto"/>
                                    <w:left w:val="none" w:sz="0" w:space="0" w:color="auto"/>
                                    <w:bottom w:val="none" w:sz="0" w:space="0" w:color="auto"/>
                                    <w:right w:val="none" w:sz="0" w:space="0" w:color="auto"/>
                                  </w:divBdr>
                                  <w:divsChild>
                                    <w:div w:id="36904083">
                                      <w:marLeft w:val="0"/>
                                      <w:marRight w:val="0"/>
                                      <w:marTop w:val="0"/>
                                      <w:marBottom w:val="0"/>
                                      <w:divBdr>
                                        <w:top w:val="single" w:sz="36" w:space="0" w:color="AEC782"/>
                                        <w:left w:val="none" w:sz="0" w:space="0" w:color="auto"/>
                                        <w:bottom w:val="none" w:sz="0" w:space="0" w:color="auto"/>
                                        <w:right w:val="none" w:sz="0" w:space="0" w:color="auto"/>
                                      </w:divBdr>
                                      <w:divsChild>
                                        <w:div w:id="912591496">
                                          <w:marLeft w:val="0"/>
                                          <w:marRight w:val="0"/>
                                          <w:marTop w:val="0"/>
                                          <w:marBottom w:val="0"/>
                                          <w:divBdr>
                                            <w:top w:val="none" w:sz="0" w:space="0" w:color="auto"/>
                                            <w:left w:val="none" w:sz="0" w:space="0" w:color="auto"/>
                                            <w:bottom w:val="none" w:sz="0" w:space="0" w:color="auto"/>
                                            <w:right w:val="none" w:sz="0" w:space="0" w:color="auto"/>
                                          </w:divBdr>
                                          <w:divsChild>
                                            <w:div w:id="6058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880169">
      <w:bodyDiv w:val="1"/>
      <w:marLeft w:val="0"/>
      <w:marRight w:val="0"/>
      <w:marTop w:val="0"/>
      <w:marBottom w:val="0"/>
      <w:divBdr>
        <w:top w:val="none" w:sz="0" w:space="0" w:color="auto"/>
        <w:left w:val="none" w:sz="0" w:space="0" w:color="auto"/>
        <w:bottom w:val="none" w:sz="0" w:space="0" w:color="auto"/>
        <w:right w:val="none" w:sz="0" w:space="0" w:color="auto"/>
      </w:divBdr>
      <w:divsChild>
        <w:div w:id="111943989">
          <w:marLeft w:val="0"/>
          <w:marRight w:val="0"/>
          <w:marTop w:val="0"/>
          <w:marBottom w:val="0"/>
          <w:divBdr>
            <w:top w:val="none" w:sz="0" w:space="0" w:color="auto"/>
            <w:left w:val="none" w:sz="0" w:space="0" w:color="auto"/>
            <w:bottom w:val="none" w:sz="0" w:space="0" w:color="auto"/>
            <w:right w:val="none" w:sz="0" w:space="0" w:color="auto"/>
          </w:divBdr>
          <w:divsChild>
            <w:div w:id="1399550500">
              <w:marLeft w:val="0"/>
              <w:marRight w:val="0"/>
              <w:marTop w:val="0"/>
              <w:marBottom w:val="0"/>
              <w:divBdr>
                <w:top w:val="none" w:sz="0" w:space="0" w:color="auto"/>
                <w:left w:val="none" w:sz="0" w:space="0" w:color="auto"/>
                <w:bottom w:val="none" w:sz="0" w:space="0" w:color="auto"/>
                <w:right w:val="none" w:sz="0" w:space="0" w:color="auto"/>
              </w:divBdr>
              <w:divsChild>
                <w:div w:id="1885091636">
                  <w:marLeft w:val="0"/>
                  <w:marRight w:val="0"/>
                  <w:marTop w:val="0"/>
                  <w:marBottom w:val="0"/>
                  <w:divBdr>
                    <w:top w:val="none" w:sz="0" w:space="0" w:color="auto"/>
                    <w:left w:val="none" w:sz="0" w:space="0" w:color="auto"/>
                    <w:bottom w:val="none" w:sz="0" w:space="0" w:color="auto"/>
                    <w:right w:val="none" w:sz="0" w:space="0" w:color="auto"/>
                  </w:divBdr>
                  <w:divsChild>
                    <w:div w:id="1919441852">
                      <w:marLeft w:val="0"/>
                      <w:marRight w:val="0"/>
                      <w:marTop w:val="0"/>
                      <w:marBottom w:val="0"/>
                      <w:divBdr>
                        <w:top w:val="none" w:sz="0" w:space="0" w:color="auto"/>
                        <w:left w:val="none" w:sz="0" w:space="0" w:color="auto"/>
                        <w:bottom w:val="none" w:sz="0" w:space="0" w:color="auto"/>
                        <w:right w:val="none" w:sz="0" w:space="0" w:color="auto"/>
                      </w:divBdr>
                      <w:divsChild>
                        <w:div w:id="625893672">
                          <w:marLeft w:val="0"/>
                          <w:marRight w:val="0"/>
                          <w:marTop w:val="0"/>
                          <w:marBottom w:val="0"/>
                          <w:divBdr>
                            <w:top w:val="none" w:sz="0" w:space="0" w:color="auto"/>
                            <w:left w:val="none" w:sz="0" w:space="0" w:color="auto"/>
                            <w:bottom w:val="none" w:sz="0" w:space="0" w:color="auto"/>
                            <w:right w:val="none" w:sz="0" w:space="0" w:color="auto"/>
                          </w:divBdr>
                          <w:divsChild>
                            <w:div w:id="1980649075">
                              <w:marLeft w:val="0"/>
                              <w:marRight w:val="0"/>
                              <w:marTop w:val="0"/>
                              <w:marBottom w:val="0"/>
                              <w:divBdr>
                                <w:top w:val="none" w:sz="0" w:space="0" w:color="auto"/>
                                <w:left w:val="none" w:sz="0" w:space="0" w:color="auto"/>
                                <w:bottom w:val="none" w:sz="0" w:space="0" w:color="auto"/>
                                <w:right w:val="none" w:sz="0" w:space="0" w:color="auto"/>
                              </w:divBdr>
                              <w:divsChild>
                                <w:div w:id="10633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612033">
      <w:bodyDiv w:val="1"/>
      <w:marLeft w:val="0"/>
      <w:marRight w:val="0"/>
      <w:marTop w:val="0"/>
      <w:marBottom w:val="0"/>
      <w:divBdr>
        <w:top w:val="none" w:sz="0" w:space="0" w:color="auto"/>
        <w:left w:val="none" w:sz="0" w:space="0" w:color="auto"/>
        <w:bottom w:val="none" w:sz="0" w:space="0" w:color="auto"/>
        <w:right w:val="none" w:sz="0" w:space="0" w:color="auto"/>
      </w:divBdr>
      <w:divsChild>
        <w:div w:id="1180390880">
          <w:marLeft w:val="0"/>
          <w:marRight w:val="0"/>
          <w:marTop w:val="0"/>
          <w:marBottom w:val="0"/>
          <w:divBdr>
            <w:top w:val="none" w:sz="0" w:space="0" w:color="auto"/>
            <w:left w:val="none" w:sz="0" w:space="0" w:color="auto"/>
            <w:bottom w:val="none" w:sz="0" w:space="0" w:color="auto"/>
            <w:right w:val="none" w:sz="0" w:space="0" w:color="auto"/>
          </w:divBdr>
          <w:divsChild>
            <w:div w:id="832722622">
              <w:marLeft w:val="0"/>
              <w:marRight w:val="0"/>
              <w:marTop w:val="0"/>
              <w:marBottom w:val="0"/>
              <w:divBdr>
                <w:top w:val="none" w:sz="0" w:space="0" w:color="auto"/>
                <w:left w:val="none" w:sz="0" w:space="0" w:color="auto"/>
                <w:bottom w:val="none" w:sz="0" w:space="0" w:color="auto"/>
                <w:right w:val="none" w:sz="0" w:space="0" w:color="auto"/>
              </w:divBdr>
              <w:divsChild>
                <w:div w:id="1172179907">
                  <w:marLeft w:val="0"/>
                  <w:marRight w:val="0"/>
                  <w:marTop w:val="0"/>
                  <w:marBottom w:val="0"/>
                  <w:divBdr>
                    <w:top w:val="none" w:sz="0" w:space="0" w:color="auto"/>
                    <w:left w:val="none" w:sz="0" w:space="0" w:color="auto"/>
                    <w:bottom w:val="none" w:sz="0" w:space="0" w:color="auto"/>
                    <w:right w:val="none" w:sz="0" w:space="0" w:color="auto"/>
                  </w:divBdr>
                  <w:divsChild>
                    <w:div w:id="1900897516">
                      <w:marLeft w:val="0"/>
                      <w:marRight w:val="0"/>
                      <w:marTop w:val="0"/>
                      <w:marBottom w:val="0"/>
                      <w:divBdr>
                        <w:top w:val="none" w:sz="0" w:space="0" w:color="auto"/>
                        <w:left w:val="none" w:sz="0" w:space="0" w:color="auto"/>
                        <w:bottom w:val="none" w:sz="0" w:space="0" w:color="auto"/>
                        <w:right w:val="none" w:sz="0" w:space="0" w:color="auto"/>
                      </w:divBdr>
                      <w:divsChild>
                        <w:div w:id="786117168">
                          <w:marLeft w:val="0"/>
                          <w:marRight w:val="0"/>
                          <w:marTop w:val="0"/>
                          <w:marBottom w:val="0"/>
                          <w:divBdr>
                            <w:top w:val="none" w:sz="0" w:space="0" w:color="auto"/>
                            <w:left w:val="none" w:sz="0" w:space="0" w:color="auto"/>
                            <w:bottom w:val="none" w:sz="0" w:space="0" w:color="auto"/>
                            <w:right w:val="none" w:sz="0" w:space="0" w:color="auto"/>
                          </w:divBdr>
                          <w:divsChild>
                            <w:div w:id="263920660">
                              <w:marLeft w:val="0"/>
                              <w:marRight w:val="0"/>
                              <w:marTop w:val="0"/>
                              <w:marBottom w:val="0"/>
                              <w:divBdr>
                                <w:top w:val="none" w:sz="0" w:space="0" w:color="auto"/>
                                <w:left w:val="none" w:sz="0" w:space="0" w:color="auto"/>
                                <w:bottom w:val="none" w:sz="0" w:space="0" w:color="auto"/>
                                <w:right w:val="none" w:sz="0" w:space="0" w:color="auto"/>
                              </w:divBdr>
                              <w:divsChild>
                                <w:div w:id="1773017027">
                                  <w:marLeft w:val="0"/>
                                  <w:marRight w:val="0"/>
                                  <w:marTop w:val="0"/>
                                  <w:marBottom w:val="0"/>
                                  <w:divBdr>
                                    <w:top w:val="none" w:sz="0" w:space="0" w:color="auto"/>
                                    <w:left w:val="none" w:sz="0" w:space="0" w:color="auto"/>
                                    <w:bottom w:val="none" w:sz="0" w:space="0" w:color="auto"/>
                                    <w:right w:val="none" w:sz="0" w:space="0" w:color="auto"/>
                                  </w:divBdr>
                                  <w:divsChild>
                                    <w:div w:id="857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406989">
      <w:bodyDiv w:val="1"/>
      <w:marLeft w:val="0"/>
      <w:marRight w:val="0"/>
      <w:marTop w:val="0"/>
      <w:marBottom w:val="0"/>
      <w:divBdr>
        <w:top w:val="none" w:sz="0" w:space="0" w:color="auto"/>
        <w:left w:val="none" w:sz="0" w:space="0" w:color="auto"/>
        <w:bottom w:val="none" w:sz="0" w:space="0" w:color="auto"/>
        <w:right w:val="none" w:sz="0" w:space="0" w:color="auto"/>
      </w:divBdr>
      <w:divsChild>
        <w:div w:id="723404599">
          <w:marLeft w:val="0"/>
          <w:marRight w:val="0"/>
          <w:marTop w:val="0"/>
          <w:marBottom w:val="0"/>
          <w:divBdr>
            <w:top w:val="none" w:sz="0" w:space="0" w:color="auto"/>
            <w:left w:val="none" w:sz="0" w:space="0" w:color="auto"/>
            <w:bottom w:val="none" w:sz="0" w:space="0" w:color="auto"/>
            <w:right w:val="none" w:sz="0" w:space="0" w:color="auto"/>
          </w:divBdr>
          <w:divsChild>
            <w:div w:id="319702382">
              <w:marLeft w:val="0"/>
              <w:marRight w:val="0"/>
              <w:marTop w:val="0"/>
              <w:marBottom w:val="0"/>
              <w:divBdr>
                <w:top w:val="none" w:sz="0" w:space="0" w:color="auto"/>
                <w:left w:val="none" w:sz="0" w:space="0" w:color="auto"/>
                <w:bottom w:val="none" w:sz="0" w:space="0" w:color="auto"/>
                <w:right w:val="none" w:sz="0" w:space="0" w:color="auto"/>
              </w:divBdr>
              <w:divsChild>
                <w:div w:id="866942859">
                  <w:marLeft w:val="0"/>
                  <w:marRight w:val="0"/>
                  <w:marTop w:val="150"/>
                  <w:marBottom w:val="0"/>
                  <w:divBdr>
                    <w:top w:val="none" w:sz="0" w:space="0" w:color="auto"/>
                    <w:left w:val="none" w:sz="0" w:space="0" w:color="auto"/>
                    <w:bottom w:val="none" w:sz="0" w:space="0" w:color="auto"/>
                    <w:right w:val="none" w:sz="0" w:space="0" w:color="auto"/>
                  </w:divBdr>
                  <w:divsChild>
                    <w:div w:id="1035542705">
                      <w:marLeft w:val="0"/>
                      <w:marRight w:val="0"/>
                      <w:marTop w:val="0"/>
                      <w:marBottom w:val="0"/>
                      <w:divBdr>
                        <w:top w:val="none" w:sz="0" w:space="0" w:color="auto"/>
                        <w:left w:val="none" w:sz="0" w:space="0" w:color="auto"/>
                        <w:bottom w:val="none" w:sz="0" w:space="0" w:color="auto"/>
                        <w:right w:val="none" w:sz="0" w:space="0" w:color="auto"/>
                      </w:divBdr>
                      <w:divsChild>
                        <w:div w:id="1019820424">
                          <w:marLeft w:val="0"/>
                          <w:marRight w:val="0"/>
                          <w:marTop w:val="0"/>
                          <w:marBottom w:val="0"/>
                          <w:divBdr>
                            <w:top w:val="none" w:sz="0" w:space="0" w:color="auto"/>
                            <w:left w:val="none" w:sz="0" w:space="0" w:color="auto"/>
                            <w:bottom w:val="none" w:sz="0" w:space="0" w:color="auto"/>
                            <w:right w:val="none" w:sz="0" w:space="0" w:color="auto"/>
                          </w:divBdr>
                          <w:divsChild>
                            <w:div w:id="1758091482">
                              <w:marLeft w:val="0"/>
                              <w:marRight w:val="0"/>
                              <w:marTop w:val="0"/>
                              <w:marBottom w:val="0"/>
                              <w:divBdr>
                                <w:top w:val="none" w:sz="0" w:space="0" w:color="auto"/>
                                <w:left w:val="none" w:sz="0" w:space="0" w:color="auto"/>
                                <w:bottom w:val="none" w:sz="0" w:space="0" w:color="auto"/>
                                <w:right w:val="none" w:sz="0" w:space="0" w:color="auto"/>
                              </w:divBdr>
                              <w:divsChild>
                                <w:div w:id="1905022691">
                                  <w:marLeft w:val="0"/>
                                  <w:marRight w:val="0"/>
                                  <w:marTop w:val="0"/>
                                  <w:marBottom w:val="0"/>
                                  <w:divBdr>
                                    <w:top w:val="none" w:sz="0" w:space="0" w:color="auto"/>
                                    <w:left w:val="none" w:sz="0" w:space="0" w:color="auto"/>
                                    <w:bottom w:val="none" w:sz="0" w:space="0" w:color="auto"/>
                                    <w:right w:val="none" w:sz="0" w:space="0" w:color="auto"/>
                                  </w:divBdr>
                                  <w:divsChild>
                                    <w:div w:id="920986646">
                                      <w:marLeft w:val="0"/>
                                      <w:marRight w:val="0"/>
                                      <w:marTop w:val="0"/>
                                      <w:marBottom w:val="0"/>
                                      <w:divBdr>
                                        <w:top w:val="single" w:sz="36" w:space="0" w:color="AEC782"/>
                                        <w:left w:val="none" w:sz="0" w:space="0" w:color="auto"/>
                                        <w:bottom w:val="none" w:sz="0" w:space="0" w:color="auto"/>
                                        <w:right w:val="none" w:sz="0" w:space="0" w:color="auto"/>
                                      </w:divBdr>
                                      <w:divsChild>
                                        <w:div w:id="198670553">
                                          <w:marLeft w:val="0"/>
                                          <w:marRight w:val="0"/>
                                          <w:marTop w:val="0"/>
                                          <w:marBottom w:val="0"/>
                                          <w:divBdr>
                                            <w:top w:val="none" w:sz="0" w:space="0" w:color="auto"/>
                                            <w:left w:val="none" w:sz="0" w:space="0" w:color="auto"/>
                                            <w:bottom w:val="none" w:sz="0" w:space="0" w:color="auto"/>
                                            <w:right w:val="none" w:sz="0" w:space="0" w:color="auto"/>
                                          </w:divBdr>
                                          <w:divsChild>
                                            <w:div w:id="13967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733480">
      <w:bodyDiv w:val="1"/>
      <w:marLeft w:val="0"/>
      <w:marRight w:val="0"/>
      <w:marTop w:val="0"/>
      <w:marBottom w:val="0"/>
      <w:divBdr>
        <w:top w:val="none" w:sz="0" w:space="0" w:color="auto"/>
        <w:left w:val="none" w:sz="0" w:space="0" w:color="auto"/>
        <w:bottom w:val="none" w:sz="0" w:space="0" w:color="auto"/>
        <w:right w:val="none" w:sz="0" w:space="0" w:color="auto"/>
      </w:divBdr>
    </w:div>
    <w:div w:id="549153809">
      <w:bodyDiv w:val="1"/>
      <w:marLeft w:val="0"/>
      <w:marRight w:val="0"/>
      <w:marTop w:val="0"/>
      <w:marBottom w:val="0"/>
      <w:divBdr>
        <w:top w:val="none" w:sz="0" w:space="0" w:color="auto"/>
        <w:left w:val="none" w:sz="0" w:space="0" w:color="auto"/>
        <w:bottom w:val="none" w:sz="0" w:space="0" w:color="auto"/>
        <w:right w:val="none" w:sz="0" w:space="0" w:color="auto"/>
      </w:divBdr>
      <w:divsChild>
        <w:div w:id="1118908664">
          <w:marLeft w:val="0"/>
          <w:marRight w:val="0"/>
          <w:marTop w:val="0"/>
          <w:marBottom w:val="0"/>
          <w:divBdr>
            <w:top w:val="none" w:sz="0" w:space="0" w:color="auto"/>
            <w:left w:val="none" w:sz="0" w:space="0" w:color="auto"/>
            <w:bottom w:val="none" w:sz="0" w:space="0" w:color="auto"/>
            <w:right w:val="none" w:sz="0" w:space="0" w:color="auto"/>
          </w:divBdr>
          <w:divsChild>
            <w:div w:id="1128669702">
              <w:marLeft w:val="0"/>
              <w:marRight w:val="0"/>
              <w:marTop w:val="0"/>
              <w:marBottom w:val="0"/>
              <w:divBdr>
                <w:top w:val="none" w:sz="0" w:space="0" w:color="auto"/>
                <w:left w:val="none" w:sz="0" w:space="0" w:color="auto"/>
                <w:bottom w:val="none" w:sz="0" w:space="0" w:color="auto"/>
                <w:right w:val="none" w:sz="0" w:space="0" w:color="auto"/>
              </w:divBdr>
              <w:divsChild>
                <w:div w:id="1294680083">
                  <w:marLeft w:val="0"/>
                  <w:marRight w:val="0"/>
                  <w:marTop w:val="0"/>
                  <w:marBottom w:val="0"/>
                  <w:divBdr>
                    <w:top w:val="none" w:sz="0" w:space="0" w:color="auto"/>
                    <w:left w:val="none" w:sz="0" w:space="0" w:color="auto"/>
                    <w:bottom w:val="none" w:sz="0" w:space="0" w:color="auto"/>
                    <w:right w:val="none" w:sz="0" w:space="0" w:color="auto"/>
                  </w:divBdr>
                  <w:divsChild>
                    <w:div w:id="1328241389">
                      <w:marLeft w:val="0"/>
                      <w:marRight w:val="0"/>
                      <w:marTop w:val="0"/>
                      <w:marBottom w:val="0"/>
                      <w:divBdr>
                        <w:top w:val="none" w:sz="0" w:space="0" w:color="auto"/>
                        <w:left w:val="none" w:sz="0" w:space="0" w:color="auto"/>
                        <w:bottom w:val="none" w:sz="0" w:space="0" w:color="auto"/>
                        <w:right w:val="none" w:sz="0" w:space="0" w:color="auto"/>
                      </w:divBdr>
                      <w:divsChild>
                        <w:div w:id="858399385">
                          <w:marLeft w:val="0"/>
                          <w:marRight w:val="0"/>
                          <w:marTop w:val="0"/>
                          <w:marBottom w:val="0"/>
                          <w:divBdr>
                            <w:top w:val="none" w:sz="0" w:space="0" w:color="auto"/>
                            <w:left w:val="none" w:sz="0" w:space="0" w:color="auto"/>
                            <w:bottom w:val="none" w:sz="0" w:space="0" w:color="auto"/>
                            <w:right w:val="none" w:sz="0" w:space="0" w:color="auto"/>
                          </w:divBdr>
                          <w:divsChild>
                            <w:div w:id="1348798963">
                              <w:marLeft w:val="0"/>
                              <w:marRight w:val="0"/>
                              <w:marTop w:val="0"/>
                              <w:marBottom w:val="0"/>
                              <w:divBdr>
                                <w:top w:val="none" w:sz="0" w:space="0" w:color="auto"/>
                                <w:left w:val="none" w:sz="0" w:space="0" w:color="auto"/>
                                <w:bottom w:val="none" w:sz="0" w:space="0" w:color="auto"/>
                                <w:right w:val="none" w:sz="0" w:space="0" w:color="auto"/>
                              </w:divBdr>
                              <w:divsChild>
                                <w:div w:id="262423722">
                                  <w:marLeft w:val="0"/>
                                  <w:marRight w:val="0"/>
                                  <w:marTop w:val="0"/>
                                  <w:marBottom w:val="0"/>
                                  <w:divBdr>
                                    <w:top w:val="none" w:sz="0" w:space="0" w:color="auto"/>
                                    <w:left w:val="none" w:sz="0" w:space="0" w:color="auto"/>
                                    <w:bottom w:val="none" w:sz="0" w:space="0" w:color="auto"/>
                                    <w:right w:val="none" w:sz="0" w:space="0" w:color="auto"/>
                                  </w:divBdr>
                                  <w:divsChild>
                                    <w:div w:id="14762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347203">
      <w:bodyDiv w:val="1"/>
      <w:marLeft w:val="0"/>
      <w:marRight w:val="0"/>
      <w:marTop w:val="0"/>
      <w:marBottom w:val="0"/>
      <w:divBdr>
        <w:top w:val="none" w:sz="0" w:space="0" w:color="auto"/>
        <w:left w:val="none" w:sz="0" w:space="0" w:color="auto"/>
        <w:bottom w:val="none" w:sz="0" w:space="0" w:color="auto"/>
        <w:right w:val="none" w:sz="0" w:space="0" w:color="auto"/>
      </w:divBdr>
      <w:divsChild>
        <w:div w:id="2144348013">
          <w:marLeft w:val="0"/>
          <w:marRight w:val="0"/>
          <w:marTop w:val="0"/>
          <w:marBottom w:val="0"/>
          <w:divBdr>
            <w:top w:val="none" w:sz="0" w:space="0" w:color="auto"/>
            <w:left w:val="none" w:sz="0" w:space="0" w:color="auto"/>
            <w:bottom w:val="none" w:sz="0" w:space="0" w:color="auto"/>
            <w:right w:val="none" w:sz="0" w:space="0" w:color="auto"/>
          </w:divBdr>
          <w:divsChild>
            <w:div w:id="1414010471">
              <w:marLeft w:val="0"/>
              <w:marRight w:val="0"/>
              <w:marTop w:val="0"/>
              <w:marBottom w:val="0"/>
              <w:divBdr>
                <w:top w:val="none" w:sz="0" w:space="0" w:color="auto"/>
                <w:left w:val="none" w:sz="0" w:space="0" w:color="auto"/>
                <w:bottom w:val="none" w:sz="0" w:space="0" w:color="auto"/>
                <w:right w:val="none" w:sz="0" w:space="0" w:color="auto"/>
              </w:divBdr>
              <w:divsChild>
                <w:div w:id="327752017">
                  <w:marLeft w:val="0"/>
                  <w:marRight w:val="0"/>
                  <w:marTop w:val="0"/>
                  <w:marBottom w:val="0"/>
                  <w:divBdr>
                    <w:top w:val="none" w:sz="0" w:space="0" w:color="auto"/>
                    <w:left w:val="none" w:sz="0" w:space="0" w:color="auto"/>
                    <w:bottom w:val="none" w:sz="0" w:space="0" w:color="auto"/>
                    <w:right w:val="none" w:sz="0" w:space="0" w:color="auto"/>
                  </w:divBdr>
                  <w:divsChild>
                    <w:div w:id="2014456899">
                      <w:marLeft w:val="0"/>
                      <w:marRight w:val="0"/>
                      <w:marTop w:val="0"/>
                      <w:marBottom w:val="0"/>
                      <w:divBdr>
                        <w:top w:val="none" w:sz="0" w:space="0" w:color="auto"/>
                        <w:left w:val="none" w:sz="0" w:space="0" w:color="auto"/>
                        <w:bottom w:val="none" w:sz="0" w:space="0" w:color="auto"/>
                        <w:right w:val="none" w:sz="0" w:space="0" w:color="auto"/>
                      </w:divBdr>
                      <w:divsChild>
                        <w:div w:id="1150826666">
                          <w:marLeft w:val="0"/>
                          <w:marRight w:val="0"/>
                          <w:marTop w:val="0"/>
                          <w:marBottom w:val="0"/>
                          <w:divBdr>
                            <w:top w:val="none" w:sz="0" w:space="0" w:color="auto"/>
                            <w:left w:val="none" w:sz="0" w:space="0" w:color="auto"/>
                            <w:bottom w:val="none" w:sz="0" w:space="0" w:color="auto"/>
                            <w:right w:val="none" w:sz="0" w:space="0" w:color="auto"/>
                          </w:divBdr>
                          <w:divsChild>
                            <w:div w:id="1879783500">
                              <w:marLeft w:val="0"/>
                              <w:marRight w:val="0"/>
                              <w:marTop w:val="0"/>
                              <w:marBottom w:val="0"/>
                              <w:divBdr>
                                <w:top w:val="none" w:sz="0" w:space="0" w:color="auto"/>
                                <w:left w:val="none" w:sz="0" w:space="0" w:color="auto"/>
                                <w:bottom w:val="none" w:sz="0" w:space="0" w:color="auto"/>
                                <w:right w:val="none" w:sz="0" w:space="0" w:color="auto"/>
                              </w:divBdr>
                              <w:divsChild>
                                <w:div w:id="1106928289">
                                  <w:marLeft w:val="0"/>
                                  <w:marRight w:val="0"/>
                                  <w:marTop w:val="0"/>
                                  <w:marBottom w:val="0"/>
                                  <w:divBdr>
                                    <w:top w:val="none" w:sz="0" w:space="0" w:color="auto"/>
                                    <w:left w:val="none" w:sz="0" w:space="0" w:color="auto"/>
                                    <w:bottom w:val="none" w:sz="0" w:space="0" w:color="auto"/>
                                    <w:right w:val="none" w:sz="0" w:space="0" w:color="auto"/>
                                  </w:divBdr>
                                  <w:divsChild>
                                    <w:div w:id="3809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177564">
      <w:bodyDiv w:val="1"/>
      <w:marLeft w:val="0"/>
      <w:marRight w:val="0"/>
      <w:marTop w:val="0"/>
      <w:marBottom w:val="0"/>
      <w:divBdr>
        <w:top w:val="none" w:sz="0" w:space="0" w:color="auto"/>
        <w:left w:val="none" w:sz="0" w:space="0" w:color="auto"/>
        <w:bottom w:val="none" w:sz="0" w:space="0" w:color="auto"/>
        <w:right w:val="none" w:sz="0" w:space="0" w:color="auto"/>
      </w:divBdr>
    </w:div>
    <w:div w:id="661128858">
      <w:bodyDiv w:val="1"/>
      <w:marLeft w:val="1500"/>
      <w:marRight w:val="0"/>
      <w:marTop w:val="0"/>
      <w:marBottom w:val="0"/>
      <w:divBdr>
        <w:top w:val="none" w:sz="0" w:space="0" w:color="auto"/>
        <w:left w:val="none" w:sz="0" w:space="0" w:color="auto"/>
        <w:bottom w:val="none" w:sz="0" w:space="0" w:color="auto"/>
        <w:right w:val="none" w:sz="0" w:space="0" w:color="auto"/>
      </w:divBdr>
      <w:divsChild>
        <w:div w:id="1772893128">
          <w:marLeft w:val="0"/>
          <w:marRight w:val="0"/>
          <w:marTop w:val="0"/>
          <w:marBottom w:val="0"/>
          <w:divBdr>
            <w:top w:val="none" w:sz="0" w:space="0" w:color="auto"/>
            <w:left w:val="none" w:sz="0" w:space="0" w:color="auto"/>
            <w:bottom w:val="none" w:sz="0" w:space="0" w:color="auto"/>
            <w:right w:val="none" w:sz="0" w:space="0" w:color="auto"/>
          </w:divBdr>
          <w:divsChild>
            <w:div w:id="704185047">
              <w:marLeft w:val="0"/>
              <w:marRight w:val="0"/>
              <w:marTop w:val="0"/>
              <w:marBottom w:val="0"/>
              <w:divBdr>
                <w:top w:val="none" w:sz="0" w:space="0" w:color="auto"/>
                <w:left w:val="none" w:sz="0" w:space="0" w:color="auto"/>
                <w:bottom w:val="none" w:sz="0" w:space="0" w:color="auto"/>
                <w:right w:val="none" w:sz="0" w:space="0" w:color="auto"/>
              </w:divBdr>
              <w:divsChild>
                <w:div w:id="911278385">
                  <w:marLeft w:val="0"/>
                  <w:marRight w:val="0"/>
                  <w:marTop w:val="0"/>
                  <w:marBottom w:val="0"/>
                  <w:divBdr>
                    <w:top w:val="none" w:sz="0" w:space="0" w:color="auto"/>
                    <w:left w:val="none" w:sz="0" w:space="0" w:color="auto"/>
                    <w:bottom w:val="none" w:sz="0" w:space="0" w:color="auto"/>
                    <w:right w:val="none" w:sz="0" w:space="0" w:color="auto"/>
                  </w:divBdr>
                  <w:divsChild>
                    <w:div w:id="1476146721">
                      <w:marLeft w:val="0"/>
                      <w:marRight w:val="0"/>
                      <w:marTop w:val="0"/>
                      <w:marBottom w:val="0"/>
                      <w:divBdr>
                        <w:top w:val="none" w:sz="0" w:space="0" w:color="auto"/>
                        <w:left w:val="none" w:sz="0" w:space="0" w:color="auto"/>
                        <w:bottom w:val="none" w:sz="0" w:space="0" w:color="auto"/>
                        <w:right w:val="none" w:sz="0" w:space="0" w:color="auto"/>
                      </w:divBdr>
                      <w:divsChild>
                        <w:div w:id="1069421561">
                          <w:marLeft w:val="0"/>
                          <w:marRight w:val="0"/>
                          <w:marTop w:val="0"/>
                          <w:marBottom w:val="0"/>
                          <w:divBdr>
                            <w:top w:val="none" w:sz="0" w:space="0" w:color="auto"/>
                            <w:left w:val="none" w:sz="0" w:space="0" w:color="auto"/>
                            <w:bottom w:val="none" w:sz="0" w:space="0" w:color="auto"/>
                            <w:right w:val="none" w:sz="0" w:space="0" w:color="auto"/>
                          </w:divBdr>
                          <w:divsChild>
                            <w:div w:id="417674302">
                              <w:marLeft w:val="0"/>
                              <w:marRight w:val="0"/>
                              <w:marTop w:val="0"/>
                              <w:marBottom w:val="0"/>
                              <w:divBdr>
                                <w:top w:val="none" w:sz="0" w:space="0" w:color="auto"/>
                                <w:left w:val="none" w:sz="0" w:space="0" w:color="auto"/>
                                <w:bottom w:val="none" w:sz="0" w:space="0" w:color="auto"/>
                                <w:right w:val="none" w:sz="0" w:space="0" w:color="auto"/>
                              </w:divBdr>
                              <w:divsChild>
                                <w:div w:id="1867138023">
                                  <w:marLeft w:val="0"/>
                                  <w:marRight w:val="0"/>
                                  <w:marTop w:val="0"/>
                                  <w:marBottom w:val="0"/>
                                  <w:divBdr>
                                    <w:top w:val="none" w:sz="0" w:space="0" w:color="auto"/>
                                    <w:left w:val="none" w:sz="0" w:space="0" w:color="auto"/>
                                    <w:bottom w:val="none" w:sz="0" w:space="0" w:color="auto"/>
                                    <w:right w:val="none" w:sz="0" w:space="0" w:color="auto"/>
                                  </w:divBdr>
                                  <w:divsChild>
                                    <w:div w:id="1616906397">
                                      <w:marLeft w:val="0"/>
                                      <w:marRight w:val="0"/>
                                      <w:marTop w:val="0"/>
                                      <w:marBottom w:val="0"/>
                                      <w:divBdr>
                                        <w:top w:val="none" w:sz="0" w:space="0" w:color="auto"/>
                                        <w:left w:val="none" w:sz="0" w:space="0" w:color="auto"/>
                                        <w:bottom w:val="none" w:sz="0" w:space="0" w:color="auto"/>
                                        <w:right w:val="none" w:sz="0" w:space="0" w:color="auto"/>
                                      </w:divBdr>
                                      <w:divsChild>
                                        <w:div w:id="1691908290">
                                          <w:marLeft w:val="0"/>
                                          <w:marRight w:val="0"/>
                                          <w:marTop w:val="0"/>
                                          <w:marBottom w:val="0"/>
                                          <w:divBdr>
                                            <w:top w:val="none" w:sz="0" w:space="0" w:color="auto"/>
                                            <w:left w:val="none" w:sz="0" w:space="0" w:color="auto"/>
                                            <w:bottom w:val="none" w:sz="0" w:space="0" w:color="auto"/>
                                            <w:right w:val="none" w:sz="0" w:space="0" w:color="auto"/>
                                          </w:divBdr>
                                          <w:divsChild>
                                            <w:div w:id="322660414">
                                              <w:marLeft w:val="0"/>
                                              <w:marRight w:val="0"/>
                                              <w:marTop w:val="0"/>
                                              <w:marBottom w:val="0"/>
                                              <w:divBdr>
                                                <w:top w:val="none" w:sz="0" w:space="0" w:color="auto"/>
                                                <w:left w:val="none" w:sz="0" w:space="0" w:color="auto"/>
                                                <w:bottom w:val="none" w:sz="0" w:space="0" w:color="auto"/>
                                                <w:right w:val="none" w:sz="0" w:space="0" w:color="auto"/>
                                              </w:divBdr>
                                              <w:divsChild>
                                                <w:div w:id="35782937">
                                                  <w:marLeft w:val="0"/>
                                                  <w:marRight w:val="0"/>
                                                  <w:marTop w:val="0"/>
                                                  <w:marBottom w:val="0"/>
                                                  <w:divBdr>
                                                    <w:top w:val="none" w:sz="0" w:space="0" w:color="auto"/>
                                                    <w:left w:val="none" w:sz="0" w:space="0" w:color="auto"/>
                                                    <w:bottom w:val="none" w:sz="0" w:space="0" w:color="auto"/>
                                                    <w:right w:val="none" w:sz="0" w:space="0" w:color="auto"/>
                                                  </w:divBdr>
                                                  <w:divsChild>
                                                    <w:div w:id="954412397">
                                                      <w:marLeft w:val="0"/>
                                                      <w:marRight w:val="0"/>
                                                      <w:marTop w:val="0"/>
                                                      <w:marBottom w:val="0"/>
                                                      <w:divBdr>
                                                        <w:top w:val="none" w:sz="0" w:space="0" w:color="auto"/>
                                                        <w:left w:val="none" w:sz="0" w:space="0" w:color="auto"/>
                                                        <w:bottom w:val="none" w:sz="0" w:space="0" w:color="auto"/>
                                                        <w:right w:val="none" w:sz="0" w:space="0" w:color="auto"/>
                                                      </w:divBdr>
                                                    </w:div>
                                                    <w:div w:id="13614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688672">
      <w:bodyDiv w:val="1"/>
      <w:marLeft w:val="0"/>
      <w:marRight w:val="0"/>
      <w:marTop w:val="0"/>
      <w:marBottom w:val="0"/>
      <w:divBdr>
        <w:top w:val="none" w:sz="0" w:space="0" w:color="auto"/>
        <w:left w:val="none" w:sz="0" w:space="0" w:color="auto"/>
        <w:bottom w:val="none" w:sz="0" w:space="0" w:color="auto"/>
        <w:right w:val="none" w:sz="0" w:space="0" w:color="auto"/>
      </w:divBdr>
      <w:divsChild>
        <w:div w:id="559445258">
          <w:marLeft w:val="0"/>
          <w:marRight w:val="0"/>
          <w:marTop w:val="0"/>
          <w:marBottom w:val="0"/>
          <w:divBdr>
            <w:top w:val="none" w:sz="0" w:space="0" w:color="auto"/>
            <w:left w:val="none" w:sz="0" w:space="0" w:color="auto"/>
            <w:bottom w:val="none" w:sz="0" w:space="0" w:color="auto"/>
            <w:right w:val="none" w:sz="0" w:space="0" w:color="auto"/>
          </w:divBdr>
          <w:divsChild>
            <w:div w:id="619338549">
              <w:marLeft w:val="0"/>
              <w:marRight w:val="0"/>
              <w:marTop w:val="0"/>
              <w:marBottom w:val="0"/>
              <w:divBdr>
                <w:top w:val="none" w:sz="0" w:space="0" w:color="auto"/>
                <w:left w:val="none" w:sz="0" w:space="0" w:color="auto"/>
                <w:bottom w:val="none" w:sz="0" w:space="0" w:color="auto"/>
                <w:right w:val="none" w:sz="0" w:space="0" w:color="auto"/>
              </w:divBdr>
              <w:divsChild>
                <w:div w:id="1747651149">
                  <w:marLeft w:val="0"/>
                  <w:marRight w:val="0"/>
                  <w:marTop w:val="0"/>
                  <w:marBottom w:val="0"/>
                  <w:divBdr>
                    <w:top w:val="none" w:sz="0" w:space="0" w:color="auto"/>
                    <w:left w:val="none" w:sz="0" w:space="0" w:color="auto"/>
                    <w:bottom w:val="none" w:sz="0" w:space="0" w:color="auto"/>
                    <w:right w:val="none" w:sz="0" w:space="0" w:color="auto"/>
                  </w:divBdr>
                  <w:divsChild>
                    <w:div w:id="500395612">
                      <w:marLeft w:val="0"/>
                      <w:marRight w:val="0"/>
                      <w:marTop w:val="0"/>
                      <w:marBottom w:val="0"/>
                      <w:divBdr>
                        <w:top w:val="none" w:sz="0" w:space="0" w:color="auto"/>
                        <w:left w:val="none" w:sz="0" w:space="0" w:color="auto"/>
                        <w:bottom w:val="none" w:sz="0" w:space="0" w:color="auto"/>
                        <w:right w:val="none" w:sz="0" w:space="0" w:color="auto"/>
                      </w:divBdr>
                      <w:divsChild>
                        <w:div w:id="349454528">
                          <w:marLeft w:val="0"/>
                          <w:marRight w:val="0"/>
                          <w:marTop w:val="0"/>
                          <w:marBottom w:val="0"/>
                          <w:divBdr>
                            <w:top w:val="none" w:sz="0" w:space="0" w:color="auto"/>
                            <w:left w:val="none" w:sz="0" w:space="0" w:color="auto"/>
                            <w:bottom w:val="none" w:sz="0" w:space="0" w:color="auto"/>
                            <w:right w:val="none" w:sz="0" w:space="0" w:color="auto"/>
                          </w:divBdr>
                          <w:divsChild>
                            <w:div w:id="1832137895">
                              <w:marLeft w:val="0"/>
                              <w:marRight w:val="0"/>
                              <w:marTop w:val="0"/>
                              <w:marBottom w:val="0"/>
                              <w:divBdr>
                                <w:top w:val="none" w:sz="0" w:space="0" w:color="auto"/>
                                <w:left w:val="none" w:sz="0" w:space="0" w:color="auto"/>
                                <w:bottom w:val="none" w:sz="0" w:space="0" w:color="auto"/>
                                <w:right w:val="none" w:sz="0" w:space="0" w:color="auto"/>
                              </w:divBdr>
                              <w:divsChild>
                                <w:div w:id="1769540875">
                                  <w:marLeft w:val="0"/>
                                  <w:marRight w:val="0"/>
                                  <w:marTop w:val="0"/>
                                  <w:marBottom w:val="0"/>
                                  <w:divBdr>
                                    <w:top w:val="none" w:sz="0" w:space="0" w:color="auto"/>
                                    <w:left w:val="none" w:sz="0" w:space="0" w:color="auto"/>
                                    <w:bottom w:val="none" w:sz="0" w:space="0" w:color="auto"/>
                                    <w:right w:val="none" w:sz="0" w:space="0" w:color="auto"/>
                                  </w:divBdr>
                                  <w:divsChild>
                                    <w:div w:id="8268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697155">
      <w:bodyDiv w:val="1"/>
      <w:marLeft w:val="0"/>
      <w:marRight w:val="0"/>
      <w:marTop w:val="0"/>
      <w:marBottom w:val="0"/>
      <w:divBdr>
        <w:top w:val="none" w:sz="0" w:space="0" w:color="auto"/>
        <w:left w:val="none" w:sz="0" w:space="0" w:color="auto"/>
        <w:bottom w:val="none" w:sz="0" w:space="0" w:color="auto"/>
        <w:right w:val="none" w:sz="0" w:space="0" w:color="auto"/>
      </w:divBdr>
    </w:div>
    <w:div w:id="714934585">
      <w:bodyDiv w:val="1"/>
      <w:marLeft w:val="0"/>
      <w:marRight w:val="0"/>
      <w:marTop w:val="0"/>
      <w:marBottom w:val="0"/>
      <w:divBdr>
        <w:top w:val="none" w:sz="0" w:space="0" w:color="auto"/>
        <w:left w:val="none" w:sz="0" w:space="0" w:color="auto"/>
        <w:bottom w:val="none" w:sz="0" w:space="0" w:color="auto"/>
        <w:right w:val="none" w:sz="0" w:space="0" w:color="auto"/>
      </w:divBdr>
      <w:divsChild>
        <w:div w:id="1449857383">
          <w:marLeft w:val="0"/>
          <w:marRight w:val="0"/>
          <w:marTop w:val="0"/>
          <w:marBottom w:val="0"/>
          <w:divBdr>
            <w:top w:val="none" w:sz="0" w:space="0" w:color="auto"/>
            <w:left w:val="none" w:sz="0" w:space="0" w:color="auto"/>
            <w:bottom w:val="none" w:sz="0" w:space="0" w:color="auto"/>
            <w:right w:val="none" w:sz="0" w:space="0" w:color="auto"/>
          </w:divBdr>
          <w:divsChild>
            <w:div w:id="99835793">
              <w:marLeft w:val="0"/>
              <w:marRight w:val="0"/>
              <w:marTop w:val="0"/>
              <w:marBottom w:val="0"/>
              <w:divBdr>
                <w:top w:val="none" w:sz="0" w:space="0" w:color="auto"/>
                <w:left w:val="none" w:sz="0" w:space="0" w:color="auto"/>
                <w:bottom w:val="none" w:sz="0" w:space="0" w:color="auto"/>
                <w:right w:val="none" w:sz="0" w:space="0" w:color="auto"/>
              </w:divBdr>
              <w:divsChild>
                <w:div w:id="1373190895">
                  <w:marLeft w:val="0"/>
                  <w:marRight w:val="0"/>
                  <w:marTop w:val="150"/>
                  <w:marBottom w:val="0"/>
                  <w:divBdr>
                    <w:top w:val="none" w:sz="0" w:space="0" w:color="auto"/>
                    <w:left w:val="none" w:sz="0" w:space="0" w:color="auto"/>
                    <w:bottom w:val="none" w:sz="0" w:space="0" w:color="auto"/>
                    <w:right w:val="none" w:sz="0" w:space="0" w:color="auto"/>
                  </w:divBdr>
                  <w:divsChild>
                    <w:div w:id="806893180">
                      <w:marLeft w:val="0"/>
                      <w:marRight w:val="0"/>
                      <w:marTop w:val="0"/>
                      <w:marBottom w:val="0"/>
                      <w:divBdr>
                        <w:top w:val="none" w:sz="0" w:space="0" w:color="auto"/>
                        <w:left w:val="none" w:sz="0" w:space="0" w:color="auto"/>
                        <w:bottom w:val="none" w:sz="0" w:space="0" w:color="auto"/>
                        <w:right w:val="none" w:sz="0" w:space="0" w:color="auto"/>
                      </w:divBdr>
                      <w:divsChild>
                        <w:div w:id="2081320285">
                          <w:marLeft w:val="0"/>
                          <w:marRight w:val="0"/>
                          <w:marTop w:val="0"/>
                          <w:marBottom w:val="0"/>
                          <w:divBdr>
                            <w:top w:val="none" w:sz="0" w:space="0" w:color="auto"/>
                            <w:left w:val="none" w:sz="0" w:space="0" w:color="auto"/>
                            <w:bottom w:val="none" w:sz="0" w:space="0" w:color="auto"/>
                            <w:right w:val="none" w:sz="0" w:space="0" w:color="auto"/>
                          </w:divBdr>
                          <w:divsChild>
                            <w:div w:id="1526286311">
                              <w:marLeft w:val="0"/>
                              <w:marRight w:val="0"/>
                              <w:marTop w:val="0"/>
                              <w:marBottom w:val="0"/>
                              <w:divBdr>
                                <w:top w:val="none" w:sz="0" w:space="0" w:color="auto"/>
                                <w:left w:val="none" w:sz="0" w:space="0" w:color="auto"/>
                                <w:bottom w:val="none" w:sz="0" w:space="0" w:color="auto"/>
                                <w:right w:val="none" w:sz="0" w:space="0" w:color="auto"/>
                              </w:divBdr>
                              <w:divsChild>
                                <w:div w:id="106050683">
                                  <w:marLeft w:val="0"/>
                                  <w:marRight w:val="0"/>
                                  <w:marTop w:val="0"/>
                                  <w:marBottom w:val="0"/>
                                  <w:divBdr>
                                    <w:top w:val="none" w:sz="0" w:space="0" w:color="auto"/>
                                    <w:left w:val="none" w:sz="0" w:space="0" w:color="auto"/>
                                    <w:bottom w:val="none" w:sz="0" w:space="0" w:color="auto"/>
                                    <w:right w:val="none" w:sz="0" w:space="0" w:color="auto"/>
                                  </w:divBdr>
                                  <w:divsChild>
                                    <w:div w:id="875626840">
                                      <w:marLeft w:val="0"/>
                                      <w:marRight w:val="0"/>
                                      <w:marTop w:val="0"/>
                                      <w:marBottom w:val="0"/>
                                      <w:divBdr>
                                        <w:top w:val="single" w:sz="36" w:space="0" w:color="AEC782"/>
                                        <w:left w:val="none" w:sz="0" w:space="0" w:color="auto"/>
                                        <w:bottom w:val="none" w:sz="0" w:space="0" w:color="auto"/>
                                        <w:right w:val="none" w:sz="0" w:space="0" w:color="auto"/>
                                      </w:divBdr>
                                      <w:divsChild>
                                        <w:div w:id="1200629120">
                                          <w:marLeft w:val="0"/>
                                          <w:marRight w:val="0"/>
                                          <w:marTop w:val="0"/>
                                          <w:marBottom w:val="0"/>
                                          <w:divBdr>
                                            <w:top w:val="none" w:sz="0" w:space="0" w:color="auto"/>
                                            <w:left w:val="none" w:sz="0" w:space="0" w:color="auto"/>
                                            <w:bottom w:val="none" w:sz="0" w:space="0" w:color="auto"/>
                                            <w:right w:val="none" w:sz="0" w:space="0" w:color="auto"/>
                                          </w:divBdr>
                                          <w:divsChild>
                                            <w:div w:id="160511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154384">
      <w:bodyDiv w:val="1"/>
      <w:marLeft w:val="0"/>
      <w:marRight w:val="0"/>
      <w:marTop w:val="0"/>
      <w:marBottom w:val="0"/>
      <w:divBdr>
        <w:top w:val="none" w:sz="0" w:space="0" w:color="auto"/>
        <w:left w:val="none" w:sz="0" w:space="0" w:color="auto"/>
        <w:bottom w:val="none" w:sz="0" w:space="0" w:color="auto"/>
        <w:right w:val="none" w:sz="0" w:space="0" w:color="auto"/>
      </w:divBdr>
      <w:divsChild>
        <w:div w:id="328602299">
          <w:marLeft w:val="0"/>
          <w:marRight w:val="0"/>
          <w:marTop w:val="0"/>
          <w:marBottom w:val="0"/>
          <w:divBdr>
            <w:top w:val="none" w:sz="0" w:space="0" w:color="auto"/>
            <w:left w:val="none" w:sz="0" w:space="0" w:color="auto"/>
            <w:bottom w:val="none" w:sz="0" w:space="0" w:color="auto"/>
            <w:right w:val="none" w:sz="0" w:space="0" w:color="auto"/>
          </w:divBdr>
          <w:divsChild>
            <w:div w:id="1277562508">
              <w:marLeft w:val="0"/>
              <w:marRight w:val="0"/>
              <w:marTop w:val="0"/>
              <w:marBottom w:val="0"/>
              <w:divBdr>
                <w:top w:val="none" w:sz="0" w:space="0" w:color="auto"/>
                <w:left w:val="none" w:sz="0" w:space="0" w:color="auto"/>
                <w:bottom w:val="none" w:sz="0" w:space="0" w:color="auto"/>
                <w:right w:val="none" w:sz="0" w:space="0" w:color="auto"/>
              </w:divBdr>
              <w:divsChild>
                <w:div w:id="311638616">
                  <w:marLeft w:val="0"/>
                  <w:marRight w:val="0"/>
                  <w:marTop w:val="150"/>
                  <w:marBottom w:val="0"/>
                  <w:divBdr>
                    <w:top w:val="none" w:sz="0" w:space="0" w:color="auto"/>
                    <w:left w:val="none" w:sz="0" w:space="0" w:color="auto"/>
                    <w:bottom w:val="none" w:sz="0" w:space="0" w:color="auto"/>
                    <w:right w:val="none" w:sz="0" w:space="0" w:color="auto"/>
                  </w:divBdr>
                  <w:divsChild>
                    <w:div w:id="503015538">
                      <w:marLeft w:val="0"/>
                      <w:marRight w:val="0"/>
                      <w:marTop w:val="0"/>
                      <w:marBottom w:val="0"/>
                      <w:divBdr>
                        <w:top w:val="none" w:sz="0" w:space="0" w:color="auto"/>
                        <w:left w:val="none" w:sz="0" w:space="0" w:color="auto"/>
                        <w:bottom w:val="none" w:sz="0" w:space="0" w:color="auto"/>
                        <w:right w:val="none" w:sz="0" w:space="0" w:color="auto"/>
                      </w:divBdr>
                      <w:divsChild>
                        <w:div w:id="1811939839">
                          <w:marLeft w:val="0"/>
                          <w:marRight w:val="0"/>
                          <w:marTop w:val="0"/>
                          <w:marBottom w:val="0"/>
                          <w:divBdr>
                            <w:top w:val="none" w:sz="0" w:space="0" w:color="auto"/>
                            <w:left w:val="none" w:sz="0" w:space="0" w:color="auto"/>
                            <w:bottom w:val="none" w:sz="0" w:space="0" w:color="auto"/>
                            <w:right w:val="none" w:sz="0" w:space="0" w:color="auto"/>
                          </w:divBdr>
                          <w:divsChild>
                            <w:div w:id="989096346">
                              <w:marLeft w:val="0"/>
                              <w:marRight w:val="0"/>
                              <w:marTop w:val="0"/>
                              <w:marBottom w:val="0"/>
                              <w:divBdr>
                                <w:top w:val="none" w:sz="0" w:space="0" w:color="auto"/>
                                <w:left w:val="none" w:sz="0" w:space="0" w:color="auto"/>
                                <w:bottom w:val="none" w:sz="0" w:space="0" w:color="auto"/>
                                <w:right w:val="none" w:sz="0" w:space="0" w:color="auto"/>
                              </w:divBdr>
                              <w:divsChild>
                                <w:div w:id="1260219695">
                                  <w:marLeft w:val="0"/>
                                  <w:marRight w:val="0"/>
                                  <w:marTop w:val="0"/>
                                  <w:marBottom w:val="0"/>
                                  <w:divBdr>
                                    <w:top w:val="none" w:sz="0" w:space="0" w:color="auto"/>
                                    <w:left w:val="none" w:sz="0" w:space="0" w:color="auto"/>
                                    <w:bottom w:val="none" w:sz="0" w:space="0" w:color="auto"/>
                                    <w:right w:val="none" w:sz="0" w:space="0" w:color="auto"/>
                                  </w:divBdr>
                                  <w:divsChild>
                                    <w:div w:id="1532843683">
                                      <w:marLeft w:val="0"/>
                                      <w:marRight w:val="0"/>
                                      <w:marTop w:val="0"/>
                                      <w:marBottom w:val="0"/>
                                      <w:divBdr>
                                        <w:top w:val="single" w:sz="36" w:space="0" w:color="AEC782"/>
                                        <w:left w:val="none" w:sz="0" w:space="0" w:color="auto"/>
                                        <w:bottom w:val="none" w:sz="0" w:space="0" w:color="auto"/>
                                        <w:right w:val="none" w:sz="0" w:space="0" w:color="auto"/>
                                      </w:divBdr>
                                      <w:divsChild>
                                        <w:div w:id="1638103461">
                                          <w:marLeft w:val="0"/>
                                          <w:marRight w:val="0"/>
                                          <w:marTop w:val="0"/>
                                          <w:marBottom w:val="0"/>
                                          <w:divBdr>
                                            <w:top w:val="none" w:sz="0" w:space="0" w:color="auto"/>
                                            <w:left w:val="none" w:sz="0" w:space="0" w:color="auto"/>
                                            <w:bottom w:val="none" w:sz="0" w:space="0" w:color="auto"/>
                                            <w:right w:val="none" w:sz="0" w:space="0" w:color="auto"/>
                                          </w:divBdr>
                                          <w:divsChild>
                                            <w:div w:id="20871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556084">
      <w:bodyDiv w:val="1"/>
      <w:marLeft w:val="0"/>
      <w:marRight w:val="0"/>
      <w:marTop w:val="0"/>
      <w:marBottom w:val="0"/>
      <w:divBdr>
        <w:top w:val="none" w:sz="0" w:space="0" w:color="auto"/>
        <w:left w:val="none" w:sz="0" w:space="0" w:color="auto"/>
        <w:bottom w:val="none" w:sz="0" w:space="0" w:color="auto"/>
        <w:right w:val="none" w:sz="0" w:space="0" w:color="auto"/>
      </w:divBdr>
      <w:divsChild>
        <w:div w:id="335616049">
          <w:marLeft w:val="0"/>
          <w:marRight w:val="0"/>
          <w:marTop w:val="0"/>
          <w:marBottom w:val="0"/>
          <w:divBdr>
            <w:top w:val="none" w:sz="0" w:space="0" w:color="auto"/>
            <w:left w:val="none" w:sz="0" w:space="0" w:color="auto"/>
            <w:bottom w:val="none" w:sz="0" w:space="0" w:color="auto"/>
            <w:right w:val="none" w:sz="0" w:space="0" w:color="auto"/>
          </w:divBdr>
          <w:divsChild>
            <w:div w:id="738089951">
              <w:marLeft w:val="0"/>
              <w:marRight w:val="0"/>
              <w:marTop w:val="0"/>
              <w:marBottom w:val="0"/>
              <w:divBdr>
                <w:top w:val="none" w:sz="0" w:space="0" w:color="auto"/>
                <w:left w:val="none" w:sz="0" w:space="0" w:color="auto"/>
                <w:bottom w:val="none" w:sz="0" w:space="0" w:color="auto"/>
                <w:right w:val="none" w:sz="0" w:space="0" w:color="auto"/>
              </w:divBdr>
              <w:divsChild>
                <w:div w:id="433597961">
                  <w:marLeft w:val="0"/>
                  <w:marRight w:val="0"/>
                  <w:marTop w:val="0"/>
                  <w:marBottom w:val="0"/>
                  <w:divBdr>
                    <w:top w:val="none" w:sz="0" w:space="0" w:color="auto"/>
                    <w:left w:val="none" w:sz="0" w:space="0" w:color="auto"/>
                    <w:bottom w:val="none" w:sz="0" w:space="0" w:color="auto"/>
                    <w:right w:val="none" w:sz="0" w:space="0" w:color="auto"/>
                  </w:divBdr>
                  <w:divsChild>
                    <w:div w:id="1457991527">
                      <w:marLeft w:val="0"/>
                      <w:marRight w:val="0"/>
                      <w:marTop w:val="0"/>
                      <w:marBottom w:val="0"/>
                      <w:divBdr>
                        <w:top w:val="none" w:sz="0" w:space="0" w:color="auto"/>
                        <w:left w:val="none" w:sz="0" w:space="0" w:color="auto"/>
                        <w:bottom w:val="none" w:sz="0" w:space="0" w:color="auto"/>
                        <w:right w:val="none" w:sz="0" w:space="0" w:color="auto"/>
                      </w:divBdr>
                      <w:divsChild>
                        <w:div w:id="2020305910">
                          <w:marLeft w:val="0"/>
                          <w:marRight w:val="0"/>
                          <w:marTop w:val="0"/>
                          <w:marBottom w:val="0"/>
                          <w:divBdr>
                            <w:top w:val="none" w:sz="0" w:space="0" w:color="auto"/>
                            <w:left w:val="none" w:sz="0" w:space="0" w:color="auto"/>
                            <w:bottom w:val="none" w:sz="0" w:space="0" w:color="auto"/>
                            <w:right w:val="none" w:sz="0" w:space="0" w:color="auto"/>
                          </w:divBdr>
                          <w:divsChild>
                            <w:div w:id="2016494840">
                              <w:marLeft w:val="0"/>
                              <w:marRight w:val="0"/>
                              <w:marTop w:val="0"/>
                              <w:marBottom w:val="0"/>
                              <w:divBdr>
                                <w:top w:val="none" w:sz="0" w:space="0" w:color="auto"/>
                                <w:left w:val="none" w:sz="0" w:space="0" w:color="auto"/>
                                <w:bottom w:val="none" w:sz="0" w:space="0" w:color="auto"/>
                                <w:right w:val="none" w:sz="0" w:space="0" w:color="auto"/>
                              </w:divBdr>
                              <w:divsChild>
                                <w:div w:id="1252197052">
                                  <w:marLeft w:val="0"/>
                                  <w:marRight w:val="0"/>
                                  <w:marTop w:val="0"/>
                                  <w:marBottom w:val="0"/>
                                  <w:divBdr>
                                    <w:top w:val="none" w:sz="0" w:space="0" w:color="auto"/>
                                    <w:left w:val="none" w:sz="0" w:space="0" w:color="auto"/>
                                    <w:bottom w:val="none" w:sz="0" w:space="0" w:color="auto"/>
                                    <w:right w:val="none" w:sz="0" w:space="0" w:color="auto"/>
                                  </w:divBdr>
                                  <w:divsChild>
                                    <w:div w:id="18210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222530">
      <w:bodyDiv w:val="1"/>
      <w:marLeft w:val="0"/>
      <w:marRight w:val="0"/>
      <w:marTop w:val="0"/>
      <w:marBottom w:val="0"/>
      <w:divBdr>
        <w:top w:val="none" w:sz="0" w:space="0" w:color="auto"/>
        <w:left w:val="none" w:sz="0" w:space="0" w:color="auto"/>
        <w:bottom w:val="none" w:sz="0" w:space="0" w:color="auto"/>
        <w:right w:val="none" w:sz="0" w:space="0" w:color="auto"/>
      </w:divBdr>
      <w:divsChild>
        <w:div w:id="1533111088">
          <w:marLeft w:val="0"/>
          <w:marRight w:val="0"/>
          <w:marTop w:val="0"/>
          <w:marBottom w:val="0"/>
          <w:divBdr>
            <w:top w:val="none" w:sz="0" w:space="0" w:color="auto"/>
            <w:left w:val="none" w:sz="0" w:space="0" w:color="auto"/>
            <w:bottom w:val="none" w:sz="0" w:space="0" w:color="auto"/>
            <w:right w:val="none" w:sz="0" w:space="0" w:color="auto"/>
          </w:divBdr>
          <w:divsChild>
            <w:div w:id="349530051">
              <w:marLeft w:val="0"/>
              <w:marRight w:val="0"/>
              <w:marTop w:val="0"/>
              <w:marBottom w:val="0"/>
              <w:divBdr>
                <w:top w:val="none" w:sz="0" w:space="0" w:color="auto"/>
                <w:left w:val="none" w:sz="0" w:space="0" w:color="auto"/>
                <w:bottom w:val="none" w:sz="0" w:space="0" w:color="auto"/>
                <w:right w:val="none" w:sz="0" w:space="0" w:color="auto"/>
              </w:divBdr>
              <w:divsChild>
                <w:div w:id="1485850192">
                  <w:marLeft w:val="0"/>
                  <w:marRight w:val="0"/>
                  <w:marTop w:val="0"/>
                  <w:marBottom w:val="0"/>
                  <w:divBdr>
                    <w:top w:val="none" w:sz="0" w:space="0" w:color="auto"/>
                    <w:left w:val="none" w:sz="0" w:space="0" w:color="auto"/>
                    <w:bottom w:val="none" w:sz="0" w:space="0" w:color="auto"/>
                    <w:right w:val="none" w:sz="0" w:space="0" w:color="auto"/>
                  </w:divBdr>
                  <w:divsChild>
                    <w:div w:id="1530409229">
                      <w:marLeft w:val="0"/>
                      <w:marRight w:val="0"/>
                      <w:marTop w:val="0"/>
                      <w:marBottom w:val="0"/>
                      <w:divBdr>
                        <w:top w:val="none" w:sz="0" w:space="0" w:color="auto"/>
                        <w:left w:val="none" w:sz="0" w:space="0" w:color="auto"/>
                        <w:bottom w:val="none" w:sz="0" w:space="0" w:color="auto"/>
                        <w:right w:val="none" w:sz="0" w:space="0" w:color="auto"/>
                      </w:divBdr>
                      <w:divsChild>
                        <w:div w:id="1342585362">
                          <w:marLeft w:val="0"/>
                          <w:marRight w:val="0"/>
                          <w:marTop w:val="0"/>
                          <w:marBottom w:val="0"/>
                          <w:divBdr>
                            <w:top w:val="none" w:sz="0" w:space="0" w:color="auto"/>
                            <w:left w:val="none" w:sz="0" w:space="0" w:color="auto"/>
                            <w:bottom w:val="none" w:sz="0" w:space="0" w:color="auto"/>
                            <w:right w:val="none" w:sz="0" w:space="0" w:color="auto"/>
                          </w:divBdr>
                          <w:divsChild>
                            <w:div w:id="888805580">
                              <w:marLeft w:val="0"/>
                              <w:marRight w:val="0"/>
                              <w:marTop w:val="0"/>
                              <w:marBottom w:val="0"/>
                              <w:divBdr>
                                <w:top w:val="none" w:sz="0" w:space="0" w:color="auto"/>
                                <w:left w:val="none" w:sz="0" w:space="0" w:color="auto"/>
                                <w:bottom w:val="none" w:sz="0" w:space="0" w:color="auto"/>
                                <w:right w:val="none" w:sz="0" w:space="0" w:color="auto"/>
                              </w:divBdr>
                              <w:divsChild>
                                <w:div w:id="1096173925">
                                  <w:marLeft w:val="0"/>
                                  <w:marRight w:val="0"/>
                                  <w:marTop w:val="0"/>
                                  <w:marBottom w:val="0"/>
                                  <w:divBdr>
                                    <w:top w:val="none" w:sz="0" w:space="0" w:color="auto"/>
                                    <w:left w:val="none" w:sz="0" w:space="0" w:color="auto"/>
                                    <w:bottom w:val="none" w:sz="0" w:space="0" w:color="auto"/>
                                    <w:right w:val="none" w:sz="0" w:space="0" w:color="auto"/>
                                  </w:divBdr>
                                  <w:divsChild>
                                    <w:div w:id="12445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744210">
      <w:bodyDiv w:val="1"/>
      <w:marLeft w:val="0"/>
      <w:marRight w:val="0"/>
      <w:marTop w:val="0"/>
      <w:marBottom w:val="0"/>
      <w:divBdr>
        <w:top w:val="none" w:sz="0" w:space="0" w:color="auto"/>
        <w:left w:val="none" w:sz="0" w:space="0" w:color="auto"/>
        <w:bottom w:val="none" w:sz="0" w:space="0" w:color="auto"/>
        <w:right w:val="none" w:sz="0" w:space="0" w:color="auto"/>
      </w:divBdr>
    </w:div>
    <w:div w:id="905842612">
      <w:bodyDiv w:val="1"/>
      <w:marLeft w:val="0"/>
      <w:marRight w:val="0"/>
      <w:marTop w:val="0"/>
      <w:marBottom w:val="0"/>
      <w:divBdr>
        <w:top w:val="none" w:sz="0" w:space="0" w:color="auto"/>
        <w:left w:val="none" w:sz="0" w:space="0" w:color="auto"/>
        <w:bottom w:val="none" w:sz="0" w:space="0" w:color="auto"/>
        <w:right w:val="none" w:sz="0" w:space="0" w:color="auto"/>
      </w:divBdr>
      <w:divsChild>
        <w:div w:id="675227602">
          <w:marLeft w:val="0"/>
          <w:marRight w:val="0"/>
          <w:marTop w:val="100"/>
          <w:marBottom w:val="100"/>
          <w:divBdr>
            <w:top w:val="none" w:sz="0" w:space="0" w:color="auto"/>
            <w:left w:val="none" w:sz="0" w:space="0" w:color="auto"/>
            <w:bottom w:val="none" w:sz="0" w:space="0" w:color="auto"/>
            <w:right w:val="none" w:sz="0" w:space="0" w:color="auto"/>
          </w:divBdr>
          <w:divsChild>
            <w:div w:id="836657083">
              <w:marLeft w:val="0"/>
              <w:marRight w:val="0"/>
              <w:marTop w:val="100"/>
              <w:marBottom w:val="100"/>
              <w:divBdr>
                <w:top w:val="single" w:sz="6" w:space="0" w:color="E0E0E0"/>
                <w:left w:val="single" w:sz="6" w:space="4" w:color="E0E0E0"/>
                <w:bottom w:val="single" w:sz="6" w:space="0" w:color="E0E0E0"/>
                <w:right w:val="single" w:sz="6" w:space="4" w:color="E0E0E0"/>
              </w:divBdr>
              <w:divsChild>
                <w:div w:id="406920342">
                  <w:marLeft w:val="0"/>
                  <w:marRight w:val="0"/>
                  <w:marTop w:val="0"/>
                  <w:marBottom w:val="0"/>
                  <w:divBdr>
                    <w:top w:val="none" w:sz="0" w:space="0" w:color="auto"/>
                    <w:left w:val="none" w:sz="0" w:space="0" w:color="auto"/>
                    <w:bottom w:val="none" w:sz="0" w:space="0" w:color="auto"/>
                    <w:right w:val="none" w:sz="0" w:space="0" w:color="auto"/>
                  </w:divBdr>
                  <w:divsChild>
                    <w:div w:id="1749422378">
                      <w:marLeft w:val="0"/>
                      <w:marRight w:val="0"/>
                      <w:marTop w:val="0"/>
                      <w:marBottom w:val="0"/>
                      <w:divBdr>
                        <w:top w:val="none" w:sz="0" w:space="0" w:color="auto"/>
                        <w:left w:val="none" w:sz="0" w:space="0" w:color="auto"/>
                        <w:bottom w:val="none" w:sz="0" w:space="0" w:color="auto"/>
                        <w:right w:val="none" w:sz="0" w:space="0" w:color="auto"/>
                      </w:divBdr>
                      <w:divsChild>
                        <w:div w:id="5212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58198">
      <w:bodyDiv w:val="1"/>
      <w:marLeft w:val="0"/>
      <w:marRight w:val="0"/>
      <w:marTop w:val="0"/>
      <w:marBottom w:val="0"/>
      <w:divBdr>
        <w:top w:val="none" w:sz="0" w:space="0" w:color="auto"/>
        <w:left w:val="none" w:sz="0" w:space="0" w:color="auto"/>
        <w:bottom w:val="none" w:sz="0" w:space="0" w:color="auto"/>
        <w:right w:val="none" w:sz="0" w:space="0" w:color="auto"/>
      </w:divBdr>
      <w:divsChild>
        <w:div w:id="1413315337">
          <w:marLeft w:val="0"/>
          <w:marRight w:val="0"/>
          <w:marTop w:val="0"/>
          <w:marBottom w:val="0"/>
          <w:divBdr>
            <w:top w:val="none" w:sz="0" w:space="0" w:color="auto"/>
            <w:left w:val="none" w:sz="0" w:space="0" w:color="auto"/>
            <w:bottom w:val="none" w:sz="0" w:space="0" w:color="auto"/>
            <w:right w:val="none" w:sz="0" w:space="0" w:color="auto"/>
          </w:divBdr>
          <w:divsChild>
            <w:div w:id="710231354">
              <w:marLeft w:val="0"/>
              <w:marRight w:val="0"/>
              <w:marTop w:val="0"/>
              <w:marBottom w:val="0"/>
              <w:divBdr>
                <w:top w:val="none" w:sz="0" w:space="0" w:color="auto"/>
                <w:left w:val="none" w:sz="0" w:space="0" w:color="auto"/>
                <w:bottom w:val="none" w:sz="0" w:space="0" w:color="auto"/>
                <w:right w:val="none" w:sz="0" w:space="0" w:color="auto"/>
              </w:divBdr>
              <w:divsChild>
                <w:div w:id="496773808">
                  <w:marLeft w:val="0"/>
                  <w:marRight w:val="0"/>
                  <w:marTop w:val="0"/>
                  <w:marBottom w:val="0"/>
                  <w:divBdr>
                    <w:top w:val="none" w:sz="0" w:space="0" w:color="auto"/>
                    <w:left w:val="none" w:sz="0" w:space="0" w:color="auto"/>
                    <w:bottom w:val="none" w:sz="0" w:space="0" w:color="auto"/>
                    <w:right w:val="none" w:sz="0" w:space="0" w:color="auto"/>
                  </w:divBdr>
                  <w:divsChild>
                    <w:div w:id="879126666">
                      <w:marLeft w:val="0"/>
                      <w:marRight w:val="0"/>
                      <w:marTop w:val="0"/>
                      <w:marBottom w:val="0"/>
                      <w:divBdr>
                        <w:top w:val="none" w:sz="0" w:space="0" w:color="auto"/>
                        <w:left w:val="none" w:sz="0" w:space="0" w:color="auto"/>
                        <w:bottom w:val="none" w:sz="0" w:space="0" w:color="auto"/>
                        <w:right w:val="none" w:sz="0" w:space="0" w:color="auto"/>
                      </w:divBdr>
                      <w:divsChild>
                        <w:div w:id="780614301">
                          <w:marLeft w:val="0"/>
                          <w:marRight w:val="0"/>
                          <w:marTop w:val="0"/>
                          <w:marBottom w:val="0"/>
                          <w:divBdr>
                            <w:top w:val="none" w:sz="0" w:space="0" w:color="auto"/>
                            <w:left w:val="none" w:sz="0" w:space="0" w:color="auto"/>
                            <w:bottom w:val="none" w:sz="0" w:space="0" w:color="auto"/>
                            <w:right w:val="none" w:sz="0" w:space="0" w:color="auto"/>
                          </w:divBdr>
                          <w:divsChild>
                            <w:div w:id="2064133851">
                              <w:marLeft w:val="0"/>
                              <w:marRight w:val="0"/>
                              <w:marTop w:val="0"/>
                              <w:marBottom w:val="0"/>
                              <w:divBdr>
                                <w:top w:val="none" w:sz="0" w:space="0" w:color="auto"/>
                                <w:left w:val="none" w:sz="0" w:space="0" w:color="auto"/>
                                <w:bottom w:val="none" w:sz="0" w:space="0" w:color="auto"/>
                                <w:right w:val="none" w:sz="0" w:space="0" w:color="auto"/>
                              </w:divBdr>
                              <w:divsChild>
                                <w:div w:id="1558084790">
                                  <w:marLeft w:val="0"/>
                                  <w:marRight w:val="0"/>
                                  <w:marTop w:val="0"/>
                                  <w:marBottom w:val="0"/>
                                  <w:divBdr>
                                    <w:top w:val="none" w:sz="0" w:space="0" w:color="auto"/>
                                    <w:left w:val="none" w:sz="0" w:space="0" w:color="auto"/>
                                    <w:bottom w:val="none" w:sz="0" w:space="0" w:color="auto"/>
                                    <w:right w:val="none" w:sz="0" w:space="0" w:color="auto"/>
                                  </w:divBdr>
                                  <w:divsChild>
                                    <w:div w:id="14412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013422">
      <w:bodyDiv w:val="1"/>
      <w:marLeft w:val="0"/>
      <w:marRight w:val="0"/>
      <w:marTop w:val="0"/>
      <w:marBottom w:val="0"/>
      <w:divBdr>
        <w:top w:val="none" w:sz="0" w:space="0" w:color="auto"/>
        <w:left w:val="none" w:sz="0" w:space="0" w:color="auto"/>
        <w:bottom w:val="none" w:sz="0" w:space="0" w:color="auto"/>
        <w:right w:val="none" w:sz="0" w:space="0" w:color="auto"/>
      </w:divBdr>
      <w:divsChild>
        <w:div w:id="1059087075">
          <w:marLeft w:val="0"/>
          <w:marRight w:val="0"/>
          <w:marTop w:val="0"/>
          <w:marBottom w:val="0"/>
          <w:divBdr>
            <w:top w:val="none" w:sz="0" w:space="0" w:color="auto"/>
            <w:left w:val="none" w:sz="0" w:space="0" w:color="auto"/>
            <w:bottom w:val="none" w:sz="0" w:space="0" w:color="auto"/>
            <w:right w:val="none" w:sz="0" w:space="0" w:color="auto"/>
          </w:divBdr>
          <w:divsChild>
            <w:div w:id="1912228597">
              <w:marLeft w:val="0"/>
              <w:marRight w:val="0"/>
              <w:marTop w:val="0"/>
              <w:marBottom w:val="0"/>
              <w:divBdr>
                <w:top w:val="none" w:sz="0" w:space="0" w:color="auto"/>
                <w:left w:val="none" w:sz="0" w:space="0" w:color="auto"/>
                <w:bottom w:val="none" w:sz="0" w:space="0" w:color="auto"/>
                <w:right w:val="none" w:sz="0" w:space="0" w:color="auto"/>
              </w:divBdr>
              <w:divsChild>
                <w:div w:id="443960138">
                  <w:marLeft w:val="0"/>
                  <w:marRight w:val="0"/>
                  <w:marTop w:val="0"/>
                  <w:marBottom w:val="0"/>
                  <w:divBdr>
                    <w:top w:val="none" w:sz="0" w:space="0" w:color="auto"/>
                    <w:left w:val="none" w:sz="0" w:space="0" w:color="auto"/>
                    <w:bottom w:val="none" w:sz="0" w:space="0" w:color="auto"/>
                    <w:right w:val="none" w:sz="0" w:space="0" w:color="auto"/>
                  </w:divBdr>
                  <w:divsChild>
                    <w:div w:id="1575630729">
                      <w:marLeft w:val="0"/>
                      <w:marRight w:val="0"/>
                      <w:marTop w:val="0"/>
                      <w:marBottom w:val="0"/>
                      <w:divBdr>
                        <w:top w:val="none" w:sz="0" w:space="0" w:color="auto"/>
                        <w:left w:val="none" w:sz="0" w:space="0" w:color="auto"/>
                        <w:bottom w:val="none" w:sz="0" w:space="0" w:color="auto"/>
                        <w:right w:val="none" w:sz="0" w:space="0" w:color="auto"/>
                      </w:divBdr>
                      <w:divsChild>
                        <w:div w:id="1921450870">
                          <w:marLeft w:val="0"/>
                          <w:marRight w:val="0"/>
                          <w:marTop w:val="0"/>
                          <w:marBottom w:val="0"/>
                          <w:divBdr>
                            <w:top w:val="none" w:sz="0" w:space="0" w:color="auto"/>
                            <w:left w:val="none" w:sz="0" w:space="0" w:color="auto"/>
                            <w:bottom w:val="none" w:sz="0" w:space="0" w:color="auto"/>
                            <w:right w:val="none" w:sz="0" w:space="0" w:color="auto"/>
                          </w:divBdr>
                          <w:divsChild>
                            <w:div w:id="1173032473">
                              <w:marLeft w:val="0"/>
                              <w:marRight w:val="0"/>
                              <w:marTop w:val="0"/>
                              <w:marBottom w:val="0"/>
                              <w:divBdr>
                                <w:top w:val="none" w:sz="0" w:space="0" w:color="auto"/>
                                <w:left w:val="none" w:sz="0" w:space="0" w:color="auto"/>
                                <w:bottom w:val="none" w:sz="0" w:space="0" w:color="auto"/>
                                <w:right w:val="none" w:sz="0" w:space="0" w:color="auto"/>
                              </w:divBdr>
                              <w:divsChild>
                                <w:div w:id="950164088">
                                  <w:marLeft w:val="0"/>
                                  <w:marRight w:val="0"/>
                                  <w:marTop w:val="0"/>
                                  <w:marBottom w:val="0"/>
                                  <w:divBdr>
                                    <w:top w:val="none" w:sz="0" w:space="0" w:color="auto"/>
                                    <w:left w:val="none" w:sz="0" w:space="0" w:color="auto"/>
                                    <w:bottom w:val="none" w:sz="0" w:space="0" w:color="auto"/>
                                    <w:right w:val="none" w:sz="0" w:space="0" w:color="auto"/>
                                  </w:divBdr>
                                  <w:divsChild>
                                    <w:div w:id="13393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383214">
      <w:bodyDiv w:val="1"/>
      <w:marLeft w:val="0"/>
      <w:marRight w:val="0"/>
      <w:marTop w:val="0"/>
      <w:marBottom w:val="0"/>
      <w:divBdr>
        <w:top w:val="none" w:sz="0" w:space="0" w:color="auto"/>
        <w:left w:val="none" w:sz="0" w:space="0" w:color="auto"/>
        <w:bottom w:val="none" w:sz="0" w:space="0" w:color="auto"/>
        <w:right w:val="none" w:sz="0" w:space="0" w:color="auto"/>
      </w:divBdr>
    </w:div>
    <w:div w:id="1156068448">
      <w:bodyDiv w:val="1"/>
      <w:marLeft w:val="0"/>
      <w:marRight w:val="0"/>
      <w:marTop w:val="0"/>
      <w:marBottom w:val="0"/>
      <w:divBdr>
        <w:top w:val="none" w:sz="0" w:space="0" w:color="auto"/>
        <w:left w:val="none" w:sz="0" w:space="0" w:color="auto"/>
        <w:bottom w:val="none" w:sz="0" w:space="0" w:color="auto"/>
        <w:right w:val="none" w:sz="0" w:space="0" w:color="auto"/>
      </w:divBdr>
      <w:divsChild>
        <w:div w:id="755369769">
          <w:marLeft w:val="0"/>
          <w:marRight w:val="0"/>
          <w:marTop w:val="0"/>
          <w:marBottom w:val="0"/>
          <w:divBdr>
            <w:top w:val="none" w:sz="0" w:space="0" w:color="auto"/>
            <w:left w:val="none" w:sz="0" w:space="0" w:color="auto"/>
            <w:bottom w:val="none" w:sz="0" w:space="0" w:color="auto"/>
            <w:right w:val="none" w:sz="0" w:space="0" w:color="auto"/>
          </w:divBdr>
          <w:divsChild>
            <w:div w:id="2035229763">
              <w:marLeft w:val="0"/>
              <w:marRight w:val="0"/>
              <w:marTop w:val="0"/>
              <w:marBottom w:val="0"/>
              <w:divBdr>
                <w:top w:val="none" w:sz="0" w:space="0" w:color="auto"/>
                <w:left w:val="none" w:sz="0" w:space="0" w:color="auto"/>
                <w:bottom w:val="none" w:sz="0" w:space="0" w:color="auto"/>
                <w:right w:val="none" w:sz="0" w:space="0" w:color="auto"/>
              </w:divBdr>
              <w:divsChild>
                <w:div w:id="209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6202">
      <w:bodyDiv w:val="1"/>
      <w:marLeft w:val="0"/>
      <w:marRight w:val="0"/>
      <w:marTop w:val="0"/>
      <w:marBottom w:val="0"/>
      <w:divBdr>
        <w:top w:val="none" w:sz="0" w:space="0" w:color="auto"/>
        <w:left w:val="none" w:sz="0" w:space="0" w:color="auto"/>
        <w:bottom w:val="none" w:sz="0" w:space="0" w:color="auto"/>
        <w:right w:val="none" w:sz="0" w:space="0" w:color="auto"/>
      </w:divBdr>
      <w:divsChild>
        <w:div w:id="1031222764">
          <w:marLeft w:val="0"/>
          <w:marRight w:val="0"/>
          <w:marTop w:val="0"/>
          <w:marBottom w:val="0"/>
          <w:divBdr>
            <w:top w:val="none" w:sz="0" w:space="0" w:color="auto"/>
            <w:left w:val="none" w:sz="0" w:space="0" w:color="auto"/>
            <w:bottom w:val="none" w:sz="0" w:space="0" w:color="auto"/>
            <w:right w:val="none" w:sz="0" w:space="0" w:color="auto"/>
          </w:divBdr>
          <w:divsChild>
            <w:div w:id="251667400">
              <w:marLeft w:val="0"/>
              <w:marRight w:val="0"/>
              <w:marTop w:val="0"/>
              <w:marBottom w:val="0"/>
              <w:divBdr>
                <w:top w:val="none" w:sz="0" w:space="0" w:color="auto"/>
                <w:left w:val="none" w:sz="0" w:space="0" w:color="auto"/>
                <w:bottom w:val="none" w:sz="0" w:space="0" w:color="auto"/>
                <w:right w:val="none" w:sz="0" w:space="0" w:color="auto"/>
              </w:divBdr>
              <w:divsChild>
                <w:div w:id="1668630019">
                  <w:marLeft w:val="0"/>
                  <w:marRight w:val="0"/>
                  <w:marTop w:val="150"/>
                  <w:marBottom w:val="0"/>
                  <w:divBdr>
                    <w:top w:val="none" w:sz="0" w:space="0" w:color="auto"/>
                    <w:left w:val="none" w:sz="0" w:space="0" w:color="auto"/>
                    <w:bottom w:val="none" w:sz="0" w:space="0" w:color="auto"/>
                    <w:right w:val="none" w:sz="0" w:space="0" w:color="auto"/>
                  </w:divBdr>
                  <w:divsChild>
                    <w:div w:id="1351882192">
                      <w:marLeft w:val="0"/>
                      <w:marRight w:val="0"/>
                      <w:marTop w:val="0"/>
                      <w:marBottom w:val="0"/>
                      <w:divBdr>
                        <w:top w:val="none" w:sz="0" w:space="0" w:color="auto"/>
                        <w:left w:val="none" w:sz="0" w:space="0" w:color="auto"/>
                        <w:bottom w:val="none" w:sz="0" w:space="0" w:color="auto"/>
                        <w:right w:val="none" w:sz="0" w:space="0" w:color="auto"/>
                      </w:divBdr>
                      <w:divsChild>
                        <w:div w:id="1688827497">
                          <w:marLeft w:val="0"/>
                          <w:marRight w:val="0"/>
                          <w:marTop w:val="0"/>
                          <w:marBottom w:val="0"/>
                          <w:divBdr>
                            <w:top w:val="none" w:sz="0" w:space="0" w:color="auto"/>
                            <w:left w:val="none" w:sz="0" w:space="0" w:color="auto"/>
                            <w:bottom w:val="none" w:sz="0" w:space="0" w:color="auto"/>
                            <w:right w:val="none" w:sz="0" w:space="0" w:color="auto"/>
                          </w:divBdr>
                          <w:divsChild>
                            <w:div w:id="1820001960">
                              <w:marLeft w:val="0"/>
                              <w:marRight w:val="0"/>
                              <w:marTop w:val="0"/>
                              <w:marBottom w:val="0"/>
                              <w:divBdr>
                                <w:top w:val="none" w:sz="0" w:space="0" w:color="auto"/>
                                <w:left w:val="none" w:sz="0" w:space="0" w:color="auto"/>
                                <w:bottom w:val="none" w:sz="0" w:space="0" w:color="auto"/>
                                <w:right w:val="none" w:sz="0" w:space="0" w:color="auto"/>
                              </w:divBdr>
                              <w:divsChild>
                                <w:div w:id="1464618596">
                                  <w:marLeft w:val="0"/>
                                  <w:marRight w:val="0"/>
                                  <w:marTop w:val="0"/>
                                  <w:marBottom w:val="0"/>
                                  <w:divBdr>
                                    <w:top w:val="none" w:sz="0" w:space="0" w:color="auto"/>
                                    <w:left w:val="none" w:sz="0" w:space="0" w:color="auto"/>
                                    <w:bottom w:val="none" w:sz="0" w:space="0" w:color="auto"/>
                                    <w:right w:val="none" w:sz="0" w:space="0" w:color="auto"/>
                                  </w:divBdr>
                                  <w:divsChild>
                                    <w:div w:id="1415004957">
                                      <w:marLeft w:val="0"/>
                                      <w:marRight w:val="0"/>
                                      <w:marTop w:val="0"/>
                                      <w:marBottom w:val="0"/>
                                      <w:divBdr>
                                        <w:top w:val="single" w:sz="36" w:space="0" w:color="AEC782"/>
                                        <w:left w:val="none" w:sz="0" w:space="0" w:color="auto"/>
                                        <w:bottom w:val="none" w:sz="0" w:space="0" w:color="auto"/>
                                        <w:right w:val="none" w:sz="0" w:space="0" w:color="auto"/>
                                      </w:divBdr>
                                      <w:divsChild>
                                        <w:div w:id="2087416055">
                                          <w:marLeft w:val="0"/>
                                          <w:marRight w:val="0"/>
                                          <w:marTop w:val="0"/>
                                          <w:marBottom w:val="0"/>
                                          <w:divBdr>
                                            <w:top w:val="none" w:sz="0" w:space="0" w:color="auto"/>
                                            <w:left w:val="none" w:sz="0" w:space="0" w:color="auto"/>
                                            <w:bottom w:val="none" w:sz="0" w:space="0" w:color="auto"/>
                                            <w:right w:val="none" w:sz="0" w:space="0" w:color="auto"/>
                                          </w:divBdr>
                                          <w:divsChild>
                                            <w:div w:id="1957831068">
                                              <w:marLeft w:val="0"/>
                                              <w:marRight w:val="0"/>
                                              <w:marTop w:val="0"/>
                                              <w:marBottom w:val="0"/>
                                              <w:divBdr>
                                                <w:top w:val="none" w:sz="0" w:space="0" w:color="auto"/>
                                                <w:left w:val="none" w:sz="0" w:space="0" w:color="auto"/>
                                                <w:bottom w:val="none" w:sz="0" w:space="0" w:color="auto"/>
                                                <w:right w:val="none" w:sz="0" w:space="0" w:color="auto"/>
                                              </w:divBdr>
                                              <w:divsChild>
                                                <w:div w:id="517472362">
                                                  <w:marLeft w:val="0"/>
                                                  <w:marRight w:val="0"/>
                                                  <w:marTop w:val="0"/>
                                                  <w:marBottom w:val="0"/>
                                                  <w:divBdr>
                                                    <w:top w:val="none" w:sz="0" w:space="0" w:color="auto"/>
                                                    <w:left w:val="none" w:sz="0" w:space="0" w:color="auto"/>
                                                    <w:bottom w:val="none" w:sz="0" w:space="0" w:color="auto"/>
                                                    <w:right w:val="none" w:sz="0" w:space="0" w:color="auto"/>
                                                  </w:divBdr>
                                                  <w:divsChild>
                                                    <w:div w:id="142310573">
                                                      <w:marLeft w:val="0"/>
                                                      <w:marRight w:val="0"/>
                                                      <w:marTop w:val="0"/>
                                                      <w:marBottom w:val="0"/>
                                                      <w:divBdr>
                                                        <w:top w:val="none" w:sz="0" w:space="0" w:color="auto"/>
                                                        <w:left w:val="none" w:sz="0" w:space="0" w:color="auto"/>
                                                        <w:bottom w:val="none" w:sz="0" w:space="0" w:color="auto"/>
                                                        <w:right w:val="none" w:sz="0" w:space="0" w:color="auto"/>
                                                      </w:divBdr>
                                                      <w:divsChild>
                                                        <w:div w:id="8957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734559">
      <w:bodyDiv w:val="1"/>
      <w:marLeft w:val="0"/>
      <w:marRight w:val="0"/>
      <w:marTop w:val="0"/>
      <w:marBottom w:val="0"/>
      <w:divBdr>
        <w:top w:val="none" w:sz="0" w:space="0" w:color="auto"/>
        <w:left w:val="none" w:sz="0" w:space="0" w:color="auto"/>
        <w:bottom w:val="none" w:sz="0" w:space="0" w:color="auto"/>
        <w:right w:val="none" w:sz="0" w:space="0" w:color="auto"/>
      </w:divBdr>
    </w:div>
    <w:div w:id="1247568278">
      <w:bodyDiv w:val="1"/>
      <w:marLeft w:val="0"/>
      <w:marRight w:val="0"/>
      <w:marTop w:val="0"/>
      <w:marBottom w:val="0"/>
      <w:divBdr>
        <w:top w:val="none" w:sz="0" w:space="0" w:color="auto"/>
        <w:left w:val="none" w:sz="0" w:space="0" w:color="auto"/>
        <w:bottom w:val="none" w:sz="0" w:space="0" w:color="auto"/>
        <w:right w:val="none" w:sz="0" w:space="0" w:color="auto"/>
      </w:divBdr>
      <w:divsChild>
        <w:div w:id="1475216170">
          <w:marLeft w:val="0"/>
          <w:marRight w:val="0"/>
          <w:marTop w:val="0"/>
          <w:marBottom w:val="0"/>
          <w:divBdr>
            <w:top w:val="none" w:sz="0" w:space="0" w:color="auto"/>
            <w:left w:val="none" w:sz="0" w:space="0" w:color="auto"/>
            <w:bottom w:val="none" w:sz="0" w:space="0" w:color="auto"/>
            <w:right w:val="none" w:sz="0" w:space="0" w:color="auto"/>
          </w:divBdr>
          <w:divsChild>
            <w:div w:id="1865897865">
              <w:marLeft w:val="0"/>
              <w:marRight w:val="0"/>
              <w:marTop w:val="0"/>
              <w:marBottom w:val="0"/>
              <w:divBdr>
                <w:top w:val="none" w:sz="0" w:space="0" w:color="auto"/>
                <w:left w:val="none" w:sz="0" w:space="0" w:color="auto"/>
                <w:bottom w:val="none" w:sz="0" w:space="0" w:color="auto"/>
                <w:right w:val="none" w:sz="0" w:space="0" w:color="auto"/>
              </w:divBdr>
            </w:div>
          </w:divsChild>
        </w:div>
        <w:div w:id="1637755055">
          <w:marLeft w:val="0"/>
          <w:marRight w:val="0"/>
          <w:marTop w:val="0"/>
          <w:marBottom w:val="0"/>
          <w:divBdr>
            <w:top w:val="none" w:sz="0" w:space="0" w:color="auto"/>
            <w:left w:val="none" w:sz="0" w:space="0" w:color="auto"/>
            <w:bottom w:val="none" w:sz="0" w:space="0" w:color="auto"/>
            <w:right w:val="none" w:sz="0" w:space="0" w:color="auto"/>
          </w:divBdr>
          <w:divsChild>
            <w:div w:id="4138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2215">
      <w:bodyDiv w:val="1"/>
      <w:marLeft w:val="0"/>
      <w:marRight w:val="0"/>
      <w:marTop w:val="0"/>
      <w:marBottom w:val="0"/>
      <w:divBdr>
        <w:top w:val="none" w:sz="0" w:space="0" w:color="auto"/>
        <w:left w:val="none" w:sz="0" w:space="0" w:color="auto"/>
        <w:bottom w:val="none" w:sz="0" w:space="0" w:color="auto"/>
        <w:right w:val="none" w:sz="0" w:space="0" w:color="auto"/>
      </w:divBdr>
      <w:divsChild>
        <w:div w:id="318463028">
          <w:marLeft w:val="0"/>
          <w:marRight w:val="0"/>
          <w:marTop w:val="0"/>
          <w:marBottom w:val="0"/>
          <w:divBdr>
            <w:top w:val="none" w:sz="0" w:space="0" w:color="auto"/>
            <w:left w:val="none" w:sz="0" w:space="0" w:color="auto"/>
            <w:bottom w:val="none" w:sz="0" w:space="0" w:color="auto"/>
            <w:right w:val="none" w:sz="0" w:space="0" w:color="auto"/>
          </w:divBdr>
          <w:divsChild>
            <w:div w:id="776757415">
              <w:marLeft w:val="0"/>
              <w:marRight w:val="0"/>
              <w:marTop w:val="0"/>
              <w:marBottom w:val="0"/>
              <w:divBdr>
                <w:top w:val="none" w:sz="0" w:space="0" w:color="auto"/>
                <w:left w:val="none" w:sz="0" w:space="0" w:color="auto"/>
                <w:bottom w:val="none" w:sz="0" w:space="0" w:color="auto"/>
                <w:right w:val="none" w:sz="0" w:space="0" w:color="auto"/>
              </w:divBdr>
              <w:divsChild>
                <w:div w:id="855265555">
                  <w:marLeft w:val="0"/>
                  <w:marRight w:val="0"/>
                  <w:marTop w:val="0"/>
                  <w:marBottom w:val="0"/>
                  <w:divBdr>
                    <w:top w:val="none" w:sz="0" w:space="0" w:color="auto"/>
                    <w:left w:val="none" w:sz="0" w:space="0" w:color="auto"/>
                    <w:bottom w:val="none" w:sz="0" w:space="0" w:color="auto"/>
                    <w:right w:val="none" w:sz="0" w:space="0" w:color="auto"/>
                  </w:divBdr>
                </w:div>
                <w:div w:id="14148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3">
      <w:bodyDiv w:val="1"/>
      <w:marLeft w:val="0"/>
      <w:marRight w:val="0"/>
      <w:marTop w:val="0"/>
      <w:marBottom w:val="0"/>
      <w:divBdr>
        <w:top w:val="none" w:sz="0" w:space="0" w:color="auto"/>
        <w:left w:val="none" w:sz="0" w:space="0" w:color="auto"/>
        <w:bottom w:val="none" w:sz="0" w:space="0" w:color="auto"/>
        <w:right w:val="none" w:sz="0" w:space="0" w:color="auto"/>
      </w:divBdr>
      <w:divsChild>
        <w:div w:id="1888906927">
          <w:marLeft w:val="0"/>
          <w:marRight w:val="0"/>
          <w:marTop w:val="0"/>
          <w:marBottom w:val="0"/>
          <w:divBdr>
            <w:top w:val="none" w:sz="0" w:space="0" w:color="auto"/>
            <w:left w:val="none" w:sz="0" w:space="0" w:color="auto"/>
            <w:bottom w:val="none" w:sz="0" w:space="0" w:color="auto"/>
            <w:right w:val="none" w:sz="0" w:space="0" w:color="auto"/>
          </w:divBdr>
          <w:divsChild>
            <w:div w:id="213078038">
              <w:marLeft w:val="0"/>
              <w:marRight w:val="0"/>
              <w:marTop w:val="0"/>
              <w:marBottom w:val="0"/>
              <w:divBdr>
                <w:top w:val="none" w:sz="0" w:space="0" w:color="auto"/>
                <w:left w:val="none" w:sz="0" w:space="0" w:color="auto"/>
                <w:bottom w:val="none" w:sz="0" w:space="0" w:color="auto"/>
                <w:right w:val="none" w:sz="0" w:space="0" w:color="auto"/>
              </w:divBdr>
              <w:divsChild>
                <w:div w:id="1661809781">
                  <w:marLeft w:val="0"/>
                  <w:marRight w:val="0"/>
                  <w:marTop w:val="0"/>
                  <w:marBottom w:val="0"/>
                  <w:divBdr>
                    <w:top w:val="none" w:sz="0" w:space="0" w:color="auto"/>
                    <w:left w:val="none" w:sz="0" w:space="0" w:color="auto"/>
                    <w:bottom w:val="none" w:sz="0" w:space="0" w:color="auto"/>
                    <w:right w:val="none" w:sz="0" w:space="0" w:color="auto"/>
                  </w:divBdr>
                  <w:divsChild>
                    <w:div w:id="20178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2793">
          <w:marLeft w:val="0"/>
          <w:marRight w:val="0"/>
          <w:marTop w:val="0"/>
          <w:marBottom w:val="0"/>
          <w:divBdr>
            <w:top w:val="none" w:sz="0" w:space="0" w:color="auto"/>
            <w:left w:val="none" w:sz="0" w:space="0" w:color="auto"/>
            <w:bottom w:val="none" w:sz="0" w:space="0" w:color="auto"/>
            <w:right w:val="none" w:sz="0" w:space="0" w:color="auto"/>
          </w:divBdr>
          <w:divsChild>
            <w:div w:id="933826746">
              <w:marLeft w:val="0"/>
              <w:marRight w:val="0"/>
              <w:marTop w:val="0"/>
              <w:marBottom w:val="0"/>
              <w:divBdr>
                <w:top w:val="none" w:sz="0" w:space="0" w:color="auto"/>
                <w:left w:val="none" w:sz="0" w:space="0" w:color="auto"/>
                <w:bottom w:val="none" w:sz="0" w:space="0" w:color="auto"/>
                <w:right w:val="none" w:sz="0" w:space="0" w:color="auto"/>
              </w:divBdr>
              <w:divsChild>
                <w:div w:id="13852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456">
          <w:marLeft w:val="0"/>
          <w:marRight w:val="0"/>
          <w:marTop w:val="0"/>
          <w:marBottom w:val="0"/>
          <w:divBdr>
            <w:top w:val="none" w:sz="0" w:space="0" w:color="auto"/>
            <w:left w:val="none" w:sz="0" w:space="0" w:color="auto"/>
            <w:bottom w:val="none" w:sz="0" w:space="0" w:color="auto"/>
            <w:right w:val="none" w:sz="0" w:space="0" w:color="auto"/>
          </w:divBdr>
        </w:div>
      </w:divsChild>
    </w:div>
    <w:div w:id="1338197070">
      <w:bodyDiv w:val="1"/>
      <w:marLeft w:val="0"/>
      <w:marRight w:val="0"/>
      <w:marTop w:val="0"/>
      <w:marBottom w:val="0"/>
      <w:divBdr>
        <w:top w:val="none" w:sz="0" w:space="0" w:color="auto"/>
        <w:left w:val="none" w:sz="0" w:space="0" w:color="auto"/>
        <w:bottom w:val="none" w:sz="0" w:space="0" w:color="auto"/>
        <w:right w:val="none" w:sz="0" w:space="0" w:color="auto"/>
      </w:divBdr>
      <w:divsChild>
        <w:div w:id="1726249411">
          <w:marLeft w:val="0"/>
          <w:marRight w:val="0"/>
          <w:marTop w:val="0"/>
          <w:marBottom w:val="0"/>
          <w:divBdr>
            <w:top w:val="none" w:sz="0" w:space="0" w:color="auto"/>
            <w:left w:val="none" w:sz="0" w:space="0" w:color="auto"/>
            <w:bottom w:val="none" w:sz="0" w:space="0" w:color="auto"/>
            <w:right w:val="none" w:sz="0" w:space="0" w:color="auto"/>
          </w:divBdr>
          <w:divsChild>
            <w:div w:id="987902765">
              <w:marLeft w:val="0"/>
              <w:marRight w:val="0"/>
              <w:marTop w:val="0"/>
              <w:marBottom w:val="0"/>
              <w:divBdr>
                <w:top w:val="none" w:sz="0" w:space="0" w:color="auto"/>
                <w:left w:val="none" w:sz="0" w:space="0" w:color="auto"/>
                <w:bottom w:val="none" w:sz="0" w:space="0" w:color="auto"/>
                <w:right w:val="none" w:sz="0" w:space="0" w:color="auto"/>
              </w:divBdr>
              <w:divsChild>
                <w:div w:id="2043281916">
                  <w:marLeft w:val="0"/>
                  <w:marRight w:val="0"/>
                  <w:marTop w:val="150"/>
                  <w:marBottom w:val="0"/>
                  <w:divBdr>
                    <w:top w:val="none" w:sz="0" w:space="0" w:color="auto"/>
                    <w:left w:val="none" w:sz="0" w:space="0" w:color="auto"/>
                    <w:bottom w:val="none" w:sz="0" w:space="0" w:color="auto"/>
                    <w:right w:val="none" w:sz="0" w:space="0" w:color="auto"/>
                  </w:divBdr>
                  <w:divsChild>
                    <w:div w:id="2088066491">
                      <w:marLeft w:val="0"/>
                      <w:marRight w:val="0"/>
                      <w:marTop w:val="0"/>
                      <w:marBottom w:val="0"/>
                      <w:divBdr>
                        <w:top w:val="none" w:sz="0" w:space="0" w:color="auto"/>
                        <w:left w:val="none" w:sz="0" w:space="0" w:color="auto"/>
                        <w:bottom w:val="none" w:sz="0" w:space="0" w:color="auto"/>
                        <w:right w:val="none" w:sz="0" w:space="0" w:color="auto"/>
                      </w:divBdr>
                      <w:divsChild>
                        <w:div w:id="605773477">
                          <w:marLeft w:val="0"/>
                          <w:marRight w:val="0"/>
                          <w:marTop w:val="0"/>
                          <w:marBottom w:val="0"/>
                          <w:divBdr>
                            <w:top w:val="none" w:sz="0" w:space="0" w:color="auto"/>
                            <w:left w:val="none" w:sz="0" w:space="0" w:color="auto"/>
                            <w:bottom w:val="none" w:sz="0" w:space="0" w:color="auto"/>
                            <w:right w:val="none" w:sz="0" w:space="0" w:color="auto"/>
                          </w:divBdr>
                          <w:divsChild>
                            <w:div w:id="1804956597">
                              <w:marLeft w:val="0"/>
                              <w:marRight w:val="0"/>
                              <w:marTop w:val="0"/>
                              <w:marBottom w:val="0"/>
                              <w:divBdr>
                                <w:top w:val="none" w:sz="0" w:space="0" w:color="auto"/>
                                <w:left w:val="none" w:sz="0" w:space="0" w:color="auto"/>
                                <w:bottom w:val="none" w:sz="0" w:space="0" w:color="auto"/>
                                <w:right w:val="none" w:sz="0" w:space="0" w:color="auto"/>
                              </w:divBdr>
                              <w:divsChild>
                                <w:div w:id="1436825717">
                                  <w:marLeft w:val="0"/>
                                  <w:marRight w:val="0"/>
                                  <w:marTop w:val="0"/>
                                  <w:marBottom w:val="0"/>
                                  <w:divBdr>
                                    <w:top w:val="none" w:sz="0" w:space="0" w:color="auto"/>
                                    <w:left w:val="none" w:sz="0" w:space="0" w:color="auto"/>
                                    <w:bottom w:val="none" w:sz="0" w:space="0" w:color="auto"/>
                                    <w:right w:val="none" w:sz="0" w:space="0" w:color="auto"/>
                                  </w:divBdr>
                                  <w:divsChild>
                                    <w:div w:id="418647420">
                                      <w:marLeft w:val="0"/>
                                      <w:marRight w:val="0"/>
                                      <w:marTop w:val="0"/>
                                      <w:marBottom w:val="0"/>
                                      <w:divBdr>
                                        <w:top w:val="single" w:sz="36" w:space="0" w:color="AEC782"/>
                                        <w:left w:val="none" w:sz="0" w:space="0" w:color="auto"/>
                                        <w:bottom w:val="none" w:sz="0" w:space="0" w:color="auto"/>
                                        <w:right w:val="none" w:sz="0" w:space="0" w:color="auto"/>
                                      </w:divBdr>
                                      <w:divsChild>
                                        <w:div w:id="784497303">
                                          <w:marLeft w:val="0"/>
                                          <w:marRight w:val="0"/>
                                          <w:marTop w:val="0"/>
                                          <w:marBottom w:val="0"/>
                                          <w:divBdr>
                                            <w:top w:val="none" w:sz="0" w:space="0" w:color="auto"/>
                                            <w:left w:val="none" w:sz="0" w:space="0" w:color="auto"/>
                                            <w:bottom w:val="none" w:sz="0" w:space="0" w:color="auto"/>
                                            <w:right w:val="none" w:sz="0" w:space="0" w:color="auto"/>
                                          </w:divBdr>
                                          <w:divsChild>
                                            <w:div w:id="2861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388544">
      <w:bodyDiv w:val="1"/>
      <w:marLeft w:val="0"/>
      <w:marRight w:val="0"/>
      <w:marTop w:val="0"/>
      <w:marBottom w:val="0"/>
      <w:divBdr>
        <w:top w:val="none" w:sz="0" w:space="0" w:color="auto"/>
        <w:left w:val="none" w:sz="0" w:space="0" w:color="auto"/>
        <w:bottom w:val="none" w:sz="0" w:space="0" w:color="auto"/>
        <w:right w:val="none" w:sz="0" w:space="0" w:color="auto"/>
      </w:divBdr>
      <w:divsChild>
        <w:div w:id="1496148738">
          <w:marLeft w:val="0"/>
          <w:marRight w:val="0"/>
          <w:marTop w:val="0"/>
          <w:marBottom w:val="0"/>
          <w:divBdr>
            <w:top w:val="none" w:sz="0" w:space="0" w:color="auto"/>
            <w:left w:val="none" w:sz="0" w:space="0" w:color="auto"/>
            <w:bottom w:val="none" w:sz="0" w:space="0" w:color="auto"/>
            <w:right w:val="none" w:sz="0" w:space="0" w:color="auto"/>
          </w:divBdr>
          <w:divsChild>
            <w:div w:id="297345439">
              <w:marLeft w:val="0"/>
              <w:marRight w:val="0"/>
              <w:marTop w:val="0"/>
              <w:marBottom w:val="0"/>
              <w:divBdr>
                <w:top w:val="none" w:sz="0" w:space="0" w:color="auto"/>
                <w:left w:val="none" w:sz="0" w:space="0" w:color="auto"/>
                <w:bottom w:val="none" w:sz="0" w:space="0" w:color="auto"/>
                <w:right w:val="none" w:sz="0" w:space="0" w:color="auto"/>
              </w:divBdr>
              <w:divsChild>
                <w:div w:id="1469011544">
                  <w:marLeft w:val="0"/>
                  <w:marRight w:val="0"/>
                  <w:marTop w:val="0"/>
                  <w:marBottom w:val="0"/>
                  <w:divBdr>
                    <w:top w:val="none" w:sz="0" w:space="0" w:color="auto"/>
                    <w:left w:val="none" w:sz="0" w:space="0" w:color="auto"/>
                    <w:bottom w:val="none" w:sz="0" w:space="0" w:color="auto"/>
                    <w:right w:val="none" w:sz="0" w:space="0" w:color="auto"/>
                  </w:divBdr>
                  <w:divsChild>
                    <w:div w:id="1443720075">
                      <w:marLeft w:val="0"/>
                      <w:marRight w:val="0"/>
                      <w:marTop w:val="0"/>
                      <w:marBottom w:val="0"/>
                      <w:divBdr>
                        <w:top w:val="none" w:sz="0" w:space="0" w:color="auto"/>
                        <w:left w:val="none" w:sz="0" w:space="0" w:color="auto"/>
                        <w:bottom w:val="none" w:sz="0" w:space="0" w:color="auto"/>
                        <w:right w:val="none" w:sz="0" w:space="0" w:color="auto"/>
                      </w:divBdr>
                      <w:divsChild>
                        <w:div w:id="1903059213">
                          <w:marLeft w:val="0"/>
                          <w:marRight w:val="0"/>
                          <w:marTop w:val="0"/>
                          <w:marBottom w:val="0"/>
                          <w:divBdr>
                            <w:top w:val="none" w:sz="0" w:space="0" w:color="auto"/>
                            <w:left w:val="none" w:sz="0" w:space="0" w:color="auto"/>
                            <w:bottom w:val="none" w:sz="0" w:space="0" w:color="auto"/>
                            <w:right w:val="none" w:sz="0" w:space="0" w:color="auto"/>
                          </w:divBdr>
                          <w:divsChild>
                            <w:div w:id="910774691">
                              <w:marLeft w:val="0"/>
                              <w:marRight w:val="0"/>
                              <w:marTop w:val="0"/>
                              <w:marBottom w:val="0"/>
                              <w:divBdr>
                                <w:top w:val="none" w:sz="0" w:space="0" w:color="auto"/>
                                <w:left w:val="none" w:sz="0" w:space="0" w:color="auto"/>
                                <w:bottom w:val="none" w:sz="0" w:space="0" w:color="auto"/>
                                <w:right w:val="none" w:sz="0" w:space="0" w:color="auto"/>
                              </w:divBdr>
                              <w:divsChild>
                                <w:div w:id="451019304">
                                  <w:marLeft w:val="0"/>
                                  <w:marRight w:val="0"/>
                                  <w:marTop w:val="0"/>
                                  <w:marBottom w:val="0"/>
                                  <w:divBdr>
                                    <w:top w:val="none" w:sz="0" w:space="0" w:color="auto"/>
                                    <w:left w:val="none" w:sz="0" w:space="0" w:color="auto"/>
                                    <w:bottom w:val="none" w:sz="0" w:space="0" w:color="auto"/>
                                    <w:right w:val="none" w:sz="0" w:space="0" w:color="auto"/>
                                  </w:divBdr>
                                  <w:divsChild>
                                    <w:div w:id="14257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45093">
      <w:bodyDiv w:val="1"/>
      <w:marLeft w:val="0"/>
      <w:marRight w:val="0"/>
      <w:marTop w:val="0"/>
      <w:marBottom w:val="0"/>
      <w:divBdr>
        <w:top w:val="none" w:sz="0" w:space="0" w:color="auto"/>
        <w:left w:val="none" w:sz="0" w:space="0" w:color="auto"/>
        <w:bottom w:val="none" w:sz="0" w:space="0" w:color="auto"/>
        <w:right w:val="none" w:sz="0" w:space="0" w:color="auto"/>
      </w:divBdr>
    </w:div>
    <w:div w:id="1481997604">
      <w:bodyDiv w:val="1"/>
      <w:marLeft w:val="0"/>
      <w:marRight w:val="0"/>
      <w:marTop w:val="0"/>
      <w:marBottom w:val="0"/>
      <w:divBdr>
        <w:top w:val="none" w:sz="0" w:space="0" w:color="auto"/>
        <w:left w:val="none" w:sz="0" w:space="0" w:color="auto"/>
        <w:bottom w:val="none" w:sz="0" w:space="0" w:color="auto"/>
        <w:right w:val="none" w:sz="0" w:space="0" w:color="auto"/>
      </w:divBdr>
    </w:div>
    <w:div w:id="1500534333">
      <w:bodyDiv w:val="1"/>
      <w:marLeft w:val="0"/>
      <w:marRight w:val="0"/>
      <w:marTop w:val="0"/>
      <w:marBottom w:val="0"/>
      <w:divBdr>
        <w:top w:val="none" w:sz="0" w:space="0" w:color="auto"/>
        <w:left w:val="none" w:sz="0" w:space="0" w:color="auto"/>
        <w:bottom w:val="none" w:sz="0" w:space="0" w:color="auto"/>
        <w:right w:val="none" w:sz="0" w:space="0" w:color="auto"/>
      </w:divBdr>
      <w:divsChild>
        <w:div w:id="10223882">
          <w:marLeft w:val="0"/>
          <w:marRight w:val="0"/>
          <w:marTop w:val="0"/>
          <w:marBottom w:val="0"/>
          <w:divBdr>
            <w:top w:val="none" w:sz="0" w:space="0" w:color="auto"/>
            <w:left w:val="none" w:sz="0" w:space="0" w:color="auto"/>
            <w:bottom w:val="none" w:sz="0" w:space="0" w:color="auto"/>
            <w:right w:val="none" w:sz="0" w:space="0" w:color="auto"/>
          </w:divBdr>
          <w:divsChild>
            <w:div w:id="1195847036">
              <w:marLeft w:val="0"/>
              <w:marRight w:val="0"/>
              <w:marTop w:val="0"/>
              <w:marBottom w:val="0"/>
              <w:divBdr>
                <w:top w:val="none" w:sz="0" w:space="0" w:color="auto"/>
                <w:left w:val="none" w:sz="0" w:space="0" w:color="auto"/>
                <w:bottom w:val="none" w:sz="0" w:space="0" w:color="auto"/>
                <w:right w:val="none" w:sz="0" w:space="0" w:color="auto"/>
              </w:divBdr>
              <w:divsChild>
                <w:div w:id="2121684206">
                  <w:marLeft w:val="0"/>
                  <w:marRight w:val="0"/>
                  <w:marTop w:val="0"/>
                  <w:marBottom w:val="0"/>
                  <w:divBdr>
                    <w:top w:val="none" w:sz="0" w:space="0" w:color="auto"/>
                    <w:left w:val="none" w:sz="0" w:space="0" w:color="auto"/>
                    <w:bottom w:val="none" w:sz="0" w:space="0" w:color="auto"/>
                    <w:right w:val="none" w:sz="0" w:space="0" w:color="auto"/>
                  </w:divBdr>
                  <w:divsChild>
                    <w:div w:id="757361148">
                      <w:marLeft w:val="0"/>
                      <w:marRight w:val="0"/>
                      <w:marTop w:val="0"/>
                      <w:marBottom w:val="0"/>
                      <w:divBdr>
                        <w:top w:val="none" w:sz="0" w:space="0" w:color="auto"/>
                        <w:left w:val="none" w:sz="0" w:space="0" w:color="auto"/>
                        <w:bottom w:val="none" w:sz="0" w:space="0" w:color="auto"/>
                        <w:right w:val="none" w:sz="0" w:space="0" w:color="auto"/>
                      </w:divBdr>
                      <w:divsChild>
                        <w:div w:id="1187327777">
                          <w:marLeft w:val="0"/>
                          <w:marRight w:val="0"/>
                          <w:marTop w:val="0"/>
                          <w:marBottom w:val="0"/>
                          <w:divBdr>
                            <w:top w:val="none" w:sz="0" w:space="0" w:color="auto"/>
                            <w:left w:val="none" w:sz="0" w:space="0" w:color="auto"/>
                            <w:bottom w:val="none" w:sz="0" w:space="0" w:color="auto"/>
                            <w:right w:val="none" w:sz="0" w:space="0" w:color="auto"/>
                          </w:divBdr>
                          <w:divsChild>
                            <w:div w:id="1918635871">
                              <w:marLeft w:val="0"/>
                              <w:marRight w:val="0"/>
                              <w:marTop w:val="0"/>
                              <w:marBottom w:val="0"/>
                              <w:divBdr>
                                <w:top w:val="none" w:sz="0" w:space="0" w:color="auto"/>
                                <w:left w:val="none" w:sz="0" w:space="0" w:color="auto"/>
                                <w:bottom w:val="none" w:sz="0" w:space="0" w:color="auto"/>
                                <w:right w:val="none" w:sz="0" w:space="0" w:color="auto"/>
                              </w:divBdr>
                              <w:divsChild>
                                <w:div w:id="375353058">
                                  <w:marLeft w:val="0"/>
                                  <w:marRight w:val="0"/>
                                  <w:marTop w:val="0"/>
                                  <w:marBottom w:val="0"/>
                                  <w:divBdr>
                                    <w:top w:val="none" w:sz="0" w:space="0" w:color="auto"/>
                                    <w:left w:val="none" w:sz="0" w:space="0" w:color="auto"/>
                                    <w:bottom w:val="none" w:sz="0" w:space="0" w:color="auto"/>
                                    <w:right w:val="none" w:sz="0" w:space="0" w:color="auto"/>
                                  </w:divBdr>
                                  <w:divsChild>
                                    <w:div w:id="20901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685886">
      <w:bodyDiv w:val="1"/>
      <w:marLeft w:val="0"/>
      <w:marRight w:val="0"/>
      <w:marTop w:val="0"/>
      <w:marBottom w:val="0"/>
      <w:divBdr>
        <w:top w:val="none" w:sz="0" w:space="0" w:color="auto"/>
        <w:left w:val="none" w:sz="0" w:space="0" w:color="auto"/>
        <w:bottom w:val="none" w:sz="0" w:space="0" w:color="auto"/>
        <w:right w:val="none" w:sz="0" w:space="0" w:color="auto"/>
      </w:divBdr>
      <w:divsChild>
        <w:div w:id="1988969392">
          <w:marLeft w:val="0"/>
          <w:marRight w:val="0"/>
          <w:marTop w:val="0"/>
          <w:marBottom w:val="0"/>
          <w:divBdr>
            <w:top w:val="none" w:sz="0" w:space="0" w:color="auto"/>
            <w:left w:val="none" w:sz="0" w:space="0" w:color="auto"/>
            <w:bottom w:val="none" w:sz="0" w:space="0" w:color="auto"/>
            <w:right w:val="none" w:sz="0" w:space="0" w:color="auto"/>
          </w:divBdr>
          <w:divsChild>
            <w:div w:id="1651596961">
              <w:marLeft w:val="0"/>
              <w:marRight w:val="0"/>
              <w:marTop w:val="0"/>
              <w:marBottom w:val="0"/>
              <w:divBdr>
                <w:top w:val="none" w:sz="0" w:space="0" w:color="auto"/>
                <w:left w:val="none" w:sz="0" w:space="0" w:color="auto"/>
                <w:bottom w:val="none" w:sz="0" w:space="0" w:color="auto"/>
                <w:right w:val="none" w:sz="0" w:space="0" w:color="auto"/>
              </w:divBdr>
              <w:divsChild>
                <w:div w:id="247618038">
                  <w:marLeft w:val="0"/>
                  <w:marRight w:val="0"/>
                  <w:marTop w:val="0"/>
                  <w:marBottom w:val="0"/>
                  <w:divBdr>
                    <w:top w:val="none" w:sz="0" w:space="0" w:color="auto"/>
                    <w:left w:val="none" w:sz="0" w:space="0" w:color="auto"/>
                    <w:bottom w:val="none" w:sz="0" w:space="0" w:color="auto"/>
                    <w:right w:val="none" w:sz="0" w:space="0" w:color="auto"/>
                  </w:divBdr>
                  <w:divsChild>
                    <w:div w:id="870265800">
                      <w:marLeft w:val="0"/>
                      <w:marRight w:val="0"/>
                      <w:marTop w:val="0"/>
                      <w:marBottom w:val="0"/>
                      <w:divBdr>
                        <w:top w:val="none" w:sz="0" w:space="0" w:color="auto"/>
                        <w:left w:val="none" w:sz="0" w:space="0" w:color="auto"/>
                        <w:bottom w:val="none" w:sz="0" w:space="0" w:color="auto"/>
                        <w:right w:val="none" w:sz="0" w:space="0" w:color="auto"/>
                      </w:divBdr>
                      <w:divsChild>
                        <w:div w:id="695693912">
                          <w:marLeft w:val="0"/>
                          <w:marRight w:val="0"/>
                          <w:marTop w:val="0"/>
                          <w:marBottom w:val="0"/>
                          <w:divBdr>
                            <w:top w:val="none" w:sz="0" w:space="0" w:color="auto"/>
                            <w:left w:val="none" w:sz="0" w:space="0" w:color="auto"/>
                            <w:bottom w:val="none" w:sz="0" w:space="0" w:color="auto"/>
                            <w:right w:val="none" w:sz="0" w:space="0" w:color="auto"/>
                          </w:divBdr>
                          <w:divsChild>
                            <w:div w:id="983506206">
                              <w:marLeft w:val="0"/>
                              <w:marRight w:val="0"/>
                              <w:marTop w:val="0"/>
                              <w:marBottom w:val="0"/>
                              <w:divBdr>
                                <w:top w:val="none" w:sz="0" w:space="0" w:color="auto"/>
                                <w:left w:val="none" w:sz="0" w:space="0" w:color="auto"/>
                                <w:bottom w:val="none" w:sz="0" w:space="0" w:color="auto"/>
                                <w:right w:val="none" w:sz="0" w:space="0" w:color="auto"/>
                              </w:divBdr>
                              <w:divsChild>
                                <w:div w:id="1538621297">
                                  <w:marLeft w:val="0"/>
                                  <w:marRight w:val="0"/>
                                  <w:marTop w:val="0"/>
                                  <w:marBottom w:val="0"/>
                                  <w:divBdr>
                                    <w:top w:val="none" w:sz="0" w:space="0" w:color="auto"/>
                                    <w:left w:val="none" w:sz="0" w:space="0" w:color="auto"/>
                                    <w:bottom w:val="none" w:sz="0" w:space="0" w:color="auto"/>
                                    <w:right w:val="none" w:sz="0" w:space="0" w:color="auto"/>
                                  </w:divBdr>
                                  <w:divsChild>
                                    <w:div w:id="6250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405420">
      <w:bodyDiv w:val="1"/>
      <w:marLeft w:val="0"/>
      <w:marRight w:val="0"/>
      <w:marTop w:val="0"/>
      <w:marBottom w:val="0"/>
      <w:divBdr>
        <w:top w:val="none" w:sz="0" w:space="0" w:color="auto"/>
        <w:left w:val="none" w:sz="0" w:space="0" w:color="auto"/>
        <w:bottom w:val="none" w:sz="0" w:space="0" w:color="auto"/>
        <w:right w:val="none" w:sz="0" w:space="0" w:color="auto"/>
      </w:divBdr>
    </w:div>
    <w:div w:id="1640301371">
      <w:bodyDiv w:val="1"/>
      <w:marLeft w:val="0"/>
      <w:marRight w:val="0"/>
      <w:marTop w:val="0"/>
      <w:marBottom w:val="0"/>
      <w:divBdr>
        <w:top w:val="none" w:sz="0" w:space="0" w:color="auto"/>
        <w:left w:val="none" w:sz="0" w:space="0" w:color="auto"/>
        <w:bottom w:val="none" w:sz="0" w:space="0" w:color="auto"/>
        <w:right w:val="none" w:sz="0" w:space="0" w:color="auto"/>
      </w:divBdr>
      <w:divsChild>
        <w:div w:id="773788699">
          <w:marLeft w:val="0"/>
          <w:marRight w:val="0"/>
          <w:marTop w:val="0"/>
          <w:marBottom w:val="0"/>
          <w:divBdr>
            <w:top w:val="none" w:sz="0" w:space="0" w:color="auto"/>
            <w:left w:val="none" w:sz="0" w:space="0" w:color="auto"/>
            <w:bottom w:val="none" w:sz="0" w:space="0" w:color="auto"/>
            <w:right w:val="none" w:sz="0" w:space="0" w:color="auto"/>
          </w:divBdr>
          <w:divsChild>
            <w:div w:id="978847329">
              <w:marLeft w:val="0"/>
              <w:marRight w:val="0"/>
              <w:marTop w:val="0"/>
              <w:marBottom w:val="0"/>
              <w:divBdr>
                <w:top w:val="none" w:sz="0" w:space="0" w:color="auto"/>
                <w:left w:val="none" w:sz="0" w:space="0" w:color="auto"/>
                <w:bottom w:val="none" w:sz="0" w:space="0" w:color="auto"/>
                <w:right w:val="none" w:sz="0" w:space="0" w:color="auto"/>
              </w:divBdr>
              <w:divsChild>
                <w:div w:id="1164053029">
                  <w:marLeft w:val="0"/>
                  <w:marRight w:val="0"/>
                  <w:marTop w:val="150"/>
                  <w:marBottom w:val="0"/>
                  <w:divBdr>
                    <w:top w:val="none" w:sz="0" w:space="0" w:color="auto"/>
                    <w:left w:val="none" w:sz="0" w:space="0" w:color="auto"/>
                    <w:bottom w:val="none" w:sz="0" w:space="0" w:color="auto"/>
                    <w:right w:val="none" w:sz="0" w:space="0" w:color="auto"/>
                  </w:divBdr>
                  <w:divsChild>
                    <w:div w:id="645013558">
                      <w:marLeft w:val="0"/>
                      <w:marRight w:val="0"/>
                      <w:marTop w:val="0"/>
                      <w:marBottom w:val="0"/>
                      <w:divBdr>
                        <w:top w:val="none" w:sz="0" w:space="0" w:color="auto"/>
                        <w:left w:val="none" w:sz="0" w:space="0" w:color="auto"/>
                        <w:bottom w:val="none" w:sz="0" w:space="0" w:color="auto"/>
                        <w:right w:val="none" w:sz="0" w:space="0" w:color="auto"/>
                      </w:divBdr>
                      <w:divsChild>
                        <w:div w:id="47992281">
                          <w:marLeft w:val="0"/>
                          <w:marRight w:val="0"/>
                          <w:marTop w:val="0"/>
                          <w:marBottom w:val="0"/>
                          <w:divBdr>
                            <w:top w:val="none" w:sz="0" w:space="0" w:color="auto"/>
                            <w:left w:val="none" w:sz="0" w:space="0" w:color="auto"/>
                            <w:bottom w:val="none" w:sz="0" w:space="0" w:color="auto"/>
                            <w:right w:val="none" w:sz="0" w:space="0" w:color="auto"/>
                          </w:divBdr>
                          <w:divsChild>
                            <w:div w:id="73942988">
                              <w:marLeft w:val="0"/>
                              <w:marRight w:val="0"/>
                              <w:marTop w:val="0"/>
                              <w:marBottom w:val="0"/>
                              <w:divBdr>
                                <w:top w:val="none" w:sz="0" w:space="0" w:color="auto"/>
                                <w:left w:val="none" w:sz="0" w:space="0" w:color="auto"/>
                                <w:bottom w:val="none" w:sz="0" w:space="0" w:color="auto"/>
                                <w:right w:val="none" w:sz="0" w:space="0" w:color="auto"/>
                              </w:divBdr>
                              <w:divsChild>
                                <w:div w:id="30081368">
                                  <w:marLeft w:val="0"/>
                                  <w:marRight w:val="0"/>
                                  <w:marTop w:val="0"/>
                                  <w:marBottom w:val="0"/>
                                  <w:divBdr>
                                    <w:top w:val="none" w:sz="0" w:space="0" w:color="auto"/>
                                    <w:left w:val="none" w:sz="0" w:space="0" w:color="auto"/>
                                    <w:bottom w:val="none" w:sz="0" w:space="0" w:color="auto"/>
                                    <w:right w:val="none" w:sz="0" w:space="0" w:color="auto"/>
                                  </w:divBdr>
                                  <w:divsChild>
                                    <w:div w:id="131480243">
                                      <w:marLeft w:val="0"/>
                                      <w:marRight w:val="0"/>
                                      <w:marTop w:val="0"/>
                                      <w:marBottom w:val="0"/>
                                      <w:divBdr>
                                        <w:top w:val="single" w:sz="36" w:space="0" w:color="AEC782"/>
                                        <w:left w:val="none" w:sz="0" w:space="0" w:color="auto"/>
                                        <w:bottom w:val="none" w:sz="0" w:space="0" w:color="auto"/>
                                        <w:right w:val="none" w:sz="0" w:space="0" w:color="auto"/>
                                      </w:divBdr>
                                      <w:divsChild>
                                        <w:div w:id="2141069888">
                                          <w:marLeft w:val="0"/>
                                          <w:marRight w:val="0"/>
                                          <w:marTop w:val="0"/>
                                          <w:marBottom w:val="0"/>
                                          <w:divBdr>
                                            <w:top w:val="none" w:sz="0" w:space="0" w:color="auto"/>
                                            <w:left w:val="none" w:sz="0" w:space="0" w:color="auto"/>
                                            <w:bottom w:val="none" w:sz="0" w:space="0" w:color="auto"/>
                                            <w:right w:val="none" w:sz="0" w:space="0" w:color="auto"/>
                                          </w:divBdr>
                                          <w:divsChild>
                                            <w:div w:id="8329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9117078">
      <w:bodyDiv w:val="1"/>
      <w:marLeft w:val="0"/>
      <w:marRight w:val="0"/>
      <w:marTop w:val="0"/>
      <w:marBottom w:val="0"/>
      <w:divBdr>
        <w:top w:val="none" w:sz="0" w:space="0" w:color="auto"/>
        <w:left w:val="none" w:sz="0" w:space="0" w:color="auto"/>
        <w:bottom w:val="none" w:sz="0" w:space="0" w:color="auto"/>
        <w:right w:val="none" w:sz="0" w:space="0" w:color="auto"/>
      </w:divBdr>
      <w:divsChild>
        <w:div w:id="1380864018">
          <w:marLeft w:val="0"/>
          <w:marRight w:val="0"/>
          <w:marTop w:val="0"/>
          <w:marBottom w:val="0"/>
          <w:divBdr>
            <w:top w:val="none" w:sz="0" w:space="0" w:color="auto"/>
            <w:left w:val="none" w:sz="0" w:space="0" w:color="auto"/>
            <w:bottom w:val="none" w:sz="0" w:space="0" w:color="auto"/>
            <w:right w:val="none" w:sz="0" w:space="0" w:color="auto"/>
          </w:divBdr>
          <w:divsChild>
            <w:div w:id="1001588041">
              <w:marLeft w:val="0"/>
              <w:marRight w:val="0"/>
              <w:marTop w:val="0"/>
              <w:marBottom w:val="0"/>
              <w:divBdr>
                <w:top w:val="none" w:sz="0" w:space="0" w:color="auto"/>
                <w:left w:val="none" w:sz="0" w:space="0" w:color="auto"/>
                <w:bottom w:val="none" w:sz="0" w:space="0" w:color="auto"/>
                <w:right w:val="none" w:sz="0" w:space="0" w:color="auto"/>
              </w:divBdr>
              <w:divsChild>
                <w:div w:id="1811240654">
                  <w:marLeft w:val="0"/>
                  <w:marRight w:val="0"/>
                  <w:marTop w:val="0"/>
                  <w:marBottom w:val="0"/>
                  <w:divBdr>
                    <w:top w:val="none" w:sz="0" w:space="0" w:color="auto"/>
                    <w:left w:val="none" w:sz="0" w:space="0" w:color="auto"/>
                    <w:bottom w:val="none" w:sz="0" w:space="0" w:color="auto"/>
                    <w:right w:val="none" w:sz="0" w:space="0" w:color="auto"/>
                  </w:divBdr>
                  <w:divsChild>
                    <w:div w:id="528684613">
                      <w:marLeft w:val="0"/>
                      <w:marRight w:val="0"/>
                      <w:marTop w:val="0"/>
                      <w:marBottom w:val="0"/>
                      <w:divBdr>
                        <w:top w:val="none" w:sz="0" w:space="0" w:color="auto"/>
                        <w:left w:val="none" w:sz="0" w:space="0" w:color="auto"/>
                        <w:bottom w:val="none" w:sz="0" w:space="0" w:color="auto"/>
                        <w:right w:val="none" w:sz="0" w:space="0" w:color="auto"/>
                      </w:divBdr>
                      <w:divsChild>
                        <w:div w:id="717241993">
                          <w:marLeft w:val="0"/>
                          <w:marRight w:val="0"/>
                          <w:marTop w:val="0"/>
                          <w:marBottom w:val="0"/>
                          <w:divBdr>
                            <w:top w:val="none" w:sz="0" w:space="0" w:color="auto"/>
                            <w:left w:val="none" w:sz="0" w:space="0" w:color="auto"/>
                            <w:bottom w:val="none" w:sz="0" w:space="0" w:color="auto"/>
                            <w:right w:val="none" w:sz="0" w:space="0" w:color="auto"/>
                          </w:divBdr>
                          <w:divsChild>
                            <w:div w:id="645009847">
                              <w:marLeft w:val="0"/>
                              <w:marRight w:val="0"/>
                              <w:marTop w:val="0"/>
                              <w:marBottom w:val="0"/>
                              <w:divBdr>
                                <w:top w:val="none" w:sz="0" w:space="0" w:color="auto"/>
                                <w:left w:val="none" w:sz="0" w:space="0" w:color="auto"/>
                                <w:bottom w:val="none" w:sz="0" w:space="0" w:color="auto"/>
                                <w:right w:val="none" w:sz="0" w:space="0" w:color="auto"/>
                              </w:divBdr>
                              <w:divsChild>
                                <w:div w:id="1256590855">
                                  <w:marLeft w:val="0"/>
                                  <w:marRight w:val="0"/>
                                  <w:marTop w:val="0"/>
                                  <w:marBottom w:val="0"/>
                                  <w:divBdr>
                                    <w:top w:val="none" w:sz="0" w:space="0" w:color="auto"/>
                                    <w:left w:val="none" w:sz="0" w:space="0" w:color="auto"/>
                                    <w:bottom w:val="none" w:sz="0" w:space="0" w:color="auto"/>
                                    <w:right w:val="none" w:sz="0" w:space="0" w:color="auto"/>
                                  </w:divBdr>
                                  <w:divsChild>
                                    <w:div w:id="6580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998326">
      <w:bodyDiv w:val="1"/>
      <w:marLeft w:val="0"/>
      <w:marRight w:val="0"/>
      <w:marTop w:val="0"/>
      <w:marBottom w:val="0"/>
      <w:divBdr>
        <w:top w:val="none" w:sz="0" w:space="0" w:color="auto"/>
        <w:left w:val="none" w:sz="0" w:space="0" w:color="auto"/>
        <w:bottom w:val="none" w:sz="0" w:space="0" w:color="auto"/>
        <w:right w:val="none" w:sz="0" w:space="0" w:color="auto"/>
      </w:divBdr>
    </w:div>
    <w:div w:id="1791316183">
      <w:bodyDiv w:val="1"/>
      <w:marLeft w:val="0"/>
      <w:marRight w:val="0"/>
      <w:marTop w:val="0"/>
      <w:marBottom w:val="0"/>
      <w:divBdr>
        <w:top w:val="none" w:sz="0" w:space="0" w:color="auto"/>
        <w:left w:val="none" w:sz="0" w:space="0" w:color="auto"/>
        <w:bottom w:val="none" w:sz="0" w:space="0" w:color="auto"/>
        <w:right w:val="none" w:sz="0" w:space="0" w:color="auto"/>
      </w:divBdr>
      <w:divsChild>
        <w:div w:id="274756469">
          <w:marLeft w:val="0"/>
          <w:marRight w:val="0"/>
          <w:marTop w:val="0"/>
          <w:marBottom w:val="0"/>
          <w:divBdr>
            <w:top w:val="none" w:sz="0" w:space="0" w:color="auto"/>
            <w:left w:val="none" w:sz="0" w:space="0" w:color="auto"/>
            <w:bottom w:val="none" w:sz="0" w:space="0" w:color="auto"/>
            <w:right w:val="none" w:sz="0" w:space="0" w:color="auto"/>
          </w:divBdr>
          <w:divsChild>
            <w:div w:id="700515112">
              <w:marLeft w:val="0"/>
              <w:marRight w:val="0"/>
              <w:marTop w:val="0"/>
              <w:marBottom w:val="0"/>
              <w:divBdr>
                <w:top w:val="none" w:sz="0" w:space="0" w:color="auto"/>
                <w:left w:val="none" w:sz="0" w:space="0" w:color="auto"/>
                <w:bottom w:val="none" w:sz="0" w:space="0" w:color="auto"/>
                <w:right w:val="none" w:sz="0" w:space="0" w:color="auto"/>
              </w:divBdr>
              <w:divsChild>
                <w:div w:id="1511021425">
                  <w:marLeft w:val="0"/>
                  <w:marRight w:val="0"/>
                  <w:marTop w:val="150"/>
                  <w:marBottom w:val="0"/>
                  <w:divBdr>
                    <w:top w:val="none" w:sz="0" w:space="0" w:color="auto"/>
                    <w:left w:val="none" w:sz="0" w:space="0" w:color="auto"/>
                    <w:bottom w:val="none" w:sz="0" w:space="0" w:color="auto"/>
                    <w:right w:val="none" w:sz="0" w:space="0" w:color="auto"/>
                  </w:divBdr>
                  <w:divsChild>
                    <w:div w:id="1224829391">
                      <w:marLeft w:val="0"/>
                      <w:marRight w:val="0"/>
                      <w:marTop w:val="0"/>
                      <w:marBottom w:val="0"/>
                      <w:divBdr>
                        <w:top w:val="none" w:sz="0" w:space="0" w:color="auto"/>
                        <w:left w:val="none" w:sz="0" w:space="0" w:color="auto"/>
                        <w:bottom w:val="none" w:sz="0" w:space="0" w:color="auto"/>
                        <w:right w:val="none" w:sz="0" w:space="0" w:color="auto"/>
                      </w:divBdr>
                      <w:divsChild>
                        <w:div w:id="638657851">
                          <w:marLeft w:val="0"/>
                          <w:marRight w:val="0"/>
                          <w:marTop w:val="0"/>
                          <w:marBottom w:val="0"/>
                          <w:divBdr>
                            <w:top w:val="none" w:sz="0" w:space="0" w:color="auto"/>
                            <w:left w:val="none" w:sz="0" w:space="0" w:color="auto"/>
                            <w:bottom w:val="none" w:sz="0" w:space="0" w:color="auto"/>
                            <w:right w:val="none" w:sz="0" w:space="0" w:color="auto"/>
                          </w:divBdr>
                          <w:divsChild>
                            <w:div w:id="420374579">
                              <w:marLeft w:val="0"/>
                              <w:marRight w:val="0"/>
                              <w:marTop w:val="0"/>
                              <w:marBottom w:val="0"/>
                              <w:divBdr>
                                <w:top w:val="none" w:sz="0" w:space="0" w:color="auto"/>
                                <w:left w:val="none" w:sz="0" w:space="0" w:color="auto"/>
                                <w:bottom w:val="none" w:sz="0" w:space="0" w:color="auto"/>
                                <w:right w:val="none" w:sz="0" w:space="0" w:color="auto"/>
                              </w:divBdr>
                              <w:divsChild>
                                <w:div w:id="863981701">
                                  <w:marLeft w:val="0"/>
                                  <w:marRight w:val="0"/>
                                  <w:marTop w:val="0"/>
                                  <w:marBottom w:val="0"/>
                                  <w:divBdr>
                                    <w:top w:val="none" w:sz="0" w:space="0" w:color="auto"/>
                                    <w:left w:val="none" w:sz="0" w:space="0" w:color="auto"/>
                                    <w:bottom w:val="none" w:sz="0" w:space="0" w:color="auto"/>
                                    <w:right w:val="none" w:sz="0" w:space="0" w:color="auto"/>
                                  </w:divBdr>
                                  <w:divsChild>
                                    <w:div w:id="401761271">
                                      <w:marLeft w:val="0"/>
                                      <w:marRight w:val="0"/>
                                      <w:marTop w:val="0"/>
                                      <w:marBottom w:val="0"/>
                                      <w:divBdr>
                                        <w:top w:val="single" w:sz="36" w:space="0" w:color="AEC782"/>
                                        <w:left w:val="none" w:sz="0" w:space="0" w:color="auto"/>
                                        <w:bottom w:val="none" w:sz="0" w:space="0" w:color="auto"/>
                                        <w:right w:val="none" w:sz="0" w:space="0" w:color="auto"/>
                                      </w:divBdr>
                                      <w:divsChild>
                                        <w:div w:id="1570386664">
                                          <w:marLeft w:val="0"/>
                                          <w:marRight w:val="0"/>
                                          <w:marTop w:val="0"/>
                                          <w:marBottom w:val="0"/>
                                          <w:divBdr>
                                            <w:top w:val="none" w:sz="0" w:space="0" w:color="auto"/>
                                            <w:left w:val="none" w:sz="0" w:space="0" w:color="auto"/>
                                            <w:bottom w:val="none" w:sz="0" w:space="0" w:color="auto"/>
                                            <w:right w:val="none" w:sz="0" w:space="0" w:color="auto"/>
                                          </w:divBdr>
                                          <w:divsChild>
                                            <w:div w:id="17799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595750">
      <w:bodyDiv w:val="1"/>
      <w:marLeft w:val="0"/>
      <w:marRight w:val="0"/>
      <w:marTop w:val="0"/>
      <w:marBottom w:val="0"/>
      <w:divBdr>
        <w:top w:val="none" w:sz="0" w:space="0" w:color="auto"/>
        <w:left w:val="none" w:sz="0" w:space="0" w:color="auto"/>
        <w:bottom w:val="none" w:sz="0" w:space="0" w:color="auto"/>
        <w:right w:val="none" w:sz="0" w:space="0" w:color="auto"/>
      </w:divBdr>
      <w:divsChild>
        <w:div w:id="102651783">
          <w:marLeft w:val="0"/>
          <w:marRight w:val="0"/>
          <w:marTop w:val="0"/>
          <w:marBottom w:val="0"/>
          <w:divBdr>
            <w:top w:val="none" w:sz="0" w:space="0" w:color="auto"/>
            <w:left w:val="none" w:sz="0" w:space="0" w:color="auto"/>
            <w:bottom w:val="none" w:sz="0" w:space="0" w:color="auto"/>
            <w:right w:val="none" w:sz="0" w:space="0" w:color="auto"/>
          </w:divBdr>
          <w:divsChild>
            <w:div w:id="240139462">
              <w:marLeft w:val="0"/>
              <w:marRight w:val="0"/>
              <w:marTop w:val="0"/>
              <w:marBottom w:val="0"/>
              <w:divBdr>
                <w:top w:val="none" w:sz="0" w:space="0" w:color="auto"/>
                <w:left w:val="none" w:sz="0" w:space="0" w:color="auto"/>
                <w:bottom w:val="none" w:sz="0" w:space="0" w:color="auto"/>
                <w:right w:val="none" w:sz="0" w:space="0" w:color="auto"/>
              </w:divBdr>
            </w:div>
          </w:divsChild>
        </w:div>
        <w:div w:id="2146005900">
          <w:marLeft w:val="0"/>
          <w:marRight w:val="0"/>
          <w:marTop w:val="0"/>
          <w:marBottom w:val="0"/>
          <w:divBdr>
            <w:top w:val="none" w:sz="0" w:space="0" w:color="auto"/>
            <w:left w:val="none" w:sz="0" w:space="0" w:color="auto"/>
            <w:bottom w:val="none" w:sz="0" w:space="0" w:color="auto"/>
            <w:right w:val="none" w:sz="0" w:space="0" w:color="auto"/>
          </w:divBdr>
        </w:div>
      </w:divsChild>
    </w:div>
    <w:div w:id="1901020566">
      <w:bodyDiv w:val="1"/>
      <w:marLeft w:val="0"/>
      <w:marRight w:val="0"/>
      <w:marTop w:val="0"/>
      <w:marBottom w:val="0"/>
      <w:divBdr>
        <w:top w:val="none" w:sz="0" w:space="0" w:color="auto"/>
        <w:left w:val="none" w:sz="0" w:space="0" w:color="auto"/>
        <w:bottom w:val="none" w:sz="0" w:space="0" w:color="auto"/>
        <w:right w:val="none" w:sz="0" w:space="0" w:color="auto"/>
      </w:divBdr>
      <w:divsChild>
        <w:div w:id="1522475317">
          <w:marLeft w:val="0"/>
          <w:marRight w:val="0"/>
          <w:marTop w:val="0"/>
          <w:marBottom w:val="0"/>
          <w:divBdr>
            <w:top w:val="none" w:sz="0" w:space="0" w:color="auto"/>
            <w:left w:val="none" w:sz="0" w:space="0" w:color="auto"/>
            <w:bottom w:val="none" w:sz="0" w:space="0" w:color="auto"/>
            <w:right w:val="none" w:sz="0" w:space="0" w:color="auto"/>
          </w:divBdr>
          <w:divsChild>
            <w:div w:id="2015840941">
              <w:marLeft w:val="0"/>
              <w:marRight w:val="0"/>
              <w:marTop w:val="0"/>
              <w:marBottom w:val="0"/>
              <w:divBdr>
                <w:top w:val="none" w:sz="0" w:space="0" w:color="auto"/>
                <w:left w:val="none" w:sz="0" w:space="0" w:color="auto"/>
                <w:bottom w:val="none" w:sz="0" w:space="0" w:color="auto"/>
                <w:right w:val="none" w:sz="0" w:space="0" w:color="auto"/>
              </w:divBdr>
              <w:divsChild>
                <w:div w:id="1873692587">
                  <w:marLeft w:val="0"/>
                  <w:marRight w:val="0"/>
                  <w:marTop w:val="150"/>
                  <w:marBottom w:val="0"/>
                  <w:divBdr>
                    <w:top w:val="none" w:sz="0" w:space="0" w:color="auto"/>
                    <w:left w:val="none" w:sz="0" w:space="0" w:color="auto"/>
                    <w:bottom w:val="none" w:sz="0" w:space="0" w:color="auto"/>
                    <w:right w:val="none" w:sz="0" w:space="0" w:color="auto"/>
                  </w:divBdr>
                  <w:divsChild>
                    <w:div w:id="74057371">
                      <w:marLeft w:val="0"/>
                      <w:marRight w:val="0"/>
                      <w:marTop w:val="0"/>
                      <w:marBottom w:val="0"/>
                      <w:divBdr>
                        <w:top w:val="none" w:sz="0" w:space="0" w:color="auto"/>
                        <w:left w:val="none" w:sz="0" w:space="0" w:color="auto"/>
                        <w:bottom w:val="none" w:sz="0" w:space="0" w:color="auto"/>
                        <w:right w:val="none" w:sz="0" w:space="0" w:color="auto"/>
                      </w:divBdr>
                      <w:divsChild>
                        <w:div w:id="739211840">
                          <w:marLeft w:val="0"/>
                          <w:marRight w:val="0"/>
                          <w:marTop w:val="0"/>
                          <w:marBottom w:val="0"/>
                          <w:divBdr>
                            <w:top w:val="none" w:sz="0" w:space="0" w:color="auto"/>
                            <w:left w:val="none" w:sz="0" w:space="0" w:color="auto"/>
                            <w:bottom w:val="none" w:sz="0" w:space="0" w:color="auto"/>
                            <w:right w:val="none" w:sz="0" w:space="0" w:color="auto"/>
                          </w:divBdr>
                          <w:divsChild>
                            <w:div w:id="1282371766">
                              <w:marLeft w:val="0"/>
                              <w:marRight w:val="0"/>
                              <w:marTop w:val="0"/>
                              <w:marBottom w:val="0"/>
                              <w:divBdr>
                                <w:top w:val="none" w:sz="0" w:space="0" w:color="auto"/>
                                <w:left w:val="none" w:sz="0" w:space="0" w:color="auto"/>
                                <w:bottom w:val="none" w:sz="0" w:space="0" w:color="auto"/>
                                <w:right w:val="none" w:sz="0" w:space="0" w:color="auto"/>
                              </w:divBdr>
                              <w:divsChild>
                                <w:div w:id="1994331723">
                                  <w:marLeft w:val="0"/>
                                  <w:marRight w:val="0"/>
                                  <w:marTop w:val="0"/>
                                  <w:marBottom w:val="0"/>
                                  <w:divBdr>
                                    <w:top w:val="none" w:sz="0" w:space="0" w:color="auto"/>
                                    <w:left w:val="none" w:sz="0" w:space="0" w:color="auto"/>
                                    <w:bottom w:val="none" w:sz="0" w:space="0" w:color="auto"/>
                                    <w:right w:val="none" w:sz="0" w:space="0" w:color="auto"/>
                                  </w:divBdr>
                                  <w:divsChild>
                                    <w:div w:id="229851544">
                                      <w:marLeft w:val="0"/>
                                      <w:marRight w:val="0"/>
                                      <w:marTop w:val="0"/>
                                      <w:marBottom w:val="0"/>
                                      <w:divBdr>
                                        <w:top w:val="single" w:sz="36" w:space="0" w:color="AEC782"/>
                                        <w:left w:val="none" w:sz="0" w:space="0" w:color="auto"/>
                                        <w:bottom w:val="none" w:sz="0" w:space="0" w:color="auto"/>
                                        <w:right w:val="none" w:sz="0" w:space="0" w:color="auto"/>
                                      </w:divBdr>
                                      <w:divsChild>
                                        <w:div w:id="1472669806">
                                          <w:marLeft w:val="0"/>
                                          <w:marRight w:val="0"/>
                                          <w:marTop w:val="0"/>
                                          <w:marBottom w:val="0"/>
                                          <w:divBdr>
                                            <w:top w:val="none" w:sz="0" w:space="0" w:color="auto"/>
                                            <w:left w:val="none" w:sz="0" w:space="0" w:color="auto"/>
                                            <w:bottom w:val="none" w:sz="0" w:space="0" w:color="auto"/>
                                            <w:right w:val="none" w:sz="0" w:space="0" w:color="auto"/>
                                          </w:divBdr>
                                          <w:divsChild>
                                            <w:div w:id="14194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118638">
      <w:bodyDiv w:val="1"/>
      <w:marLeft w:val="0"/>
      <w:marRight w:val="0"/>
      <w:marTop w:val="0"/>
      <w:marBottom w:val="0"/>
      <w:divBdr>
        <w:top w:val="none" w:sz="0" w:space="0" w:color="auto"/>
        <w:left w:val="none" w:sz="0" w:space="0" w:color="auto"/>
        <w:bottom w:val="none" w:sz="0" w:space="0" w:color="auto"/>
        <w:right w:val="none" w:sz="0" w:space="0" w:color="auto"/>
      </w:divBdr>
    </w:div>
    <w:div w:id="1981957669">
      <w:bodyDiv w:val="1"/>
      <w:marLeft w:val="0"/>
      <w:marRight w:val="0"/>
      <w:marTop w:val="0"/>
      <w:marBottom w:val="0"/>
      <w:divBdr>
        <w:top w:val="none" w:sz="0" w:space="0" w:color="auto"/>
        <w:left w:val="none" w:sz="0" w:space="0" w:color="auto"/>
        <w:bottom w:val="none" w:sz="0" w:space="0" w:color="auto"/>
        <w:right w:val="none" w:sz="0" w:space="0" w:color="auto"/>
      </w:divBdr>
      <w:divsChild>
        <w:div w:id="836775529">
          <w:marLeft w:val="0"/>
          <w:marRight w:val="0"/>
          <w:marTop w:val="0"/>
          <w:marBottom w:val="0"/>
          <w:divBdr>
            <w:top w:val="none" w:sz="0" w:space="0" w:color="auto"/>
            <w:left w:val="none" w:sz="0" w:space="0" w:color="auto"/>
            <w:bottom w:val="none" w:sz="0" w:space="0" w:color="auto"/>
            <w:right w:val="none" w:sz="0" w:space="0" w:color="auto"/>
          </w:divBdr>
          <w:divsChild>
            <w:div w:id="2144079394">
              <w:marLeft w:val="0"/>
              <w:marRight w:val="0"/>
              <w:marTop w:val="0"/>
              <w:marBottom w:val="0"/>
              <w:divBdr>
                <w:top w:val="none" w:sz="0" w:space="0" w:color="auto"/>
                <w:left w:val="none" w:sz="0" w:space="0" w:color="auto"/>
                <w:bottom w:val="none" w:sz="0" w:space="0" w:color="auto"/>
                <w:right w:val="none" w:sz="0" w:space="0" w:color="auto"/>
              </w:divBdr>
              <w:divsChild>
                <w:div w:id="658383918">
                  <w:marLeft w:val="0"/>
                  <w:marRight w:val="0"/>
                  <w:marTop w:val="150"/>
                  <w:marBottom w:val="0"/>
                  <w:divBdr>
                    <w:top w:val="none" w:sz="0" w:space="0" w:color="auto"/>
                    <w:left w:val="none" w:sz="0" w:space="0" w:color="auto"/>
                    <w:bottom w:val="none" w:sz="0" w:space="0" w:color="auto"/>
                    <w:right w:val="none" w:sz="0" w:space="0" w:color="auto"/>
                  </w:divBdr>
                  <w:divsChild>
                    <w:div w:id="81145350">
                      <w:marLeft w:val="0"/>
                      <w:marRight w:val="0"/>
                      <w:marTop w:val="0"/>
                      <w:marBottom w:val="0"/>
                      <w:divBdr>
                        <w:top w:val="none" w:sz="0" w:space="0" w:color="auto"/>
                        <w:left w:val="none" w:sz="0" w:space="0" w:color="auto"/>
                        <w:bottom w:val="none" w:sz="0" w:space="0" w:color="auto"/>
                        <w:right w:val="none" w:sz="0" w:space="0" w:color="auto"/>
                      </w:divBdr>
                      <w:divsChild>
                        <w:div w:id="697774997">
                          <w:marLeft w:val="0"/>
                          <w:marRight w:val="0"/>
                          <w:marTop w:val="0"/>
                          <w:marBottom w:val="0"/>
                          <w:divBdr>
                            <w:top w:val="none" w:sz="0" w:space="0" w:color="auto"/>
                            <w:left w:val="none" w:sz="0" w:space="0" w:color="auto"/>
                            <w:bottom w:val="none" w:sz="0" w:space="0" w:color="auto"/>
                            <w:right w:val="none" w:sz="0" w:space="0" w:color="auto"/>
                          </w:divBdr>
                          <w:divsChild>
                            <w:div w:id="1138449062">
                              <w:marLeft w:val="0"/>
                              <w:marRight w:val="0"/>
                              <w:marTop w:val="0"/>
                              <w:marBottom w:val="0"/>
                              <w:divBdr>
                                <w:top w:val="none" w:sz="0" w:space="0" w:color="auto"/>
                                <w:left w:val="none" w:sz="0" w:space="0" w:color="auto"/>
                                <w:bottom w:val="none" w:sz="0" w:space="0" w:color="auto"/>
                                <w:right w:val="none" w:sz="0" w:space="0" w:color="auto"/>
                              </w:divBdr>
                              <w:divsChild>
                                <w:div w:id="1034504265">
                                  <w:marLeft w:val="0"/>
                                  <w:marRight w:val="0"/>
                                  <w:marTop w:val="0"/>
                                  <w:marBottom w:val="0"/>
                                  <w:divBdr>
                                    <w:top w:val="none" w:sz="0" w:space="0" w:color="auto"/>
                                    <w:left w:val="none" w:sz="0" w:space="0" w:color="auto"/>
                                    <w:bottom w:val="none" w:sz="0" w:space="0" w:color="auto"/>
                                    <w:right w:val="none" w:sz="0" w:space="0" w:color="auto"/>
                                  </w:divBdr>
                                  <w:divsChild>
                                    <w:div w:id="1770586687">
                                      <w:marLeft w:val="0"/>
                                      <w:marRight w:val="0"/>
                                      <w:marTop w:val="0"/>
                                      <w:marBottom w:val="0"/>
                                      <w:divBdr>
                                        <w:top w:val="single" w:sz="36" w:space="0" w:color="AEC782"/>
                                        <w:left w:val="none" w:sz="0" w:space="0" w:color="auto"/>
                                        <w:bottom w:val="none" w:sz="0" w:space="0" w:color="auto"/>
                                        <w:right w:val="none" w:sz="0" w:space="0" w:color="auto"/>
                                      </w:divBdr>
                                      <w:divsChild>
                                        <w:div w:id="573130516">
                                          <w:marLeft w:val="0"/>
                                          <w:marRight w:val="0"/>
                                          <w:marTop w:val="0"/>
                                          <w:marBottom w:val="0"/>
                                          <w:divBdr>
                                            <w:top w:val="none" w:sz="0" w:space="0" w:color="auto"/>
                                            <w:left w:val="none" w:sz="0" w:space="0" w:color="auto"/>
                                            <w:bottom w:val="none" w:sz="0" w:space="0" w:color="auto"/>
                                            <w:right w:val="none" w:sz="0" w:space="0" w:color="auto"/>
                                          </w:divBdr>
                                          <w:divsChild>
                                            <w:div w:id="1888906835">
                                              <w:marLeft w:val="0"/>
                                              <w:marRight w:val="0"/>
                                              <w:marTop w:val="0"/>
                                              <w:marBottom w:val="0"/>
                                              <w:divBdr>
                                                <w:top w:val="none" w:sz="0" w:space="0" w:color="auto"/>
                                                <w:left w:val="none" w:sz="0" w:space="0" w:color="auto"/>
                                                <w:bottom w:val="none" w:sz="0" w:space="0" w:color="auto"/>
                                                <w:right w:val="none" w:sz="0" w:space="0" w:color="auto"/>
                                              </w:divBdr>
                                              <w:divsChild>
                                                <w:div w:id="10036189">
                                                  <w:marLeft w:val="0"/>
                                                  <w:marRight w:val="0"/>
                                                  <w:marTop w:val="0"/>
                                                  <w:marBottom w:val="0"/>
                                                  <w:divBdr>
                                                    <w:top w:val="none" w:sz="0" w:space="0" w:color="auto"/>
                                                    <w:left w:val="none" w:sz="0" w:space="0" w:color="auto"/>
                                                    <w:bottom w:val="none" w:sz="0" w:space="0" w:color="auto"/>
                                                    <w:right w:val="none" w:sz="0" w:space="0" w:color="auto"/>
                                                  </w:divBdr>
                                                  <w:divsChild>
                                                    <w:div w:id="1590121745">
                                                      <w:marLeft w:val="0"/>
                                                      <w:marRight w:val="0"/>
                                                      <w:marTop w:val="0"/>
                                                      <w:marBottom w:val="0"/>
                                                      <w:divBdr>
                                                        <w:top w:val="none" w:sz="0" w:space="0" w:color="auto"/>
                                                        <w:left w:val="none" w:sz="0" w:space="0" w:color="auto"/>
                                                        <w:bottom w:val="none" w:sz="0" w:space="0" w:color="auto"/>
                                                        <w:right w:val="none" w:sz="0" w:space="0" w:color="auto"/>
                                                      </w:divBdr>
                                                      <w:divsChild>
                                                        <w:div w:id="1959725526">
                                                          <w:marLeft w:val="0"/>
                                                          <w:marRight w:val="0"/>
                                                          <w:marTop w:val="0"/>
                                                          <w:marBottom w:val="0"/>
                                                          <w:divBdr>
                                                            <w:top w:val="none" w:sz="0" w:space="0" w:color="auto"/>
                                                            <w:left w:val="none" w:sz="0" w:space="0" w:color="auto"/>
                                                            <w:bottom w:val="none" w:sz="0" w:space="0" w:color="auto"/>
                                                            <w:right w:val="none" w:sz="0" w:space="0" w:color="auto"/>
                                                          </w:divBdr>
                                                        </w:div>
                                                        <w:div w:id="2074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5502147">
      <w:bodyDiv w:val="1"/>
      <w:marLeft w:val="0"/>
      <w:marRight w:val="0"/>
      <w:marTop w:val="0"/>
      <w:marBottom w:val="0"/>
      <w:divBdr>
        <w:top w:val="none" w:sz="0" w:space="0" w:color="auto"/>
        <w:left w:val="none" w:sz="0" w:space="0" w:color="auto"/>
        <w:bottom w:val="none" w:sz="0" w:space="0" w:color="auto"/>
        <w:right w:val="none" w:sz="0" w:space="0" w:color="auto"/>
      </w:divBdr>
    </w:div>
    <w:div w:id="1987276254">
      <w:bodyDiv w:val="1"/>
      <w:marLeft w:val="0"/>
      <w:marRight w:val="0"/>
      <w:marTop w:val="0"/>
      <w:marBottom w:val="0"/>
      <w:divBdr>
        <w:top w:val="none" w:sz="0" w:space="0" w:color="auto"/>
        <w:left w:val="none" w:sz="0" w:space="0" w:color="auto"/>
        <w:bottom w:val="none" w:sz="0" w:space="0" w:color="auto"/>
        <w:right w:val="none" w:sz="0" w:space="0" w:color="auto"/>
      </w:divBdr>
    </w:div>
    <w:div w:id="1990553876">
      <w:bodyDiv w:val="1"/>
      <w:marLeft w:val="0"/>
      <w:marRight w:val="0"/>
      <w:marTop w:val="0"/>
      <w:marBottom w:val="0"/>
      <w:divBdr>
        <w:top w:val="none" w:sz="0" w:space="0" w:color="auto"/>
        <w:left w:val="none" w:sz="0" w:space="0" w:color="auto"/>
        <w:bottom w:val="none" w:sz="0" w:space="0" w:color="auto"/>
        <w:right w:val="none" w:sz="0" w:space="0" w:color="auto"/>
      </w:divBdr>
      <w:divsChild>
        <w:div w:id="1032875763">
          <w:marLeft w:val="0"/>
          <w:marRight w:val="0"/>
          <w:marTop w:val="100"/>
          <w:marBottom w:val="100"/>
          <w:divBdr>
            <w:top w:val="none" w:sz="0" w:space="0" w:color="auto"/>
            <w:left w:val="none" w:sz="0" w:space="0" w:color="auto"/>
            <w:bottom w:val="none" w:sz="0" w:space="0" w:color="auto"/>
            <w:right w:val="none" w:sz="0" w:space="0" w:color="auto"/>
          </w:divBdr>
          <w:divsChild>
            <w:div w:id="1634822900">
              <w:marLeft w:val="0"/>
              <w:marRight w:val="0"/>
              <w:marTop w:val="100"/>
              <w:marBottom w:val="100"/>
              <w:divBdr>
                <w:top w:val="single" w:sz="6" w:space="0" w:color="E0E0E0"/>
                <w:left w:val="single" w:sz="6" w:space="4" w:color="E0E0E0"/>
                <w:bottom w:val="single" w:sz="6" w:space="0" w:color="E0E0E0"/>
                <w:right w:val="single" w:sz="6" w:space="4" w:color="E0E0E0"/>
              </w:divBdr>
              <w:divsChild>
                <w:div w:id="310138138">
                  <w:marLeft w:val="0"/>
                  <w:marRight w:val="0"/>
                  <w:marTop w:val="0"/>
                  <w:marBottom w:val="0"/>
                  <w:divBdr>
                    <w:top w:val="none" w:sz="0" w:space="0" w:color="auto"/>
                    <w:left w:val="none" w:sz="0" w:space="0" w:color="auto"/>
                    <w:bottom w:val="none" w:sz="0" w:space="0" w:color="auto"/>
                    <w:right w:val="none" w:sz="0" w:space="0" w:color="auto"/>
                  </w:divBdr>
                  <w:divsChild>
                    <w:div w:id="1898465876">
                      <w:marLeft w:val="0"/>
                      <w:marRight w:val="0"/>
                      <w:marTop w:val="0"/>
                      <w:marBottom w:val="0"/>
                      <w:divBdr>
                        <w:top w:val="none" w:sz="0" w:space="0" w:color="auto"/>
                        <w:left w:val="none" w:sz="0" w:space="0" w:color="auto"/>
                        <w:bottom w:val="none" w:sz="0" w:space="0" w:color="auto"/>
                        <w:right w:val="none" w:sz="0" w:space="0" w:color="auto"/>
                      </w:divBdr>
                      <w:divsChild>
                        <w:div w:id="20069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535757">
      <w:bodyDiv w:val="1"/>
      <w:marLeft w:val="0"/>
      <w:marRight w:val="0"/>
      <w:marTop w:val="0"/>
      <w:marBottom w:val="0"/>
      <w:divBdr>
        <w:top w:val="none" w:sz="0" w:space="0" w:color="auto"/>
        <w:left w:val="none" w:sz="0" w:space="0" w:color="auto"/>
        <w:bottom w:val="none" w:sz="0" w:space="0" w:color="auto"/>
        <w:right w:val="none" w:sz="0" w:space="0" w:color="auto"/>
      </w:divBdr>
      <w:divsChild>
        <w:div w:id="1440568319">
          <w:marLeft w:val="0"/>
          <w:marRight w:val="0"/>
          <w:marTop w:val="0"/>
          <w:marBottom w:val="0"/>
          <w:divBdr>
            <w:top w:val="none" w:sz="0" w:space="0" w:color="auto"/>
            <w:left w:val="none" w:sz="0" w:space="0" w:color="auto"/>
            <w:bottom w:val="none" w:sz="0" w:space="0" w:color="auto"/>
            <w:right w:val="none" w:sz="0" w:space="0" w:color="auto"/>
          </w:divBdr>
          <w:divsChild>
            <w:div w:id="696538817">
              <w:marLeft w:val="0"/>
              <w:marRight w:val="0"/>
              <w:marTop w:val="0"/>
              <w:marBottom w:val="0"/>
              <w:divBdr>
                <w:top w:val="none" w:sz="0" w:space="0" w:color="auto"/>
                <w:left w:val="none" w:sz="0" w:space="0" w:color="auto"/>
                <w:bottom w:val="none" w:sz="0" w:space="0" w:color="auto"/>
                <w:right w:val="none" w:sz="0" w:space="0" w:color="auto"/>
              </w:divBdr>
              <w:divsChild>
                <w:div w:id="1005547492">
                  <w:marLeft w:val="0"/>
                  <w:marRight w:val="0"/>
                  <w:marTop w:val="150"/>
                  <w:marBottom w:val="0"/>
                  <w:divBdr>
                    <w:top w:val="none" w:sz="0" w:space="0" w:color="auto"/>
                    <w:left w:val="none" w:sz="0" w:space="0" w:color="auto"/>
                    <w:bottom w:val="none" w:sz="0" w:space="0" w:color="auto"/>
                    <w:right w:val="none" w:sz="0" w:space="0" w:color="auto"/>
                  </w:divBdr>
                  <w:divsChild>
                    <w:div w:id="576600149">
                      <w:marLeft w:val="0"/>
                      <w:marRight w:val="0"/>
                      <w:marTop w:val="0"/>
                      <w:marBottom w:val="0"/>
                      <w:divBdr>
                        <w:top w:val="none" w:sz="0" w:space="0" w:color="auto"/>
                        <w:left w:val="none" w:sz="0" w:space="0" w:color="auto"/>
                        <w:bottom w:val="none" w:sz="0" w:space="0" w:color="auto"/>
                        <w:right w:val="none" w:sz="0" w:space="0" w:color="auto"/>
                      </w:divBdr>
                      <w:divsChild>
                        <w:div w:id="1911502272">
                          <w:marLeft w:val="0"/>
                          <w:marRight w:val="0"/>
                          <w:marTop w:val="0"/>
                          <w:marBottom w:val="0"/>
                          <w:divBdr>
                            <w:top w:val="none" w:sz="0" w:space="0" w:color="auto"/>
                            <w:left w:val="none" w:sz="0" w:space="0" w:color="auto"/>
                            <w:bottom w:val="none" w:sz="0" w:space="0" w:color="auto"/>
                            <w:right w:val="none" w:sz="0" w:space="0" w:color="auto"/>
                          </w:divBdr>
                          <w:divsChild>
                            <w:div w:id="1423380304">
                              <w:marLeft w:val="0"/>
                              <w:marRight w:val="0"/>
                              <w:marTop w:val="0"/>
                              <w:marBottom w:val="0"/>
                              <w:divBdr>
                                <w:top w:val="none" w:sz="0" w:space="0" w:color="auto"/>
                                <w:left w:val="none" w:sz="0" w:space="0" w:color="auto"/>
                                <w:bottom w:val="none" w:sz="0" w:space="0" w:color="auto"/>
                                <w:right w:val="none" w:sz="0" w:space="0" w:color="auto"/>
                              </w:divBdr>
                              <w:divsChild>
                                <w:div w:id="98260753">
                                  <w:marLeft w:val="0"/>
                                  <w:marRight w:val="0"/>
                                  <w:marTop w:val="0"/>
                                  <w:marBottom w:val="0"/>
                                  <w:divBdr>
                                    <w:top w:val="none" w:sz="0" w:space="0" w:color="auto"/>
                                    <w:left w:val="none" w:sz="0" w:space="0" w:color="auto"/>
                                    <w:bottom w:val="none" w:sz="0" w:space="0" w:color="auto"/>
                                    <w:right w:val="none" w:sz="0" w:space="0" w:color="auto"/>
                                  </w:divBdr>
                                  <w:divsChild>
                                    <w:div w:id="893082994">
                                      <w:marLeft w:val="0"/>
                                      <w:marRight w:val="0"/>
                                      <w:marTop w:val="0"/>
                                      <w:marBottom w:val="0"/>
                                      <w:divBdr>
                                        <w:top w:val="single" w:sz="36" w:space="0" w:color="AEC782"/>
                                        <w:left w:val="none" w:sz="0" w:space="0" w:color="auto"/>
                                        <w:bottom w:val="none" w:sz="0" w:space="0" w:color="auto"/>
                                        <w:right w:val="none" w:sz="0" w:space="0" w:color="auto"/>
                                      </w:divBdr>
                                      <w:divsChild>
                                        <w:div w:id="179391865">
                                          <w:marLeft w:val="0"/>
                                          <w:marRight w:val="0"/>
                                          <w:marTop w:val="0"/>
                                          <w:marBottom w:val="0"/>
                                          <w:divBdr>
                                            <w:top w:val="none" w:sz="0" w:space="0" w:color="auto"/>
                                            <w:left w:val="none" w:sz="0" w:space="0" w:color="auto"/>
                                            <w:bottom w:val="none" w:sz="0" w:space="0" w:color="auto"/>
                                            <w:right w:val="none" w:sz="0" w:space="0" w:color="auto"/>
                                          </w:divBdr>
                                          <w:divsChild>
                                            <w:div w:id="1558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364973">
      <w:bodyDiv w:val="1"/>
      <w:marLeft w:val="0"/>
      <w:marRight w:val="0"/>
      <w:marTop w:val="0"/>
      <w:marBottom w:val="0"/>
      <w:divBdr>
        <w:top w:val="none" w:sz="0" w:space="0" w:color="auto"/>
        <w:left w:val="none" w:sz="0" w:space="0" w:color="auto"/>
        <w:bottom w:val="none" w:sz="0" w:space="0" w:color="auto"/>
        <w:right w:val="none" w:sz="0" w:space="0" w:color="auto"/>
      </w:divBdr>
      <w:divsChild>
        <w:div w:id="1521818969">
          <w:marLeft w:val="0"/>
          <w:marRight w:val="0"/>
          <w:marTop w:val="0"/>
          <w:marBottom w:val="0"/>
          <w:divBdr>
            <w:top w:val="none" w:sz="0" w:space="0" w:color="auto"/>
            <w:left w:val="none" w:sz="0" w:space="0" w:color="auto"/>
            <w:bottom w:val="none" w:sz="0" w:space="0" w:color="auto"/>
            <w:right w:val="none" w:sz="0" w:space="0" w:color="auto"/>
          </w:divBdr>
          <w:divsChild>
            <w:div w:id="1534460814">
              <w:marLeft w:val="0"/>
              <w:marRight w:val="0"/>
              <w:marTop w:val="0"/>
              <w:marBottom w:val="0"/>
              <w:divBdr>
                <w:top w:val="none" w:sz="0" w:space="0" w:color="auto"/>
                <w:left w:val="none" w:sz="0" w:space="0" w:color="auto"/>
                <w:bottom w:val="none" w:sz="0" w:space="0" w:color="auto"/>
                <w:right w:val="none" w:sz="0" w:space="0" w:color="auto"/>
              </w:divBdr>
              <w:divsChild>
                <w:div w:id="1388530108">
                  <w:marLeft w:val="0"/>
                  <w:marRight w:val="0"/>
                  <w:marTop w:val="0"/>
                  <w:marBottom w:val="0"/>
                  <w:divBdr>
                    <w:top w:val="none" w:sz="0" w:space="0" w:color="auto"/>
                    <w:left w:val="none" w:sz="0" w:space="0" w:color="auto"/>
                    <w:bottom w:val="none" w:sz="0" w:space="0" w:color="auto"/>
                    <w:right w:val="none" w:sz="0" w:space="0" w:color="auto"/>
                  </w:divBdr>
                  <w:divsChild>
                    <w:div w:id="838423587">
                      <w:marLeft w:val="0"/>
                      <w:marRight w:val="0"/>
                      <w:marTop w:val="0"/>
                      <w:marBottom w:val="0"/>
                      <w:divBdr>
                        <w:top w:val="none" w:sz="0" w:space="0" w:color="auto"/>
                        <w:left w:val="none" w:sz="0" w:space="0" w:color="auto"/>
                        <w:bottom w:val="none" w:sz="0" w:space="0" w:color="auto"/>
                        <w:right w:val="none" w:sz="0" w:space="0" w:color="auto"/>
                      </w:divBdr>
                      <w:divsChild>
                        <w:div w:id="1485005131">
                          <w:marLeft w:val="0"/>
                          <w:marRight w:val="0"/>
                          <w:marTop w:val="0"/>
                          <w:marBottom w:val="0"/>
                          <w:divBdr>
                            <w:top w:val="none" w:sz="0" w:space="0" w:color="auto"/>
                            <w:left w:val="none" w:sz="0" w:space="0" w:color="auto"/>
                            <w:bottom w:val="none" w:sz="0" w:space="0" w:color="auto"/>
                            <w:right w:val="none" w:sz="0" w:space="0" w:color="auto"/>
                          </w:divBdr>
                          <w:divsChild>
                            <w:div w:id="864095005">
                              <w:marLeft w:val="0"/>
                              <w:marRight w:val="0"/>
                              <w:marTop w:val="0"/>
                              <w:marBottom w:val="0"/>
                              <w:divBdr>
                                <w:top w:val="none" w:sz="0" w:space="0" w:color="auto"/>
                                <w:left w:val="none" w:sz="0" w:space="0" w:color="auto"/>
                                <w:bottom w:val="none" w:sz="0" w:space="0" w:color="auto"/>
                                <w:right w:val="none" w:sz="0" w:space="0" w:color="auto"/>
                              </w:divBdr>
                              <w:divsChild>
                                <w:div w:id="702485263">
                                  <w:marLeft w:val="0"/>
                                  <w:marRight w:val="0"/>
                                  <w:marTop w:val="0"/>
                                  <w:marBottom w:val="0"/>
                                  <w:divBdr>
                                    <w:top w:val="none" w:sz="0" w:space="0" w:color="auto"/>
                                    <w:left w:val="none" w:sz="0" w:space="0" w:color="auto"/>
                                    <w:bottom w:val="none" w:sz="0" w:space="0" w:color="auto"/>
                                    <w:right w:val="none" w:sz="0" w:space="0" w:color="auto"/>
                                  </w:divBdr>
                                  <w:divsChild>
                                    <w:div w:id="14979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174885">
      <w:bodyDiv w:val="1"/>
      <w:marLeft w:val="0"/>
      <w:marRight w:val="0"/>
      <w:marTop w:val="0"/>
      <w:marBottom w:val="0"/>
      <w:divBdr>
        <w:top w:val="none" w:sz="0" w:space="0" w:color="auto"/>
        <w:left w:val="none" w:sz="0" w:space="0" w:color="auto"/>
        <w:bottom w:val="none" w:sz="0" w:space="0" w:color="auto"/>
        <w:right w:val="none" w:sz="0" w:space="0" w:color="auto"/>
      </w:divBdr>
      <w:divsChild>
        <w:div w:id="1845122060">
          <w:marLeft w:val="0"/>
          <w:marRight w:val="0"/>
          <w:marTop w:val="0"/>
          <w:marBottom w:val="0"/>
          <w:divBdr>
            <w:top w:val="none" w:sz="0" w:space="0" w:color="auto"/>
            <w:left w:val="none" w:sz="0" w:space="0" w:color="auto"/>
            <w:bottom w:val="none" w:sz="0" w:space="0" w:color="auto"/>
            <w:right w:val="none" w:sz="0" w:space="0" w:color="auto"/>
          </w:divBdr>
          <w:divsChild>
            <w:div w:id="194588922">
              <w:marLeft w:val="0"/>
              <w:marRight w:val="0"/>
              <w:marTop w:val="0"/>
              <w:marBottom w:val="0"/>
              <w:divBdr>
                <w:top w:val="none" w:sz="0" w:space="0" w:color="auto"/>
                <w:left w:val="none" w:sz="0" w:space="0" w:color="auto"/>
                <w:bottom w:val="none" w:sz="0" w:space="0" w:color="auto"/>
                <w:right w:val="none" w:sz="0" w:space="0" w:color="auto"/>
              </w:divBdr>
              <w:divsChild>
                <w:div w:id="842091983">
                  <w:marLeft w:val="0"/>
                  <w:marRight w:val="0"/>
                  <w:marTop w:val="150"/>
                  <w:marBottom w:val="0"/>
                  <w:divBdr>
                    <w:top w:val="none" w:sz="0" w:space="0" w:color="auto"/>
                    <w:left w:val="none" w:sz="0" w:space="0" w:color="auto"/>
                    <w:bottom w:val="none" w:sz="0" w:space="0" w:color="auto"/>
                    <w:right w:val="none" w:sz="0" w:space="0" w:color="auto"/>
                  </w:divBdr>
                  <w:divsChild>
                    <w:div w:id="1144470563">
                      <w:marLeft w:val="0"/>
                      <w:marRight w:val="0"/>
                      <w:marTop w:val="0"/>
                      <w:marBottom w:val="0"/>
                      <w:divBdr>
                        <w:top w:val="none" w:sz="0" w:space="0" w:color="auto"/>
                        <w:left w:val="none" w:sz="0" w:space="0" w:color="auto"/>
                        <w:bottom w:val="none" w:sz="0" w:space="0" w:color="auto"/>
                        <w:right w:val="none" w:sz="0" w:space="0" w:color="auto"/>
                      </w:divBdr>
                      <w:divsChild>
                        <w:div w:id="1504972452">
                          <w:marLeft w:val="0"/>
                          <w:marRight w:val="0"/>
                          <w:marTop w:val="0"/>
                          <w:marBottom w:val="0"/>
                          <w:divBdr>
                            <w:top w:val="none" w:sz="0" w:space="0" w:color="auto"/>
                            <w:left w:val="none" w:sz="0" w:space="0" w:color="auto"/>
                            <w:bottom w:val="none" w:sz="0" w:space="0" w:color="auto"/>
                            <w:right w:val="none" w:sz="0" w:space="0" w:color="auto"/>
                          </w:divBdr>
                          <w:divsChild>
                            <w:div w:id="1047529365">
                              <w:marLeft w:val="0"/>
                              <w:marRight w:val="0"/>
                              <w:marTop w:val="0"/>
                              <w:marBottom w:val="0"/>
                              <w:divBdr>
                                <w:top w:val="none" w:sz="0" w:space="0" w:color="auto"/>
                                <w:left w:val="none" w:sz="0" w:space="0" w:color="auto"/>
                                <w:bottom w:val="none" w:sz="0" w:space="0" w:color="auto"/>
                                <w:right w:val="none" w:sz="0" w:space="0" w:color="auto"/>
                              </w:divBdr>
                              <w:divsChild>
                                <w:div w:id="586768235">
                                  <w:marLeft w:val="0"/>
                                  <w:marRight w:val="0"/>
                                  <w:marTop w:val="0"/>
                                  <w:marBottom w:val="0"/>
                                  <w:divBdr>
                                    <w:top w:val="none" w:sz="0" w:space="0" w:color="auto"/>
                                    <w:left w:val="none" w:sz="0" w:space="0" w:color="auto"/>
                                    <w:bottom w:val="none" w:sz="0" w:space="0" w:color="auto"/>
                                    <w:right w:val="none" w:sz="0" w:space="0" w:color="auto"/>
                                  </w:divBdr>
                                  <w:divsChild>
                                    <w:div w:id="1143232949">
                                      <w:marLeft w:val="0"/>
                                      <w:marRight w:val="0"/>
                                      <w:marTop w:val="0"/>
                                      <w:marBottom w:val="0"/>
                                      <w:divBdr>
                                        <w:top w:val="single" w:sz="36" w:space="0" w:color="AEC782"/>
                                        <w:left w:val="none" w:sz="0" w:space="0" w:color="auto"/>
                                        <w:bottom w:val="none" w:sz="0" w:space="0" w:color="auto"/>
                                        <w:right w:val="none" w:sz="0" w:space="0" w:color="auto"/>
                                      </w:divBdr>
                                      <w:divsChild>
                                        <w:div w:id="291909697">
                                          <w:marLeft w:val="0"/>
                                          <w:marRight w:val="0"/>
                                          <w:marTop w:val="0"/>
                                          <w:marBottom w:val="0"/>
                                          <w:divBdr>
                                            <w:top w:val="none" w:sz="0" w:space="0" w:color="auto"/>
                                            <w:left w:val="none" w:sz="0" w:space="0" w:color="auto"/>
                                            <w:bottom w:val="none" w:sz="0" w:space="0" w:color="auto"/>
                                            <w:right w:val="none" w:sz="0" w:space="0" w:color="auto"/>
                                          </w:divBdr>
                                          <w:divsChild>
                                            <w:div w:id="2438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693254">
      <w:bodyDiv w:val="1"/>
      <w:marLeft w:val="0"/>
      <w:marRight w:val="0"/>
      <w:marTop w:val="0"/>
      <w:marBottom w:val="0"/>
      <w:divBdr>
        <w:top w:val="none" w:sz="0" w:space="0" w:color="auto"/>
        <w:left w:val="none" w:sz="0" w:space="0" w:color="auto"/>
        <w:bottom w:val="none" w:sz="0" w:space="0" w:color="auto"/>
        <w:right w:val="none" w:sz="0" w:space="0" w:color="auto"/>
      </w:divBdr>
      <w:divsChild>
        <w:div w:id="1725328545">
          <w:marLeft w:val="0"/>
          <w:marRight w:val="0"/>
          <w:marTop w:val="0"/>
          <w:marBottom w:val="0"/>
          <w:divBdr>
            <w:top w:val="none" w:sz="0" w:space="0" w:color="auto"/>
            <w:left w:val="none" w:sz="0" w:space="0" w:color="auto"/>
            <w:bottom w:val="none" w:sz="0" w:space="0" w:color="auto"/>
            <w:right w:val="none" w:sz="0" w:space="0" w:color="auto"/>
          </w:divBdr>
          <w:divsChild>
            <w:div w:id="539518178">
              <w:marLeft w:val="0"/>
              <w:marRight w:val="0"/>
              <w:marTop w:val="0"/>
              <w:marBottom w:val="0"/>
              <w:divBdr>
                <w:top w:val="none" w:sz="0" w:space="0" w:color="auto"/>
                <w:left w:val="none" w:sz="0" w:space="0" w:color="auto"/>
                <w:bottom w:val="none" w:sz="0" w:space="0" w:color="auto"/>
                <w:right w:val="none" w:sz="0" w:space="0" w:color="auto"/>
              </w:divBdr>
              <w:divsChild>
                <w:div w:id="404306358">
                  <w:marLeft w:val="0"/>
                  <w:marRight w:val="0"/>
                  <w:marTop w:val="150"/>
                  <w:marBottom w:val="0"/>
                  <w:divBdr>
                    <w:top w:val="none" w:sz="0" w:space="0" w:color="auto"/>
                    <w:left w:val="none" w:sz="0" w:space="0" w:color="auto"/>
                    <w:bottom w:val="none" w:sz="0" w:space="0" w:color="auto"/>
                    <w:right w:val="none" w:sz="0" w:space="0" w:color="auto"/>
                  </w:divBdr>
                  <w:divsChild>
                    <w:div w:id="1428310806">
                      <w:marLeft w:val="0"/>
                      <w:marRight w:val="0"/>
                      <w:marTop w:val="0"/>
                      <w:marBottom w:val="0"/>
                      <w:divBdr>
                        <w:top w:val="none" w:sz="0" w:space="0" w:color="auto"/>
                        <w:left w:val="none" w:sz="0" w:space="0" w:color="auto"/>
                        <w:bottom w:val="none" w:sz="0" w:space="0" w:color="auto"/>
                        <w:right w:val="none" w:sz="0" w:space="0" w:color="auto"/>
                      </w:divBdr>
                      <w:divsChild>
                        <w:div w:id="1357345652">
                          <w:marLeft w:val="0"/>
                          <w:marRight w:val="0"/>
                          <w:marTop w:val="0"/>
                          <w:marBottom w:val="0"/>
                          <w:divBdr>
                            <w:top w:val="none" w:sz="0" w:space="0" w:color="auto"/>
                            <w:left w:val="none" w:sz="0" w:space="0" w:color="auto"/>
                            <w:bottom w:val="none" w:sz="0" w:space="0" w:color="auto"/>
                            <w:right w:val="none" w:sz="0" w:space="0" w:color="auto"/>
                          </w:divBdr>
                          <w:divsChild>
                            <w:div w:id="1379477529">
                              <w:marLeft w:val="0"/>
                              <w:marRight w:val="0"/>
                              <w:marTop w:val="0"/>
                              <w:marBottom w:val="0"/>
                              <w:divBdr>
                                <w:top w:val="none" w:sz="0" w:space="0" w:color="auto"/>
                                <w:left w:val="none" w:sz="0" w:space="0" w:color="auto"/>
                                <w:bottom w:val="none" w:sz="0" w:space="0" w:color="auto"/>
                                <w:right w:val="none" w:sz="0" w:space="0" w:color="auto"/>
                              </w:divBdr>
                              <w:divsChild>
                                <w:div w:id="1651130391">
                                  <w:marLeft w:val="0"/>
                                  <w:marRight w:val="0"/>
                                  <w:marTop w:val="0"/>
                                  <w:marBottom w:val="0"/>
                                  <w:divBdr>
                                    <w:top w:val="none" w:sz="0" w:space="0" w:color="auto"/>
                                    <w:left w:val="none" w:sz="0" w:space="0" w:color="auto"/>
                                    <w:bottom w:val="none" w:sz="0" w:space="0" w:color="auto"/>
                                    <w:right w:val="none" w:sz="0" w:space="0" w:color="auto"/>
                                  </w:divBdr>
                                  <w:divsChild>
                                    <w:div w:id="693074678">
                                      <w:marLeft w:val="0"/>
                                      <w:marRight w:val="0"/>
                                      <w:marTop w:val="0"/>
                                      <w:marBottom w:val="0"/>
                                      <w:divBdr>
                                        <w:top w:val="single" w:sz="36" w:space="0" w:color="AEC782"/>
                                        <w:left w:val="none" w:sz="0" w:space="0" w:color="auto"/>
                                        <w:bottom w:val="none" w:sz="0" w:space="0" w:color="auto"/>
                                        <w:right w:val="none" w:sz="0" w:space="0" w:color="auto"/>
                                      </w:divBdr>
                                      <w:divsChild>
                                        <w:div w:id="500202716">
                                          <w:marLeft w:val="0"/>
                                          <w:marRight w:val="0"/>
                                          <w:marTop w:val="0"/>
                                          <w:marBottom w:val="0"/>
                                          <w:divBdr>
                                            <w:top w:val="none" w:sz="0" w:space="0" w:color="auto"/>
                                            <w:left w:val="none" w:sz="0" w:space="0" w:color="auto"/>
                                            <w:bottom w:val="none" w:sz="0" w:space="0" w:color="auto"/>
                                            <w:right w:val="none" w:sz="0" w:space="0" w:color="auto"/>
                                          </w:divBdr>
                                          <w:divsChild>
                                            <w:div w:id="1187451726">
                                              <w:marLeft w:val="0"/>
                                              <w:marRight w:val="0"/>
                                              <w:marTop w:val="0"/>
                                              <w:marBottom w:val="0"/>
                                              <w:divBdr>
                                                <w:top w:val="none" w:sz="0" w:space="0" w:color="auto"/>
                                                <w:left w:val="none" w:sz="0" w:space="0" w:color="auto"/>
                                                <w:bottom w:val="none" w:sz="0" w:space="0" w:color="auto"/>
                                                <w:right w:val="none" w:sz="0" w:space="0" w:color="auto"/>
                                              </w:divBdr>
                                              <w:divsChild>
                                                <w:div w:id="1607689575">
                                                  <w:marLeft w:val="0"/>
                                                  <w:marRight w:val="0"/>
                                                  <w:marTop w:val="0"/>
                                                  <w:marBottom w:val="0"/>
                                                  <w:divBdr>
                                                    <w:top w:val="none" w:sz="0" w:space="0" w:color="auto"/>
                                                    <w:left w:val="none" w:sz="0" w:space="0" w:color="auto"/>
                                                    <w:bottom w:val="none" w:sz="0" w:space="0" w:color="auto"/>
                                                    <w:right w:val="none" w:sz="0" w:space="0" w:color="auto"/>
                                                  </w:divBdr>
                                                  <w:divsChild>
                                                    <w:div w:id="1493253063">
                                                      <w:marLeft w:val="0"/>
                                                      <w:marRight w:val="0"/>
                                                      <w:marTop w:val="0"/>
                                                      <w:marBottom w:val="0"/>
                                                      <w:divBdr>
                                                        <w:top w:val="none" w:sz="0" w:space="0" w:color="auto"/>
                                                        <w:left w:val="none" w:sz="0" w:space="0" w:color="auto"/>
                                                        <w:bottom w:val="none" w:sz="0" w:space="0" w:color="auto"/>
                                                        <w:right w:val="none" w:sz="0" w:space="0" w:color="auto"/>
                                                      </w:divBdr>
                                                      <w:divsChild>
                                                        <w:div w:id="4731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672452">
      <w:bodyDiv w:val="1"/>
      <w:marLeft w:val="0"/>
      <w:marRight w:val="0"/>
      <w:marTop w:val="0"/>
      <w:marBottom w:val="0"/>
      <w:divBdr>
        <w:top w:val="none" w:sz="0" w:space="0" w:color="auto"/>
        <w:left w:val="none" w:sz="0" w:space="0" w:color="auto"/>
        <w:bottom w:val="none" w:sz="0" w:space="0" w:color="auto"/>
        <w:right w:val="none" w:sz="0" w:space="0" w:color="auto"/>
      </w:divBdr>
      <w:divsChild>
        <w:div w:id="821119815">
          <w:marLeft w:val="0"/>
          <w:marRight w:val="0"/>
          <w:marTop w:val="0"/>
          <w:marBottom w:val="0"/>
          <w:divBdr>
            <w:top w:val="none" w:sz="0" w:space="0" w:color="auto"/>
            <w:left w:val="none" w:sz="0" w:space="0" w:color="auto"/>
            <w:bottom w:val="none" w:sz="0" w:space="0" w:color="auto"/>
            <w:right w:val="none" w:sz="0" w:space="0" w:color="auto"/>
          </w:divBdr>
          <w:divsChild>
            <w:div w:id="620577998">
              <w:marLeft w:val="0"/>
              <w:marRight w:val="0"/>
              <w:marTop w:val="0"/>
              <w:marBottom w:val="0"/>
              <w:divBdr>
                <w:top w:val="none" w:sz="0" w:space="0" w:color="auto"/>
                <w:left w:val="none" w:sz="0" w:space="0" w:color="auto"/>
                <w:bottom w:val="none" w:sz="0" w:space="0" w:color="auto"/>
                <w:right w:val="none" w:sz="0" w:space="0" w:color="auto"/>
              </w:divBdr>
              <w:divsChild>
                <w:div w:id="20497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88259">
      <w:bodyDiv w:val="1"/>
      <w:marLeft w:val="0"/>
      <w:marRight w:val="0"/>
      <w:marTop w:val="0"/>
      <w:marBottom w:val="0"/>
      <w:divBdr>
        <w:top w:val="none" w:sz="0" w:space="0" w:color="auto"/>
        <w:left w:val="none" w:sz="0" w:space="0" w:color="auto"/>
        <w:bottom w:val="none" w:sz="0" w:space="0" w:color="auto"/>
        <w:right w:val="none" w:sz="0" w:space="0" w:color="auto"/>
      </w:divBdr>
      <w:divsChild>
        <w:div w:id="1520388701">
          <w:marLeft w:val="0"/>
          <w:marRight w:val="0"/>
          <w:marTop w:val="0"/>
          <w:marBottom w:val="0"/>
          <w:divBdr>
            <w:top w:val="none" w:sz="0" w:space="0" w:color="auto"/>
            <w:left w:val="none" w:sz="0" w:space="0" w:color="auto"/>
            <w:bottom w:val="none" w:sz="0" w:space="0" w:color="auto"/>
            <w:right w:val="none" w:sz="0" w:space="0" w:color="auto"/>
          </w:divBdr>
          <w:divsChild>
            <w:div w:id="1129669187">
              <w:marLeft w:val="0"/>
              <w:marRight w:val="0"/>
              <w:marTop w:val="0"/>
              <w:marBottom w:val="0"/>
              <w:divBdr>
                <w:top w:val="none" w:sz="0" w:space="0" w:color="auto"/>
                <w:left w:val="none" w:sz="0" w:space="0" w:color="auto"/>
                <w:bottom w:val="none" w:sz="0" w:space="0" w:color="auto"/>
                <w:right w:val="none" w:sz="0" w:space="0" w:color="auto"/>
              </w:divBdr>
              <w:divsChild>
                <w:div w:id="707995245">
                  <w:marLeft w:val="0"/>
                  <w:marRight w:val="0"/>
                  <w:marTop w:val="0"/>
                  <w:marBottom w:val="0"/>
                  <w:divBdr>
                    <w:top w:val="none" w:sz="0" w:space="0" w:color="auto"/>
                    <w:left w:val="none" w:sz="0" w:space="0" w:color="auto"/>
                    <w:bottom w:val="none" w:sz="0" w:space="0" w:color="auto"/>
                    <w:right w:val="none" w:sz="0" w:space="0" w:color="auto"/>
                  </w:divBdr>
                  <w:divsChild>
                    <w:div w:id="1563521483">
                      <w:marLeft w:val="0"/>
                      <w:marRight w:val="0"/>
                      <w:marTop w:val="0"/>
                      <w:marBottom w:val="0"/>
                      <w:divBdr>
                        <w:top w:val="none" w:sz="0" w:space="0" w:color="auto"/>
                        <w:left w:val="none" w:sz="0" w:space="0" w:color="auto"/>
                        <w:bottom w:val="none" w:sz="0" w:space="0" w:color="auto"/>
                        <w:right w:val="none" w:sz="0" w:space="0" w:color="auto"/>
                      </w:divBdr>
                      <w:divsChild>
                        <w:div w:id="189147515">
                          <w:marLeft w:val="0"/>
                          <w:marRight w:val="0"/>
                          <w:marTop w:val="0"/>
                          <w:marBottom w:val="0"/>
                          <w:divBdr>
                            <w:top w:val="none" w:sz="0" w:space="0" w:color="auto"/>
                            <w:left w:val="none" w:sz="0" w:space="0" w:color="auto"/>
                            <w:bottom w:val="none" w:sz="0" w:space="0" w:color="auto"/>
                            <w:right w:val="none" w:sz="0" w:space="0" w:color="auto"/>
                          </w:divBdr>
                          <w:divsChild>
                            <w:div w:id="46926659">
                              <w:marLeft w:val="0"/>
                              <w:marRight w:val="0"/>
                              <w:marTop w:val="0"/>
                              <w:marBottom w:val="0"/>
                              <w:divBdr>
                                <w:top w:val="none" w:sz="0" w:space="0" w:color="auto"/>
                                <w:left w:val="none" w:sz="0" w:space="0" w:color="auto"/>
                                <w:bottom w:val="none" w:sz="0" w:space="0" w:color="auto"/>
                                <w:right w:val="none" w:sz="0" w:space="0" w:color="auto"/>
                              </w:divBdr>
                              <w:divsChild>
                                <w:div w:id="935794219">
                                  <w:marLeft w:val="0"/>
                                  <w:marRight w:val="0"/>
                                  <w:marTop w:val="0"/>
                                  <w:marBottom w:val="0"/>
                                  <w:divBdr>
                                    <w:top w:val="none" w:sz="0" w:space="0" w:color="auto"/>
                                    <w:left w:val="none" w:sz="0" w:space="0" w:color="auto"/>
                                    <w:bottom w:val="none" w:sz="0" w:space="0" w:color="auto"/>
                                    <w:right w:val="none" w:sz="0" w:space="0" w:color="auto"/>
                                  </w:divBdr>
                                  <w:divsChild>
                                    <w:div w:id="8101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yperlink" Target="http://www.epilepsysociety.org.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cbi.nlm.nih.gov/pubmed?term=Daur%C3%A8s%20JP%5BAuthor%5D&amp;cauthor=true&amp;cauthor_uid=18363709"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dh.gov.uk/en/Healthcare/Medicinespharmacyandindustry/Prescriptions/DH_4104966" TargetMode="External"/><Relationship Id="rId25" Type="http://schemas.openxmlformats.org/officeDocument/2006/relationships/hyperlink" Target="https://www.medicines.org.uk/emc/product/1963/smpc" TargetMode="External"/><Relationship Id="rId2" Type="http://schemas.openxmlformats.org/officeDocument/2006/relationships/numbering" Target="numbering.xml"/><Relationship Id="rId16" Type="http://schemas.openxmlformats.org/officeDocument/2006/relationships/hyperlink" Target="http://www.brainandspine.org.uk" TargetMode="External"/><Relationship Id="rId20" Type="http://schemas.openxmlformats.org/officeDocument/2006/relationships/hyperlink" Target="http://www.ncbi.nlm.nih.gov/pubmed?term=Baldy-Moulinier%20M%5BAuthor%5D&amp;cauthor=true&amp;cauthor_uid=183637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ncbi.nlm.nih.gov/pubmed/18363709" TargetMode="External"/><Relationship Id="rId5" Type="http://schemas.openxmlformats.org/officeDocument/2006/relationships/webSettings" Target="webSettings.xml"/><Relationship Id="rId15" Type="http://schemas.openxmlformats.org/officeDocument/2006/relationships/hyperlink" Target="https://www.tga.gov.au/book-page/310-brivaracetam" TargetMode="External"/><Relationship Id="rId23" Type="http://schemas.openxmlformats.org/officeDocument/2006/relationships/hyperlink" Target="http://www.ncbi.nlm.nih.gov/pubmed?term=Crespel%20A%5BAuthor%5D&amp;cauthor=true&amp;cauthor_uid=18363709" TargetMode="External"/><Relationship Id="rId28"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http://www.ncbi.nlm.nih.gov/pubmed?term=Picot%20MC%5BAuthor%5D&amp;cauthor=true&amp;cauthor_uid=18363709"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aan.com" TargetMode="External"/><Relationship Id="rId22" Type="http://schemas.openxmlformats.org/officeDocument/2006/relationships/hyperlink" Target="http://www.ncbi.nlm.nih.gov/pubmed?term=Dujols%20P%5BAuthor%5D&amp;cauthor=true&amp;cauthor_uid=18363709"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51094C-560B-4BD6-953C-AA0383A54F3D}" type="doc">
      <dgm:prSet loTypeId="urn:microsoft.com/office/officeart/2005/8/layout/vList2" loCatId="list" qsTypeId="urn:microsoft.com/office/officeart/2005/8/quickstyle/3d3" qsCatId="3D" csTypeId="urn:microsoft.com/office/officeart/2005/8/colors/accent2_2" csCatId="accent2" phldr="1"/>
      <dgm:spPr/>
      <dgm:t>
        <a:bodyPr/>
        <a:lstStyle/>
        <a:p>
          <a:endParaRPr lang="en-US"/>
        </a:p>
      </dgm:t>
    </dgm:pt>
    <dgm:pt modelId="{2FE9CD7F-F1F9-46DD-B74D-263AE22E8F10}">
      <dgm:prSet phldrT="[Text]" custT="1"/>
      <dgm:spPr>
        <a:xfrm>
          <a:off x="0" y="0"/>
          <a:ext cx="6134100" cy="507413"/>
        </a:xfrm>
        <a:prstGeom prst="roundRect">
          <a:avLst/>
        </a:prstGeom>
        <a:solidFill>
          <a:srgbClr val="ED7D31">
            <a:lumMod val="40000"/>
            <a:lumOff val="6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buNone/>
          </a:pPr>
          <a:r>
            <a:rPr lang="en-US" sz="1400" b="1">
              <a:solidFill>
                <a:sysClr val="windowText" lastClr="000000"/>
              </a:solidFill>
              <a:latin typeface="Calibri" panose="020F0502020204030204"/>
              <a:ea typeface="+mn-ea"/>
              <a:cs typeface="+mn-cs"/>
            </a:rPr>
            <a:t>Principles for Switching</a:t>
          </a:r>
        </a:p>
      </dgm:t>
    </dgm:pt>
    <dgm:pt modelId="{1DD3BE0A-A1C4-428E-9534-804F625DD24E}" type="parTrans" cxnId="{6F77FB3F-C2FE-4290-A7DA-80C78BC560AF}">
      <dgm:prSet/>
      <dgm:spPr/>
      <dgm:t>
        <a:bodyPr/>
        <a:lstStyle/>
        <a:p>
          <a:endParaRPr lang="en-US"/>
        </a:p>
      </dgm:t>
    </dgm:pt>
    <dgm:pt modelId="{70EB9EF9-6C0E-4560-87A3-1E64821D352B}" type="sibTrans" cxnId="{6F77FB3F-C2FE-4290-A7DA-80C78BC560AF}">
      <dgm:prSet/>
      <dgm:spPr/>
      <dgm:t>
        <a:bodyPr/>
        <a:lstStyle/>
        <a:p>
          <a:endParaRPr lang="en-US"/>
        </a:p>
      </dgm:t>
    </dgm:pt>
    <dgm:pt modelId="{8256DCD0-A45D-48D0-8C85-EB93F96ACB8E}">
      <dgm:prSet phldrT="[Text]" custT="1"/>
      <dgm:spPr>
        <a:xfrm>
          <a:off x="0" y="3482002"/>
          <a:ext cx="6134100" cy="435189"/>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Font typeface="Symbol" panose="05050102010706020507" pitchFamily="18" charset="2"/>
            <a:buNone/>
          </a:pPr>
          <a:r>
            <a:rPr lang="en-GB" sz="1100">
              <a:solidFill>
                <a:sysClr val="windowText" lastClr="000000"/>
              </a:solidFill>
              <a:latin typeface="Calibri" panose="020F0502020204030204"/>
              <a:ea typeface="+mn-ea"/>
              <a:cs typeface="+mn-cs"/>
            </a:rPr>
            <a:t> Patients should not routinely be switched from existing medicines without their consent unless urgent treatment is needed</a:t>
          </a:r>
          <a:r>
            <a:rPr lang="en-GB" sz="1200">
              <a:solidFill>
                <a:sysClr val="windowText" lastClr="000000"/>
              </a:solidFill>
              <a:latin typeface="Calibri" panose="020F0502020204030204"/>
              <a:ea typeface="+mn-ea"/>
              <a:cs typeface="+mn-cs"/>
            </a:rPr>
            <a:t>.</a:t>
          </a:r>
          <a:endParaRPr lang="en-US" sz="1200">
            <a:solidFill>
              <a:sysClr val="windowText" lastClr="000000"/>
            </a:solidFill>
            <a:latin typeface="Calibri" panose="020F0502020204030204"/>
            <a:ea typeface="+mn-ea"/>
            <a:cs typeface="+mn-cs"/>
          </a:endParaRPr>
        </a:p>
      </dgm:t>
    </dgm:pt>
    <dgm:pt modelId="{BFA4E01D-6CFD-4338-9C36-6A5D0729543A}" type="parTrans" cxnId="{4F57ED1D-4457-424D-BBE2-C2D6C67E6DD4}">
      <dgm:prSet/>
      <dgm:spPr/>
      <dgm:t>
        <a:bodyPr/>
        <a:lstStyle/>
        <a:p>
          <a:endParaRPr lang="en-US"/>
        </a:p>
      </dgm:t>
    </dgm:pt>
    <dgm:pt modelId="{4ED625F9-7C7B-41CF-B6AA-B96F157D8072}" type="sibTrans" cxnId="{4F57ED1D-4457-424D-BBE2-C2D6C67E6DD4}">
      <dgm:prSet/>
      <dgm:spPr/>
      <dgm:t>
        <a:bodyPr/>
        <a:lstStyle/>
        <a:p>
          <a:endParaRPr lang="en-US"/>
        </a:p>
      </dgm:t>
    </dgm:pt>
    <dgm:pt modelId="{D62B767D-D32A-4082-817E-520499588AE1}">
      <dgm:prSet custT="1"/>
      <dgm:spPr>
        <a:xfrm>
          <a:off x="0" y="472026"/>
          <a:ext cx="6134100" cy="450245"/>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None/>
          </a:pPr>
          <a:r>
            <a:rPr lang="en-GB" sz="1100">
              <a:solidFill>
                <a:sysClr val="windowText" lastClr="000000"/>
              </a:solidFill>
              <a:latin typeface="Calibri" panose="020F0502020204030204"/>
              <a:ea typeface="+mn-ea"/>
              <a:cs typeface="+mn-cs"/>
            </a:rPr>
            <a:t> Only consider switching where there will be a significant clinical, logistical or financial  benefit.  Risks involved in switching AEDs should be mitigated as far as possible.</a:t>
          </a:r>
          <a:endParaRPr lang="en-US" sz="1100">
            <a:solidFill>
              <a:sysClr val="windowText" lastClr="000000"/>
            </a:solidFill>
            <a:latin typeface="Calibri" panose="020F0502020204030204"/>
            <a:ea typeface="+mn-ea"/>
            <a:cs typeface="+mn-cs"/>
          </a:endParaRPr>
        </a:p>
      </dgm:t>
    </dgm:pt>
    <dgm:pt modelId="{AF9E2F75-55E1-4A29-A619-6061F9A2FB1A}" type="parTrans" cxnId="{E5066F3F-532D-4C42-8910-C7F99407322F}">
      <dgm:prSet/>
      <dgm:spPr/>
      <dgm:t>
        <a:bodyPr/>
        <a:lstStyle/>
        <a:p>
          <a:endParaRPr lang="en-US"/>
        </a:p>
      </dgm:t>
    </dgm:pt>
    <dgm:pt modelId="{D187FFF5-5FF9-43A2-8DCD-DCA495A36FC8}" type="sibTrans" cxnId="{E5066F3F-532D-4C42-8910-C7F99407322F}">
      <dgm:prSet/>
      <dgm:spPr/>
      <dgm:t>
        <a:bodyPr/>
        <a:lstStyle/>
        <a:p>
          <a:endParaRPr lang="en-US"/>
        </a:p>
      </dgm:t>
    </dgm:pt>
    <dgm:pt modelId="{28DB718E-8318-4A35-BB2D-12843D918A78}">
      <dgm:prSet custT="1"/>
      <dgm:spPr>
        <a:xfrm>
          <a:off x="0" y="2000706"/>
          <a:ext cx="6134100" cy="507181"/>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Font typeface="Symbol" panose="05050102010706020507" pitchFamily="18" charset="2"/>
            <a:buNone/>
          </a:pPr>
          <a:r>
            <a:rPr lang="en-GB" sz="1100">
              <a:solidFill>
                <a:sysClr val="windowText" lastClr="000000"/>
              </a:solidFill>
              <a:latin typeface="Calibri" panose="020F0502020204030204"/>
              <a:ea typeface="+mn-ea"/>
              <a:cs typeface="+mn-cs"/>
            </a:rPr>
            <a:t> Determine whether the patient has previously experienced problems when switching between brands and generics or if they've been told by their doctor that they must not switch between brands or generics.</a:t>
          </a:r>
          <a:endParaRPr lang="en-US" sz="1100">
            <a:solidFill>
              <a:sysClr val="windowText" lastClr="000000"/>
            </a:solidFill>
            <a:latin typeface="Calibri" panose="020F0502020204030204"/>
            <a:ea typeface="+mn-ea"/>
            <a:cs typeface="+mn-cs"/>
          </a:endParaRPr>
        </a:p>
      </dgm:t>
    </dgm:pt>
    <dgm:pt modelId="{1A888F6B-6CC9-4BF7-B338-644540DAEEA0}" type="parTrans" cxnId="{E6FDB665-CAE1-4A16-9259-021BD9F2422B}">
      <dgm:prSet/>
      <dgm:spPr/>
      <dgm:t>
        <a:bodyPr/>
        <a:lstStyle/>
        <a:p>
          <a:endParaRPr lang="en-US"/>
        </a:p>
      </dgm:t>
    </dgm:pt>
    <dgm:pt modelId="{7E29B463-222E-41BC-A003-F370699AD17D}" type="sibTrans" cxnId="{E6FDB665-CAE1-4A16-9259-021BD9F2422B}">
      <dgm:prSet/>
      <dgm:spPr/>
      <dgm:t>
        <a:bodyPr/>
        <a:lstStyle/>
        <a:p>
          <a:endParaRPr lang="en-US"/>
        </a:p>
      </dgm:t>
    </dgm:pt>
    <dgm:pt modelId="{568FF633-B459-4775-9C1A-BCE7F08D6C3D}">
      <dgm:prSet custT="1"/>
      <dgm:spPr>
        <a:xfrm>
          <a:off x="0" y="2561510"/>
          <a:ext cx="6134100" cy="897939"/>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Font typeface="Symbol" panose="05050102010706020507" pitchFamily="18" charset="2"/>
            <a:buNone/>
          </a:pPr>
          <a:r>
            <a:rPr lang="en-GB" sz="1100">
              <a:solidFill>
                <a:sysClr val="windowText" lastClr="000000"/>
              </a:solidFill>
              <a:latin typeface="Calibri" panose="020F0502020204030204"/>
              <a:ea typeface="+mn-ea"/>
              <a:cs typeface="+mn-cs"/>
            </a:rPr>
            <a:t> Patients are encouraged to be involved in their own healthcare, with decisions made in partnership with clinicians, rather than by clinicians alone. </a:t>
          </a:r>
          <a:r>
            <a:rPr lang="en-GB" sz="900">
              <a:solidFill>
                <a:sysClr val="windowText" lastClr="000000"/>
              </a:solidFill>
              <a:latin typeface="Calibri" panose="020F0502020204030204"/>
              <a:ea typeface="+mn-ea"/>
              <a:cs typeface="+mn-cs"/>
            </a:rPr>
            <a:t>(DoH 2010) </a:t>
          </a:r>
          <a:r>
            <a:rPr lang="en-GB" sz="1100">
              <a:solidFill>
                <a:sysClr val="windowText" lastClr="000000"/>
              </a:solidFill>
              <a:latin typeface="Calibri" panose="020F0502020204030204"/>
              <a:ea typeface="+mn-ea"/>
              <a:cs typeface="+mn-cs"/>
            </a:rPr>
            <a:t>Inform patients of the benefits and risks of switching between brands and generics and ask patients their views about switching.</a:t>
          </a:r>
          <a:endParaRPr lang="en-US" sz="1100">
            <a:solidFill>
              <a:sysClr val="windowText" lastClr="000000"/>
            </a:solidFill>
            <a:latin typeface="Calibri" panose="020F0502020204030204"/>
            <a:ea typeface="+mn-ea"/>
            <a:cs typeface="+mn-cs"/>
          </a:endParaRPr>
        </a:p>
      </dgm:t>
    </dgm:pt>
    <dgm:pt modelId="{0DDCF6FB-7D0C-4381-B0BC-04DB51995980}" type="parTrans" cxnId="{39A4C1E7-89A5-4C50-B295-58BFA7F6F0F6}">
      <dgm:prSet/>
      <dgm:spPr/>
      <dgm:t>
        <a:bodyPr/>
        <a:lstStyle/>
        <a:p>
          <a:endParaRPr lang="en-US"/>
        </a:p>
      </dgm:t>
    </dgm:pt>
    <dgm:pt modelId="{5B287685-88E0-45B1-8AAC-74C33C564AA2}" type="sibTrans" cxnId="{39A4C1E7-89A5-4C50-B295-58BFA7F6F0F6}">
      <dgm:prSet/>
      <dgm:spPr/>
      <dgm:t>
        <a:bodyPr/>
        <a:lstStyle/>
        <a:p>
          <a:endParaRPr lang="en-US"/>
        </a:p>
      </dgm:t>
    </dgm:pt>
    <dgm:pt modelId="{F7CA8D76-57FB-4499-BEF2-710FE5DDBF79}">
      <dgm:prSet custT="1"/>
      <dgm:spPr>
        <a:xfrm>
          <a:off x="0" y="3840443"/>
          <a:ext cx="6134100" cy="468482"/>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Font typeface="Symbol" panose="05050102010706020507" pitchFamily="18" charset="2"/>
            <a:buNone/>
          </a:pPr>
          <a:r>
            <a:rPr lang="en-GB" sz="1100">
              <a:solidFill>
                <a:sysClr val="windowText" lastClr="000000"/>
              </a:solidFill>
              <a:latin typeface="Calibri" panose="020F0502020204030204"/>
              <a:ea typeface="+mn-ea"/>
              <a:cs typeface="+mn-cs"/>
            </a:rPr>
            <a:t> Sustained or Modified Release products present a greater risk and should not be considered generic (see specific product recommendations below).</a:t>
          </a:r>
          <a:endParaRPr lang="en-US" sz="1100">
            <a:solidFill>
              <a:sysClr val="windowText" lastClr="000000"/>
            </a:solidFill>
            <a:latin typeface="Calibri" panose="020F0502020204030204"/>
            <a:ea typeface="+mn-ea"/>
            <a:cs typeface="+mn-cs"/>
          </a:endParaRPr>
        </a:p>
      </dgm:t>
    </dgm:pt>
    <dgm:pt modelId="{27F3B3DC-847C-4FF5-8AF8-464CC4F914F9}" type="parTrans" cxnId="{59250EA7-9832-4A51-9D09-76B4CF7B5691}">
      <dgm:prSet/>
      <dgm:spPr/>
      <dgm:t>
        <a:bodyPr/>
        <a:lstStyle/>
        <a:p>
          <a:endParaRPr lang="en-US"/>
        </a:p>
      </dgm:t>
    </dgm:pt>
    <dgm:pt modelId="{48798478-7F63-438A-9C4B-8AD253BA4AE0}" type="sibTrans" cxnId="{59250EA7-9832-4A51-9D09-76B4CF7B5691}">
      <dgm:prSet/>
      <dgm:spPr/>
      <dgm:t>
        <a:bodyPr/>
        <a:lstStyle/>
        <a:p>
          <a:endParaRPr lang="en-US"/>
        </a:p>
      </dgm:t>
    </dgm:pt>
    <dgm:pt modelId="{823AB156-ABEA-4D61-805B-2C283D12D356}">
      <dgm:prSet phldrT="[Text]" custT="1"/>
      <dgm:spPr>
        <a:xfrm>
          <a:off x="0" y="5851754"/>
          <a:ext cx="6134100" cy="665581"/>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Font typeface="Symbol" panose="05050102010706020507" pitchFamily="18" charset="2"/>
            <a:buNone/>
          </a:pPr>
          <a:r>
            <a:rPr lang="en-GB" sz="1100">
              <a:solidFill>
                <a:sysClr val="windowText" lastClr="000000"/>
              </a:solidFill>
              <a:latin typeface="Calibri" panose="020F0502020204030204"/>
              <a:ea typeface="+mn-ea"/>
              <a:cs typeface="+mn-cs"/>
            </a:rPr>
            <a:t> If there has been a recent loss of seizure control and additional or alternative AEDs are to be prescribed, even where products are not recommended to be switched this is an opportunity to move to a generic version where this is appropriate.</a:t>
          </a:r>
          <a:endParaRPr lang="en-US" sz="1100">
            <a:solidFill>
              <a:sysClr val="windowText" lastClr="000000"/>
            </a:solidFill>
            <a:latin typeface="Calibri" panose="020F0502020204030204"/>
            <a:ea typeface="+mn-ea"/>
            <a:cs typeface="+mn-cs"/>
          </a:endParaRPr>
        </a:p>
      </dgm:t>
    </dgm:pt>
    <dgm:pt modelId="{B601AA98-FC4E-43F6-9F3B-D9A1E6CF6399}" type="parTrans" cxnId="{9A765E62-3369-447A-93AF-6CA0A5FD2EE4}">
      <dgm:prSet/>
      <dgm:spPr/>
      <dgm:t>
        <a:bodyPr/>
        <a:lstStyle/>
        <a:p>
          <a:endParaRPr lang="en-US"/>
        </a:p>
      </dgm:t>
    </dgm:pt>
    <dgm:pt modelId="{D2CE233D-C21C-4AE2-826E-BB6B281714D2}" type="sibTrans" cxnId="{9A765E62-3369-447A-93AF-6CA0A5FD2EE4}">
      <dgm:prSet/>
      <dgm:spPr/>
      <dgm:t>
        <a:bodyPr/>
        <a:lstStyle/>
        <a:p>
          <a:endParaRPr lang="en-US"/>
        </a:p>
      </dgm:t>
    </dgm:pt>
    <dgm:pt modelId="{AB358548-E12E-413F-BF6A-AAAD5A201CFF}">
      <dgm:prSet phldrT="[Text]" custT="1"/>
      <dgm:spPr>
        <a:xfrm>
          <a:off x="0" y="4477682"/>
          <a:ext cx="6134100" cy="433319"/>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None/>
          </a:pPr>
          <a:r>
            <a:rPr lang="en-GB" sz="1100">
              <a:solidFill>
                <a:sysClr val="windowText" lastClr="000000"/>
              </a:solidFill>
              <a:latin typeface="Calibri" panose="020F0502020204030204"/>
              <a:ea typeface="+mn-ea"/>
              <a:cs typeface="+mn-cs"/>
            </a:rPr>
            <a:t> Patients with highly labile seizure control should not be switched to generics and should be maintained on their usual AED brand or generic. </a:t>
          </a:r>
          <a:endParaRPr lang="en-US" sz="1100">
            <a:solidFill>
              <a:sysClr val="windowText" lastClr="000000"/>
            </a:solidFill>
            <a:latin typeface="Calibri" panose="020F0502020204030204"/>
            <a:ea typeface="+mn-ea"/>
            <a:cs typeface="+mn-cs"/>
          </a:endParaRPr>
        </a:p>
      </dgm:t>
    </dgm:pt>
    <dgm:pt modelId="{72758D51-6F1F-4EBD-96B6-95BD825902EB}" type="parTrans" cxnId="{51974EA4-B775-49A2-A0CA-AEEC7051B012}">
      <dgm:prSet/>
      <dgm:spPr/>
      <dgm:t>
        <a:bodyPr/>
        <a:lstStyle/>
        <a:p>
          <a:endParaRPr lang="en-US"/>
        </a:p>
      </dgm:t>
    </dgm:pt>
    <dgm:pt modelId="{FD56A299-EACA-4B84-A5B4-8BB55F60AA5C}" type="sibTrans" cxnId="{51974EA4-B775-49A2-A0CA-AEEC7051B012}">
      <dgm:prSet/>
      <dgm:spPr/>
      <dgm:t>
        <a:bodyPr/>
        <a:lstStyle/>
        <a:p>
          <a:endParaRPr lang="en-US"/>
        </a:p>
      </dgm:t>
    </dgm:pt>
    <dgm:pt modelId="{6A5D7729-9351-4C88-833F-5124517AB468}">
      <dgm:prSet phldrT="[Text]" custT="1"/>
      <dgm:spPr>
        <a:xfrm>
          <a:off x="0" y="4950972"/>
          <a:ext cx="6134100" cy="846722"/>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Font typeface="Symbol" panose="05050102010706020507" pitchFamily="18" charset="2"/>
            <a:buNone/>
          </a:pPr>
          <a:r>
            <a:rPr lang="en-GB" sz="1100">
              <a:solidFill>
                <a:sysClr val="windowText" lastClr="000000"/>
              </a:solidFill>
              <a:latin typeface="Calibri" panose="020F0502020204030204"/>
              <a:ea typeface="+mn-ea"/>
              <a:cs typeface="+mn-cs"/>
            </a:rPr>
            <a:t> Patients with optimal seizure control (i.e. seizure-free or seizure frequency has  markedly reduced) should not be switched to generics and should be maintained on their usual brand or generic.  This of highest importance where the recurrence of a seizure could lead to socio-economic harm (e.g. loss of a driving license). </a:t>
          </a:r>
          <a:endParaRPr lang="en-US" sz="1100">
            <a:solidFill>
              <a:sysClr val="windowText" lastClr="000000"/>
            </a:solidFill>
            <a:latin typeface="Calibri" panose="020F0502020204030204"/>
            <a:ea typeface="+mn-ea"/>
            <a:cs typeface="+mn-cs"/>
          </a:endParaRPr>
        </a:p>
      </dgm:t>
    </dgm:pt>
    <dgm:pt modelId="{9C4A107D-CB88-4B03-B6E1-CDD86926B761}" type="parTrans" cxnId="{050D30A4-0A88-4A46-A607-EEC5319C4F42}">
      <dgm:prSet/>
      <dgm:spPr/>
      <dgm:t>
        <a:bodyPr/>
        <a:lstStyle/>
        <a:p>
          <a:endParaRPr lang="en-US"/>
        </a:p>
      </dgm:t>
    </dgm:pt>
    <dgm:pt modelId="{2D236919-2946-44C5-8076-624EE5AC9BC1}" type="sibTrans" cxnId="{050D30A4-0A88-4A46-A607-EEC5319C4F42}">
      <dgm:prSet/>
      <dgm:spPr/>
      <dgm:t>
        <a:bodyPr/>
        <a:lstStyle/>
        <a:p>
          <a:endParaRPr lang="en-US"/>
        </a:p>
      </dgm:t>
    </dgm:pt>
    <dgm:pt modelId="{88EC1CA1-EA3E-4986-85BA-A4053924BB2B}">
      <dgm:prSet phldrT="[Text]" custT="1"/>
      <dgm:spPr>
        <a:xfrm>
          <a:off x="0" y="6557934"/>
          <a:ext cx="6134100" cy="739170"/>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Font typeface="Symbol" panose="05050102010706020507" pitchFamily="18" charset="2"/>
            <a:buNone/>
          </a:pPr>
          <a:r>
            <a:rPr lang="en-GB" sz="1100">
              <a:solidFill>
                <a:sysClr val="windowText" lastClr="000000"/>
              </a:solidFill>
              <a:latin typeface="Calibri" panose="020F0502020204030204"/>
              <a:ea typeface="+mn-ea"/>
              <a:cs typeface="+mn-cs"/>
            </a:rPr>
            <a:t> Epileptic patients on a ketogenic diet should not be switched to generic formulations unless agreed by the patient’s healthcare team as different products have different carbohydrate content.</a:t>
          </a:r>
          <a:endParaRPr lang="en-US" sz="1100">
            <a:solidFill>
              <a:sysClr val="windowText" lastClr="000000"/>
            </a:solidFill>
            <a:latin typeface="Calibri" panose="020F0502020204030204"/>
            <a:ea typeface="+mn-ea"/>
            <a:cs typeface="+mn-cs"/>
          </a:endParaRPr>
        </a:p>
      </dgm:t>
    </dgm:pt>
    <dgm:pt modelId="{4ECF65B3-9CD4-41E7-807A-C30F466E073F}" type="parTrans" cxnId="{5B9463DC-FE77-42B4-9677-C7ECE380FF96}">
      <dgm:prSet/>
      <dgm:spPr/>
      <dgm:t>
        <a:bodyPr/>
        <a:lstStyle/>
        <a:p>
          <a:endParaRPr lang="en-US"/>
        </a:p>
      </dgm:t>
    </dgm:pt>
    <dgm:pt modelId="{725B141B-2E62-4CCD-80EB-C9D92196E815}" type="sibTrans" cxnId="{5B9463DC-FE77-42B4-9677-C7ECE380FF96}">
      <dgm:prSet/>
      <dgm:spPr/>
      <dgm:t>
        <a:bodyPr/>
        <a:lstStyle/>
        <a:p>
          <a:endParaRPr lang="en-US"/>
        </a:p>
      </dgm:t>
    </dgm:pt>
    <dgm:pt modelId="{CB44D51D-821F-4F5A-851A-860C638B36B3}">
      <dgm:prSet phldrT="[Text]" custT="1"/>
      <dgm:spPr>
        <a:xfrm>
          <a:off x="0" y="7338592"/>
          <a:ext cx="6134100" cy="468059"/>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just">
            <a:buFont typeface="Symbol" panose="05050102010706020507" pitchFamily="18" charset="2"/>
            <a:buNone/>
          </a:pPr>
          <a:r>
            <a:rPr lang="en-GB" sz="1100">
              <a:solidFill>
                <a:sysClr val="windowText" lastClr="000000"/>
              </a:solidFill>
              <a:latin typeface="Calibri" panose="020F0502020204030204"/>
              <a:ea typeface="+mn-ea"/>
              <a:cs typeface="+mn-cs"/>
            </a:rPr>
            <a:t> Non-epilepsy uses of AEDs do not generally have significant consequences following minor changes in dose, so generic switching is unlikely to cause problems. </a:t>
          </a:r>
          <a:endParaRPr lang="en-US" sz="1100">
            <a:solidFill>
              <a:sysClr val="windowText" lastClr="000000"/>
            </a:solidFill>
            <a:latin typeface="Calibri" panose="020F0502020204030204"/>
            <a:ea typeface="+mn-ea"/>
            <a:cs typeface="+mn-cs"/>
          </a:endParaRPr>
        </a:p>
      </dgm:t>
    </dgm:pt>
    <dgm:pt modelId="{5D8A88EF-962A-41FF-9D87-02DD8C9CAD89}" type="parTrans" cxnId="{1AB22298-5F86-4611-914C-B215C059F5F4}">
      <dgm:prSet/>
      <dgm:spPr/>
      <dgm:t>
        <a:bodyPr/>
        <a:lstStyle/>
        <a:p>
          <a:endParaRPr lang="en-US"/>
        </a:p>
      </dgm:t>
    </dgm:pt>
    <dgm:pt modelId="{8F5C4553-F153-4247-83A6-9370CE37B594}" type="sibTrans" cxnId="{1AB22298-5F86-4611-914C-B215C059F5F4}">
      <dgm:prSet/>
      <dgm:spPr/>
      <dgm:t>
        <a:bodyPr/>
        <a:lstStyle/>
        <a:p>
          <a:endParaRPr lang="en-US"/>
        </a:p>
      </dgm:t>
    </dgm:pt>
    <dgm:pt modelId="{43105DF1-4451-4B36-AAC0-085E6618BCE0}">
      <dgm:prSet custT="1"/>
      <dgm:spPr>
        <a:xfrm>
          <a:off x="0" y="6476491"/>
          <a:ext cx="6134100" cy="2134108"/>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buNone/>
          </a:pPr>
          <a:r>
            <a:rPr lang="en-GB" sz="1200" b="1">
              <a:solidFill>
                <a:sysClr val="windowText" lastClr="000000"/>
              </a:solidFill>
              <a:latin typeface="Calibri" panose="020F0502020204030204"/>
              <a:ea typeface="+mn-ea"/>
              <a:cs typeface="+mn-cs"/>
            </a:rPr>
            <a:t>In summary: </a:t>
          </a:r>
        </a:p>
        <a:p>
          <a:pPr algn="just">
            <a:buNone/>
          </a:pPr>
          <a:r>
            <a:rPr lang="en-GB" sz="1200" b="0">
              <a:solidFill>
                <a:sysClr val="windowText" lastClr="000000"/>
              </a:solidFill>
              <a:latin typeface="Calibri" panose="020F0502020204030204"/>
              <a:ea typeface="+mn-ea"/>
              <a:cs typeface="+mn-cs"/>
            </a:rPr>
            <a:t> Patients identified as suitable for switching from brand to generic are those who agree to try a generic version and take an AED which is significantly cheaper as a generic. They must not have any contraindications to switching such as: sensitivity to small dose changes, experience of previous unsuccessful attempts to switch, sustained release preparations, good seizure control, serious consequences from a change in seizures (e.g. loss of driving license) and they must not be on a ketogenic diet or have allergies to the excipients in the generic.</a:t>
          </a:r>
          <a:endParaRPr lang="en-US" sz="1200" b="0">
            <a:solidFill>
              <a:sysClr val="windowText" lastClr="000000"/>
            </a:solidFill>
            <a:latin typeface="Calibri" panose="020F0502020204030204"/>
            <a:ea typeface="+mn-ea"/>
            <a:cs typeface="+mn-cs"/>
          </a:endParaRPr>
        </a:p>
      </dgm:t>
    </dgm:pt>
    <dgm:pt modelId="{24887933-59CC-47BB-999C-17080F4C387C}" type="parTrans" cxnId="{A323852C-26E9-4AC5-828E-69C8804E7573}">
      <dgm:prSet/>
      <dgm:spPr/>
      <dgm:t>
        <a:bodyPr/>
        <a:lstStyle/>
        <a:p>
          <a:endParaRPr lang="en-US"/>
        </a:p>
      </dgm:t>
    </dgm:pt>
    <dgm:pt modelId="{309C707D-A79C-42F1-986E-DE4EEBC18194}" type="sibTrans" cxnId="{A323852C-26E9-4AC5-828E-69C8804E7573}">
      <dgm:prSet/>
      <dgm:spPr/>
      <dgm:t>
        <a:bodyPr/>
        <a:lstStyle/>
        <a:p>
          <a:endParaRPr lang="en-US"/>
        </a:p>
      </dgm:t>
    </dgm:pt>
    <dgm:pt modelId="{4622DFCC-BBFA-4222-BA78-B67340FDE896}" type="pres">
      <dgm:prSet presAssocID="{DA51094C-560B-4BD6-953C-AA0383A54F3D}" presName="linear" presStyleCnt="0">
        <dgm:presLayoutVars>
          <dgm:animLvl val="lvl"/>
          <dgm:resizeHandles val="exact"/>
        </dgm:presLayoutVars>
      </dgm:prSet>
      <dgm:spPr/>
      <dgm:t>
        <a:bodyPr/>
        <a:lstStyle/>
        <a:p>
          <a:endParaRPr lang="en-GB"/>
        </a:p>
      </dgm:t>
    </dgm:pt>
    <dgm:pt modelId="{8E4E1B77-FE37-4179-B22B-570F9C822D09}" type="pres">
      <dgm:prSet presAssocID="{2FE9CD7F-F1F9-46DD-B74D-263AE22E8F10}" presName="parentText" presStyleLbl="node1" presStyleIdx="0" presStyleCnt="12" custScaleY="27366" custLinFactY="-7431" custLinFactNeighborY="-100000">
        <dgm:presLayoutVars>
          <dgm:chMax val="0"/>
          <dgm:bulletEnabled val="1"/>
        </dgm:presLayoutVars>
      </dgm:prSet>
      <dgm:spPr/>
      <dgm:t>
        <a:bodyPr/>
        <a:lstStyle/>
        <a:p>
          <a:endParaRPr lang="en-GB"/>
        </a:p>
      </dgm:t>
    </dgm:pt>
    <dgm:pt modelId="{E33567FA-5FBF-4FDA-9B68-9D094BCCBFBC}" type="pres">
      <dgm:prSet presAssocID="{70EB9EF9-6C0E-4560-87A3-1E64821D352B}" presName="spacer" presStyleCnt="0"/>
      <dgm:spPr/>
    </dgm:pt>
    <dgm:pt modelId="{F0DF0408-3B4F-4570-9DAD-07B32CE49C75}" type="pres">
      <dgm:prSet presAssocID="{F7CA8D76-57FB-4499-BEF2-710FE5DDBF79}" presName="parentText" presStyleLbl="node1" presStyleIdx="1" presStyleCnt="12" custScaleY="25877" custLinFactY="145278" custLinFactNeighborY="200000">
        <dgm:presLayoutVars>
          <dgm:chMax val="0"/>
          <dgm:bulletEnabled val="1"/>
        </dgm:presLayoutVars>
      </dgm:prSet>
      <dgm:spPr/>
      <dgm:t>
        <a:bodyPr/>
        <a:lstStyle/>
        <a:p>
          <a:endParaRPr lang="en-GB"/>
        </a:p>
      </dgm:t>
    </dgm:pt>
    <dgm:pt modelId="{64FBDDBF-1EBC-425F-B231-4AE062592EFE}" type="pres">
      <dgm:prSet presAssocID="{48798478-7F63-438A-9C4B-8AD253BA4AE0}" presName="spacer" presStyleCnt="0"/>
      <dgm:spPr/>
    </dgm:pt>
    <dgm:pt modelId="{5D544936-6F1F-4BA5-A5E3-6B6F89EA3664}" type="pres">
      <dgm:prSet presAssocID="{D62B767D-D32A-4082-817E-520499588AE1}" presName="parentText" presStyleLbl="node1" presStyleIdx="2" presStyleCnt="12" custScaleY="32984" custLinFactY="-28073" custLinFactNeighborY="-100000">
        <dgm:presLayoutVars>
          <dgm:chMax val="0"/>
          <dgm:bulletEnabled val="1"/>
        </dgm:presLayoutVars>
      </dgm:prSet>
      <dgm:spPr/>
      <dgm:t>
        <a:bodyPr/>
        <a:lstStyle/>
        <a:p>
          <a:endParaRPr lang="en-GB"/>
        </a:p>
      </dgm:t>
    </dgm:pt>
    <dgm:pt modelId="{C9467A88-F1C4-48C5-9D0D-E669B107347F}" type="pres">
      <dgm:prSet presAssocID="{D187FFF5-5FF9-43A2-8DCD-DCA495A36FC8}" presName="spacer" presStyleCnt="0"/>
      <dgm:spPr/>
    </dgm:pt>
    <dgm:pt modelId="{9F9E79B1-97AA-4F6B-AC1E-543317CE8869}" type="pres">
      <dgm:prSet presAssocID="{28DB718E-8318-4A35-BB2D-12843D918A78}" presName="parentText" presStyleLbl="node1" presStyleIdx="3" presStyleCnt="12" custScaleY="37155" custLinFactY="-28706" custLinFactNeighborY="-100000">
        <dgm:presLayoutVars>
          <dgm:chMax val="0"/>
          <dgm:bulletEnabled val="1"/>
        </dgm:presLayoutVars>
      </dgm:prSet>
      <dgm:spPr/>
      <dgm:t>
        <a:bodyPr/>
        <a:lstStyle/>
        <a:p>
          <a:endParaRPr lang="en-GB"/>
        </a:p>
      </dgm:t>
    </dgm:pt>
    <dgm:pt modelId="{2C2BF631-C082-4C72-B2E4-78B74F262F68}" type="pres">
      <dgm:prSet presAssocID="{7E29B463-222E-41BC-A003-F370699AD17D}" presName="spacer" presStyleCnt="0"/>
      <dgm:spPr/>
    </dgm:pt>
    <dgm:pt modelId="{F0479368-64FF-4276-ABD6-707A45B159F4}" type="pres">
      <dgm:prSet presAssocID="{568FF633-B459-4775-9C1A-BCE7F08D6C3D}" presName="parentText" presStyleLbl="node1" presStyleIdx="4" presStyleCnt="12" custScaleY="41143" custLinFactY="-29434" custLinFactNeighborY="-100000">
        <dgm:presLayoutVars>
          <dgm:chMax val="0"/>
          <dgm:bulletEnabled val="1"/>
        </dgm:presLayoutVars>
      </dgm:prSet>
      <dgm:spPr/>
      <dgm:t>
        <a:bodyPr/>
        <a:lstStyle/>
        <a:p>
          <a:endParaRPr lang="en-GB"/>
        </a:p>
      </dgm:t>
    </dgm:pt>
    <dgm:pt modelId="{EB3AC2EC-43E7-48C4-98F0-9DAA1E9F7B92}" type="pres">
      <dgm:prSet presAssocID="{5B287685-88E0-45B1-8AAC-74C33C564AA2}" presName="spacer" presStyleCnt="0"/>
      <dgm:spPr/>
    </dgm:pt>
    <dgm:pt modelId="{868DF17C-D1FD-4EF0-8030-AB3412B961B0}" type="pres">
      <dgm:prSet presAssocID="{8256DCD0-A45D-48D0-8C85-EB93F96ACB8E}" presName="parentText" presStyleLbl="node1" presStyleIdx="5" presStyleCnt="12" custScaleY="31881" custLinFactY="-30654" custLinFactNeighborY="-100000">
        <dgm:presLayoutVars>
          <dgm:chMax val="0"/>
          <dgm:bulletEnabled val="1"/>
        </dgm:presLayoutVars>
      </dgm:prSet>
      <dgm:spPr/>
      <dgm:t>
        <a:bodyPr/>
        <a:lstStyle/>
        <a:p>
          <a:endParaRPr lang="en-GB"/>
        </a:p>
      </dgm:t>
    </dgm:pt>
    <dgm:pt modelId="{78A3C8C3-8227-4044-A69A-F38D6917A332}" type="pres">
      <dgm:prSet presAssocID="{4ED625F9-7C7B-41CF-B6AA-B96F157D8072}" presName="spacer" presStyleCnt="0"/>
      <dgm:spPr/>
    </dgm:pt>
    <dgm:pt modelId="{260063ED-C9B6-40B6-883A-0566977199C0}" type="pres">
      <dgm:prSet presAssocID="{AB358548-E12E-413F-BF6A-AAAD5A201CFF}" presName="parentText" presStyleLbl="node1" presStyleIdx="6" presStyleCnt="12" custScaleY="28227" custLinFactY="-2562" custLinFactNeighborX="120" custLinFactNeighborY="-100000">
        <dgm:presLayoutVars>
          <dgm:chMax val="0"/>
          <dgm:bulletEnabled val="1"/>
        </dgm:presLayoutVars>
      </dgm:prSet>
      <dgm:spPr/>
      <dgm:t>
        <a:bodyPr/>
        <a:lstStyle/>
        <a:p>
          <a:endParaRPr lang="en-GB"/>
        </a:p>
      </dgm:t>
    </dgm:pt>
    <dgm:pt modelId="{DDE5E377-3AAF-4BF4-8E8B-2C2D2E54262C}" type="pres">
      <dgm:prSet presAssocID="{FD56A299-EACA-4B84-A5B4-8BB55F60AA5C}" presName="spacer" presStyleCnt="0"/>
      <dgm:spPr/>
    </dgm:pt>
    <dgm:pt modelId="{71B87DBF-EC2F-4B1D-ADB7-35368A15A5F7}" type="pres">
      <dgm:prSet presAssocID="{6A5D7729-9351-4C88-833F-5124517AB468}" presName="parentText" presStyleLbl="node1" presStyleIdx="7" presStyleCnt="12" custScaleY="48891" custLinFactY="-3069" custLinFactNeighborX="-120" custLinFactNeighborY="-100000">
        <dgm:presLayoutVars>
          <dgm:chMax val="0"/>
          <dgm:bulletEnabled val="1"/>
        </dgm:presLayoutVars>
      </dgm:prSet>
      <dgm:spPr/>
      <dgm:t>
        <a:bodyPr/>
        <a:lstStyle/>
        <a:p>
          <a:endParaRPr lang="en-GB"/>
        </a:p>
      </dgm:t>
    </dgm:pt>
    <dgm:pt modelId="{98C7D804-9C30-4A92-8945-195F395756A9}" type="pres">
      <dgm:prSet presAssocID="{2D236919-2946-44C5-8076-624EE5AC9BC1}" presName="spacer" presStyleCnt="0"/>
      <dgm:spPr/>
    </dgm:pt>
    <dgm:pt modelId="{8886E0B3-94D8-45C2-87DC-842072DB1460}" type="pres">
      <dgm:prSet presAssocID="{823AB156-ABEA-4D61-805B-2C283D12D356}" presName="parentText" presStyleLbl="node1" presStyleIdx="8" presStyleCnt="12" custScaleY="36562" custLinFactY="-3353" custLinFactNeighborX="120" custLinFactNeighborY="-100000">
        <dgm:presLayoutVars>
          <dgm:chMax val="0"/>
          <dgm:bulletEnabled val="1"/>
        </dgm:presLayoutVars>
      </dgm:prSet>
      <dgm:spPr/>
      <dgm:t>
        <a:bodyPr/>
        <a:lstStyle/>
        <a:p>
          <a:endParaRPr lang="en-GB"/>
        </a:p>
      </dgm:t>
    </dgm:pt>
    <dgm:pt modelId="{A7E0FA5F-A56B-4CE0-987A-03B05C632180}" type="pres">
      <dgm:prSet presAssocID="{D2CE233D-C21C-4AE2-826E-BB6B281714D2}" presName="spacer" presStyleCnt="0"/>
      <dgm:spPr/>
    </dgm:pt>
    <dgm:pt modelId="{C00F0B97-A398-4034-8ABD-59A9900F1C70}" type="pres">
      <dgm:prSet presAssocID="{88EC1CA1-EA3E-4986-85BA-A4053924BB2B}" presName="parentText" presStyleLbl="node1" presStyleIdx="9" presStyleCnt="12" custScaleY="33773" custLinFactY="-3946" custLinFactNeighborX="361" custLinFactNeighborY="-100000">
        <dgm:presLayoutVars>
          <dgm:chMax val="0"/>
          <dgm:bulletEnabled val="1"/>
        </dgm:presLayoutVars>
      </dgm:prSet>
      <dgm:spPr/>
      <dgm:t>
        <a:bodyPr/>
        <a:lstStyle/>
        <a:p>
          <a:endParaRPr lang="en-GB"/>
        </a:p>
      </dgm:t>
    </dgm:pt>
    <dgm:pt modelId="{A8886907-DFA8-488B-B3CC-2AD0BD596752}" type="pres">
      <dgm:prSet presAssocID="{725B141B-2E62-4CCD-80EB-C9D92196E815}" presName="spacer" presStyleCnt="0"/>
      <dgm:spPr/>
    </dgm:pt>
    <dgm:pt modelId="{A19B1906-5265-4329-81B2-2DCDB42BE611}" type="pres">
      <dgm:prSet presAssocID="{CB44D51D-821F-4F5A-851A-860C638B36B3}" presName="parentText" presStyleLbl="node1" presStyleIdx="10" presStyleCnt="12" custFlipVert="0" custScaleY="27803" custLinFactY="-3990" custLinFactNeighborY="-100000">
        <dgm:presLayoutVars>
          <dgm:chMax val="0"/>
          <dgm:bulletEnabled val="1"/>
        </dgm:presLayoutVars>
      </dgm:prSet>
      <dgm:spPr/>
      <dgm:t>
        <a:bodyPr/>
        <a:lstStyle/>
        <a:p>
          <a:endParaRPr lang="en-GB"/>
        </a:p>
      </dgm:t>
    </dgm:pt>
    <dgm:pt modelId="{2EB425FA-9F2C-4A03-9C48-1BB4223CFFC7}" type="pres">
      <dgm:prSet presAssocID="{8F5C4553-F153-4247-83A6-9370CE37B594}" presName="spacer" presStyleCnt="0"/>
      <dgm:spPr/>
    </dgm:pt>
    <dgm:pt modelId="{86EDDF81-A7B8-4BA2-B413-D6157A800BAA}" type="pres">
      <dgm:prSet presAssocID="{43105DF1-4451-4B36-AAC0-085E6618BCE0}" presName="parentText" presStyleLbl="node1" presStyleIdx="11" presStyleCnt="12" custScaleY="100888" custLinFactY="-2484" custLinFactNeighborY="-100000">
        <dgm:presLayoutVars>
          <dgm:chMax val="0"/>
          <dgm:bulletEnabled val="1"/>
        </dgm:presLayoutVars>
      </dgm:prSet>
      <dgm:spPr/>
      <dgm:t>
        <a:bodyPr/>
        <a:lstStyle/>
        <a:p>
          <a:endParaRPr lang="en-GB"/>
        </a:p>
      </dgm:t>
    </dgm:pt>
  </dgm:ptLst>
  <dgm:cxnLst>
    <dgm:cxn modelId="{755309B0-99CD-45C9-88E2-B77FC9225F19}" type="presOf" srcId="{F7CA8D76-57FB-4499-BEF2-710FE5DDBF79}" destId="{F0DF0408-3B4F-4570-9DAD-07B32CE49C75}" srcOrd="0" destOrd="0" presId="urn:microsoft.com/office/officeart/2005/8/layout/vList2"/>
    <dgm:cxn modelId="{050D30A4-0A88-4A46-A607-EEC5319C4F42}" srcId="{DA51094C-560B-4BD6-953C-AA0383A54F3D}" destId="{6A5D7729-9351-4C88-833F-5124517AB468}" srcOrd="7" destOrd="0" parTransId="{9C4A107D-CB88-4B03-B6E1-CDD86926B761}" sibTransId="{2D236919-2946-44C5-8076-624EE5AC9BC1}"/>
    <dgm:cxn modelId="{D9E7F765-2A0F-4468-8B76-4315F13F9931}" type="presOf" srcId="{43105DF1-4451-4B36-AAC0-085E6618BCE0}" destId="{86EDDF81-A7B8-4BA2-B413-D6157A800BAA}" srcOrd="0" destOrd="0" presId="urn:microsoft.com/office/officeart/2005/8/layout/vList2"/>
    <dgm:cxn modelId="{C0CE05F7-7214-44B2-A22A-2D3C82867365}" type="presOf" srcId="{D62B767D-D32A-4082-817E-520499588AE1}" destId="{5D544936-6F1F-4BA5-A5E3-6B6F89EA3664}" srcOrd="0" destOrd="0" presId="urn:microsoft.com/office/officeart/2005/8/layout/vList2"/>
    <dgm:cxn modelId="{9D859DDC-41B9-438C-982C-437504EF9B6A}" type="presOf" srcId="{823AB156-ABEA-4D61-805B-2C283D12D356}" destId="{8886E0B3-94D8-45C2-87DC-842072DB1460}" srcOrd="0" destOrd="0" presId="urn:microsoft.com/office/officeart/2005/8/layout/vList2"/>
    <dgm:cxn modelId="{59250EA7-9832-4A51-9D09-76B4CF7B5691}" srcId="{DA51094C-560B-4BD6-953C-AA0383A54F3D}" destId="{F7CA8D76-57FB-4499-BEF2-710FE5DDBF79}" srcOrd="1" destOrd="0" parTransId="{27F3B3DC-847C-4FF5-8AF8-464CC4F914F9}" sibTransId="{48798478-7F63-438A-9C4B-8AD253BA4AE0}"/>
    <dgm:cxn modelId="{9A765E62-3369-447A-93AF-6CA0A5FD2EE4}" srcId="{DA51094C-560B-4BD6-953C-AA0383A54F3D}" destId="{823AB156-ABEA-4D61-805B-2C283D12D356}" srcOrd="8" destOrd="0" parTransId="{B601AA98-FC4E-43F6-9F3B-D9A1E6CF6399}" sibTransId="{D2CE233D-C21C-4AE2-826E-BB6B281714D2}"/>
    <dgm:cxn modelId="{51974EA4-B775-49A2-A0CA-AEEC7051B012}" srcId="{DA51094C-560B-4BD6-953C-AA0383A54F3D}" destId="{AB358548-E12E-413F-BF6A-AAAD5A201CFF}" srcOrd="6" destOrd="0" parTransId="{72758D51-6F1F-4EBD-96B6-95BD825902EB}" sibTransId="{FD56A299-EACA-4B84-A5B4-8BB55F60AA5C}"/>
    <dgm:cxn modelId="{4F57ED1D-4457-424D-BBE2-C2D6C67E6DD4}" srcId="{DA51094C-560B-4BD6-953C-AA0383A54F3D}" destId="{8256DCD0-A45D-48D0-8C85-EB93F96ACB8E}" srcOrd="5" destOrd="0" parTransId="{BFA4E01D-6CFD-4338-9C36-6A5D0729543A}" sibTransId="{4ED625F9-7C7B-41CF-B6AA-B96F157D8072}"/>
    <dgm:cxn modelId="{E6FDB665-CAE1-4A16-9259-021BD9F2422B}" srcId="{DA51094C-560B-4BD6-953C-AA0383A54F3D}" destId="{28DB718E-8318-4A35-BB2D-12843D918A78}" srcOrd="3" destOrd="0" parTransId="{1A888F6B-6CC9-4BF7-B338-644540DAEEA0}" sibTransId="{7E29B463-222E-41BC-A003-F370699AD17D}"/>
    <dgm:cxn modelId="{1774F93A-7D1B-4462-941A-B6242FD98238}" type="presOf" srcId="{568FF633-B459-4775-9C1A-BCE7F08D6C3D}" destId="{F0479368-64FF-4276-ABD6-707A45B159F4}" srcOrd="0" destOrd="0" presId="urn:microsoft.com/office/officeart/2005/8/layout/vList2"/>
    <dgm:cxn modelId="{68E0CD3B-B4E1-42CF-8F1C-294298E0B18B}" type="presOf" srcId="{AB358548-E12E-413F-BF6A-AAAD5A201CFF}" destId="{260063ED-C9B6-40B6-883A-0566977199C0}" srcOrd="0" destOrd="0" presId="urn:microsoft.com/office/officeart/2005/8/layout/vList2"/>
    <dgm:cxn modelId="{E5066F3F-532D-4C42-8910-C7F99407322F}" srcId="{DA51094C-560B-4BD6-953C-AA0383A54F3D}" destId="{D62B767D-D32A-4082-817E-520499588AE1}" srcOrd="2" destOrd="0" parTransId="{AF9E2F75-55E1-4A29-A619-6061F9A2FB1A}" sibTransId="{D187FFF5-5FF9-43A2-8DCD-DCA495A36FC8}"/>
    <dgm:cxn modelId="{1D59497E-19A1-44C4-869B-AE0ECBA17CDB}" type="presOf" srcId="{8256DCD0-A45D-48D0-8C85-EB93F96ACB8E}" destId="{868DF17C-D1FD-4EF0-8030-AB3412B961B0}" srcOrd="0" destOrd="0" presId="urn:microsoft.com/office/officeart/2005/8/layout/vList2"/>
    <dgm:cxn modelId="{DCC8B45C-2CB3-4B60-8BD5-AAE4ADC9510E}" type="presOf" srcId="{DA51094C-560B-4BD6-953C-AA0383A54F3D}" destId="{4622DFCC-BBFA-4222-BA78-B67340FDE896}" srcOrd="0" destOrd="0" presId="urn:microsoft.com/office/officeart/2005/8/layout/vList2"/>
    <dgm:cxn modelId="{1AB22298-5F86-4611-914C-B215C059F5F4}" srcId="{DA51094C-560B-4BD6-953C-AA0383A54F3D}" destId="{CB44D51D-821F-4F5A-851A-860C638B36B3}" srcOrd="10" destOrd="0" parTransId="{5D8A88EF-962A-41FF-9D87-02DD8C9CAD89}" sibTransId="{8F5C4553-F153-4247-83A6-9370CE37B594}"/>
    <dgm:cxn modelId="{8D07CCF7-C2E8-47BE-8643-85F565065585}" type="presOf" srcId="{88EC1CA1-EA3E-4986-85BA-A4053924BB2B}" destId="{C00F0B97-A398-4034-8ABD-59A9900F1C70}" srcOrd="0" destOrd="0" presId="urn:microsoft.com/office/officeart/2005/8/layout/vList2"/>
    <dgm:cxn modelId="{6E21D868-CDD3-4B09-8400-60D77C82DFC6}" type="presOf" srcId="{6A5D7729-9351-4C88-833F-5124517AB468}" destId="{71B87DBF-EC2F-4B1D-ADB7-35368A15A5F7}" srcOrd="0" destOrd="0" presId="urn:microsoft.com/office/officeart/2005/8/layout/vList2"/>
    <dgm:cxn modelId="{6F77FB3F-C2FE-4290-A7DA-80C78BC560AF}" srcId="{DA51094C-560B-4BD6-953C-AA0383A54F3D}" destId="{2FE9CD7F-F1F9-46DD-B74D-263AE22E8F10}" srcOrd="0" destOrd="0" parTransId="{1DD3BE0A-A1C4-428E-9534-804F625DD24E}" sibTransId="{70EB9EF9-6C0E-4560-87A3-1E64821D352B}"/>
    <dgm:cxn modelId="{39A4C1E7-89A5-4C50-B295-58BFA7F6F0F6}" srcId="{DA51094C-560B-4BD6-953C-AA0383A54F3D}" destId="{568FF633-B459-4775-9C1A-BCE7F08D6C3D}" srcOrd="4" destOrd="0" parTransId="{0DDCF6FB-7D0C-4381-B0BC-04DB51995980}" sibTransId="{5B287685-88E0-45B1-8AAC-74C33C564AA2}"/>
    <dgm:cxn modelId="{5B9463DC-FE77-42B4-9677-C7ECE380FF96}" srcId="{DA51094C-560B-4BD6-953C-AA0383A54F3D}" destId="{88EC1CA1-EA3E-4986-85BA-A4053924BB2B}" srcOrd="9" destOrd="0" parTransId="{4ECF65B3-9CD4-41E7-807A-C30F466E073F}" sibTransId="{725B141B-2E62-4CCD-80EB-C9D92196E815}"/>
    <dgm:cxn modelId="{A323852C-26E9-4AC5-828E-69C8804E7573}" srcId="{DA51094C-560B-4BD6-953C-AA0383A54F3D}" destId="{43105DF1-4451-4B36-AAC0-085E6618BCE0}" srcOrd="11" destOrd="0" parTransId="{24887933-59CC-47BB-999C-17080F4C387C}" sibTransId="{309C707D-A79C-42F1-986E-DE4EEBC18194}"/>
    <dgm:cxn modelId="{737047E9-3359-4106-ACB5-4C4C1C00C590}" type="presOf" srcId="{28DB718E-8318-4A35-BB2D-12843D918A78}" destId="{9F9E79B1-97AA-4F6B-AC1E-543317CE8869}" srcOrd="0" destOrd="0" presId="urn:microsoft.com/office/officeart/2005/8/layout/vList2"/>
    <dgm:cxn modelId="{9711723D-483B-4EBE-8FC4-D20371434FEF}" type="presOf" srcId="{2FE9CD7F-F1F9-46DD-B74D-263AE22E8F10}" destId="{8E4E1B77-FE37-4179-B22B-570F9C822D09}" srcOrd="0" destOrd="0" presId="urn:microsoft.com/office/officeart/2005/8/layout/vList2"/>
    <dgm:cxn modelId="{FAD3E743-8632-46B2-ABF9-12E30B628C0A}" type="presOf" srcId="{CB44D51D-821F-4F5A-851A-860C638B36B3}" destId="{A19B1906-5265-4329-81B2-2DCDB42BE611}" srcOrd="0" destOrd="0" presId="urn:microsoft.com/office/officeart/2005/8/layout/vList2"/>
    <dgm:cxn modelId="{D8FB3AB0-963B-4AD7-882F-1CB22D7A085B}" type="presParOf" srcId="{4622DFCC-BBFA-4222-BA78-B67340FDE896}" destId="{8E4E1B77-FE37-4179-B22B-570F9C822D09}" srcOrd="0" destOrd="0" presId="urn:microsoft.com/office/officeart/2005/8/layout/vList2"/>
    <dgm:cxn modelId="{E88CFE45-05FC-4D91-B9B4-2EFB5C38086D}" type="presParOf" srcId="{4622DFCC-BBFA-4222-BA78-B67340FDE896}" destId="{E33567FA-5FBF-4FDA-9B68-9D094BCCBFBC}" srcOrd="1" destOrd="0" presId="urn:microsoft.com/office/officeart/2005/8/layout/vList2"/>
    <dgm:cxn modelId="{639E012C-478F-4094-9A57-832005C69C6F}" type="presParOf" srcId="{4622DFCC-BBFA-4222-BA78-B67340FDE896}" destId="{F0DF0408-3B4F-4570-9DAD-07B32CE49C75}" srcOrd="2" destOrd="0" presId="urn:microsoft.com/office/officeart/2005/8/layout/vList2"/>
    <dgm:cxn modelId="{5EB5B954-A193-4B40-8754-4F0A05298591}" type="presParOf" srcId="{4622DFCC-BBFA-4222-BA78-B67340FDE896}" destId="{64FBDDBF-1EBC-425F-B231-4AE062592EFE}" srcOrd="3" destOrd="0" presId="urn:microsoft.com/office/officeart/2005/8/layout/vList2"/>
    <dgm:cxn modelId="{47556DF3-0ABE-4970-95B8-90873BA37482}" type="presParOf" srcId="{4622DFCC-BBFA-4222-BA78-B67340FDE896}" destId="{5D544936-6F1F-4BA5-A5E3-6B6F89EA3664}" srcOrd="4" destOrd="0" presId="urn:microsoft.com/office/officeart/2005/8/layout/vList2"/>
    <dgm:cxn modelId="{48D6538E-7EFF-4894-8421-AC0EFE59457A}" type="presParOf" srcId="{4622DFCC-BBFA-4222-BA78-B67340FDE896}" destId="{C9467A88-F1C4-48C5-9D0D-E669B107347F}" srcOrd="5" destOrd="0" presId="urn:microsoft.com/office/officeart/2005/8/layout/vList2"/>
    <dgm:cxn modelId="{1F7341CE-D3A2-4497-A9A7-95B6F43C38AA}" type="presParOf" srcId="{4622DFCC-BBFA-4222-BA78-B67340FDE896}" destId="{9F9E79B1-97AA-4F6B-AC1E-543317CE8869}" srcOrd="6" destOrd="0" presId="urn:microsoft.com/office/officeart/2005/8/layout/vList2"/>
    <dgm:cxn modelId="{064F86E1-39B8-4A0D-ADCE-350B9B635337}" type="presParOf" srcId="{4622DFCC-BBFA-4222-BA78-B67340FDE896}" destId="{2C2BF631-C082-4C72-B2E4-78B74F262F68}" srcOrd="7" destOrd="0" presId="urn:microsoft.com/office/officeart/2005/8/layout/vList2"/>
    <dgm:cxn modelId="{7ED99D09-4ED3-49F2-8757-E38B9586F0E3}" type="presParOf" srcId="{4622DFCC-BBFA-4222-BA78-B67340FDE896}" destId="{F0479368-64FF-4276-ABD6-707A45B159F4}" srcOrd="8" destOrd="0" presId="urn:microsoft.com/office/officeart/2005/8/layout/vList2"/>
    <dgm:cxn modelId="{17297E21-7177-4B16-925A-E18241225032}" type="presParOf" srcId="{4622DFCC-BBFA-4222-BA78-B67340FDE896}" destId="{EB3AC2EC-43E7-48C4-98F0-9DAA1E9F7B92}" srcOrd="9" destOrd="0" presId="urn:microsoft.com/office/officeart/2005/8/layout/vList2"/>
    <dgm:cxn modelId="{804A722B-3F3F-42A4-9759-8169DF1F35C5}" type="presParOf" srcId="{4622DFCC-BBFA-4222-BA78-B67340FDE896}" destId="{868DF17C-D1FD-4EF0-8030-AB3412B961B0}" srcOrd="10" destOrd="0" presId="urn:microsoft.com/office/officeart/2005/8/layout/vList2"/>
    <dgm:cxn modelId="{7F348273-6C7E-42CF-9FAC-5C013266B329}" type="presParOf" srcId="{4622DFCC-BBFA-4222-BA78-B67340FDE896}" destId="{78A3C8C3-8227-4044-A69A-F38D6917A332}" srcOrd="11" destOrd="0" presId="urn:microsoft.com/office/officeart/2005/8/layout/vList2"/>
    <dgm:cxn modelId="{1D4AF6E0-598C-45AC-BE6F-02553E755B4C}" type="presParOf" srcId="{4622DFCC-BBFA-4222-BA78-B67340FDE896}" destId="{260063ED-C9B6-40B6-883A-0566977199C0}" srcOrd="12" destOrd="0" presId="urn:microsoft.com/office/officeart/2005/8/layout/vList2"/>
    <dgm:cxn modelId="{66ECC09F-6BB6-4B92-9345-4A489EC08922}" type="presParOf" srcId="{4622DFCC-BBFA-4222-BA78-B67340FDE896}" destId="{DDE5E377-3AAF-4BF4-8E8B-2C2D2E54262C}" srcOrd="13" destOrd="0" presId="urn:microsoft.com/office/officeart/2005/8/layout/vList2"/>
    <dgm:cxn modelId="{3000E6DA-AAA1-4E7A-8496-F3FD6D0D1CCE}" type="presParOf" srcId="{4622DFCC-BBFA-4222-BA78-B67340FDE896}" destId="{71B87DBF-EC2F-4B1D-ADB7-35368A15A5F7}" srcOrd="14" destOrd="0" presId="urn:microsoft.com/office/officeart/2005/8/layout/vList2"/>
    <dgm:cxn modelId="{EDC76595-A8F8-4DF2-B19A-77D14C01520A}" type="presParOf" srcId="{4622DFCC-BBFA-4222-BA78-B67340FDE896}" destId="{98C7D804-9C30-4A92-8945-195F395756A9}" srcOrd="15" destOrd="0" presId="urn:microsoft.com/office/officeart/2005/8/layout/vList2"/>
    <dgm:cxn modelId="{2CA9C873-E066-4D85-8980-44C7DBE2298C}" type="presParOf" srcId="{4622DFCC-BBFA-4222-BA78-B67340FDE896}" destId="{8886E0B3-94D8-45C2-87DC-842072DB1460}" srcOrd="16" destOrd="0" presId="urn:microsoft.com/office/officeart/2005/8/layout/vList2"/>
    <dgm:cxn modelId="{EF95A14B-6AE0-45E6-8754-D81E33617FE8}" type="presParOf" srcId="{4622DFCC-BBFA-4222-BA78-B67340FDE896}" destId="{A7E0FA5F-A56B-4CE0-987A-03B05C632180}" srcOrd="17" destOrd="0" presId="urn:microsoft.com/office/officeart/2005/8/layout/vList2"/>
    <dgm:cxn modelId="{D923F28B-4246-49D3-B1C0-8AF9A13C8978}" type="presParOf" srcId="{4622DFCC-BBFA-4222-BA78-B67340FDE896}" destId="{C00F0B97-A398-4034-8ABD-59A9900F1C70}" srcOrd="18" destOrd="0" presId="urn:microsoft.com/office/officeart/2005/8/layout/vList2"/>
    <dgm:cxn modelId="{D44E0753-B7A3-4868-9167-4523C1473EB4}" type="presParOf" srcId="{4622DFCC-BBFA-4222-BA78-B67340FDE896}" destId="{A8886907-DFA8-488B-B3CC-2AD0BD596752}" srcOrd="19" destOrd="0" presId="urn:microsoft.com/office/officeart/2005/8/layout/vList2"/>
    <dgm:cxn modelId="{D261291B-1A18-4B05-9ECB-4D41C61732A1}" type="presParOf" srcId="{4622DFCC-BBFA-4222-BA78-B67340FDE896}" destId="{A19B1906-5265-4329-81B2-2DCDB42BE611}" srcOrd="20" destOrd="0" presId="urn:microsoft.com/office/officeart/2005/8/layout/vList2"/>
    <dgm:cxn modelId="{6F5C23DF-1518-4FD3-8885-EA8A6A8FD4ED}" type="presParOf" srcId="{4622DFCC-BBFA-4222-BA78-B67340FDE896}" destId="{2EB425FA-9F2C-4A03-9C48-1BB4223CFFC7}" srcOrd="21" destOrd="0" presId="urn:microsoft.com/office/officeart/2005/8/layout/vList2"/>
    <dgm:cxn modelId="{B78C84C1-9FD1-4562-90A7-4FD90CC9036F}" type="presParOf" srcId="{4622DFCC-BBFA-4222-BA78-B67340FDE896}" destId="{86EDDF81-A7B8-4BA2-B413-D6157A800BAA}" srcOrd="22" destOrd="0" presId="urn:microsoft.com/office/officeart/2005/8/layout/vList2"/>
  </dgm:cxnLst>
  <dgm:bg/>
  <dgm:whole>
    <a:ln w="15875">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4E1B77-FE37-4179-B22B-570F9C822D09}">
      <dsp:nvSpPr>
        <dsp:cNvPr id="0" name=""/>
        <dsp:cNvSpPr/>
      </dsp:nvSpPr>
      <dsp:spPr>
        <a:xfrm>
          <a:off x="0" y="0"/>
          <a:ext cx="5274310" cy="454887"/>
        </a:xfrm>
        <a:prstGeom prst="roundRect">
          <a:avLst/>
        </a:prstGeom>
        <a:solidFill>
          <a:srgbClr val="ED7D31">
            <a:lumMod val="40000"/>
            <a:lumOff val="6000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buNone/>
          </a:pPr>
          <a:r>
            <a:rPr lang="en-US" sz="1400" b="1" kern="1200">
              <a:solidFill>
                <a:sysClr val="windowText" lastClr="000000"/>
              </a:solidFill>
              <a:latin typeface="Calibri" panose="020F0502020204030204"/>
              <a:ea typeface="+mn-ea"/>
              <a:cs typeface="+mn-cs"/>
            </a:rPr>
            <a:t>Principles for Switching</a:t>
          </a:r>
        </a:p>
      </dsp:txBody>
      <dsp:txXfrm>
        <a:off x="22206" y="22206"/>
        <a:ext cx="5229898" cy="410475"/>
      </dsp:txXfrm>
    </dsp:sp>
    <dsp:sp modelId="{F0DF0408-3B4F-4570-9DAD-07B32CE49C75}">
      <dsp:nvSpPr>
        <dsp:cNvPr id="0" name=""/>
        <dsp:cNvSpPr/>
      </dsp:nvSpPr>
      <dsp:spPr>
        <a:xfrm>
          <a:off x="0" y="3107401"/>
          <a:ext cx="5274310" cy="430137"/>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Symbol" panose="05050102010706020507" pitchFamily="18" charset="2"/>
            <a:buNone/>
          </a:pPr>
          <a:r>
            <a:rPr lang="en-GB" sz="1100" kern="1200">
              <a:solidFill>
                <a:sysClr val="windowText" lastClr="000000"/>
              </a:solidFill>
              <a:latin typeface="Calibri" panose="020F0502020204030204"/>
              <a:ea typeface="+mn-ea"/>
              <a:cs typeface="+mn-cs"/>
            </a:rPr>
            <a:t> Sustained or Modified Release products present a greater risk and should not be considered generic (see specific product recommendations below).</a:t>
          </a:r>
          <a:endParaRPr lang="en-US" sz="1100" kern="1200">
            <a:solidFill>
              <a:sysClr val="windowText" lastClr="000000"/>
            </a:solidFill>
            <a:latin typeface="Calibri" panose="020F0502020204030204"/>
            <a:ea typeface="+mn-ea"/>
            <a:cs typeface="+mn-cs"/>
          </a:endParaRPr>
        </a:p>
      </dsp:txBody>
      <dsp:txXfrm>
        <a:off x="20998" y="3128399"/>
        <a:ext cx="5232314" cy="388141"/>
      </dsp:txXfrm>
    </dsp:sp>
    <dsp:sp modelId="{5D544936-6F1F-4BA5-A5E3-6B6F89EA3664}">
      <dsp:nvSpPr>
        <dsp:cNvPr id="0" name=""/>
        <dsp:cNvSpPr/>
      </dsp:nvSpPr>
      <dsp:spPr>
        <a:xfrm>
          <a:off x="0" y="523552"/>
          <a:ext cx="5274310" cy="548272"/>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None/>
          </a:pPr>
          <a:r>
            <a:rPr lang="en-GB" sz="1100" kern="1200">
              <a:solidFill>
                <a:sysClr val="windowText" lastClr="000000"/>
              </a:solidFill>
              <a:latin typeface="Calibri" panose="020F0502020204030204"/>
              <a:ea typeface="+mn-ea"/>
              <a:cs typeface="+mn-cs"/>
            </a:rPr>
            <a:t> Only consider switching where there will be a significant clinical, logistical or financial  benefit.  Risks involved in switching AEDs should be mitigated as far as possible.</a:t>
          </a:r>
          <a:endParaRPr lang="en-US" sz="1100" kern="1200">
            <a:solidFill>
              <a:sysClr val="windowText" lastClr="000000"/>
            </a:solidFill>
            <a:latin typeface="Calibri" panose="020F0502020204030204"/>
            <a:ea typeface="+mn-ea"/>
            <a:cs typeface="+mn-cs"/>
          </a:endParaRPr>
        </a:p>
      </dsp:txBody>
      <dsp:txXfrm>
        <a:off x="26764" y="550316"/>
        <a:ext cx="5220782" cy="494744"/>
      </dsp:txXfrm>
    </dsp:sp>
    <dsp:sp modelId="{9F9E79B1-97AA-4F6B-AC1E-543317CE8869}">
      <dsp:nvSpPr>
        <dsp:cNvPr id="0" name=""/>
        <dsp:cNvSpPr/>
      </dsp:nvSpPr>
      <dsp:spPr>
        <a:xfrm>
          <a:off x="0" y="1127543"/>
          <a:ext cx="5274310" cy="617604"/>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Symbol" panose="05050102010706020507" pitchFamily="18" charset="2"/>
            <a:buNone/>
          </a:pPr>
          <a:r>
            <a:rPr lang="en-GB" sz="1100" kern="1200">
              <a:solidFill>
                <a:sysClr val="windowText" lastClr="000000"/>
              </a:solidFill>
              <a:latin typeface="Calibri" panose="020F0502020204030204"/>
              <a:ea typeface="+mn-ea"/>
              <a:cs typeface="+mn-cs"/>
            </a:rPr>
            <a:t> Determine whether the patient has previously experienced problems when switching between brands and generics or if they've been told by their doctor that they must not switch between brands or generics.</a:t>
          </a:r>
          <a:endParaRPr lang="en-US" sz="1100" kern="1200">
            <a:solidFill>
              <a:sysClr val="windowText" lastClr="000000"/>
            </a:solidFill>
            <a:latin typeface="Calibri" panose="020F0502020204030204"/>
            <a:ea typeface="+mn-ea"/>
            <a:cs typeface="+mn-cs"/>
          </a:endParaRPr>
        </a:p>
      </dsp:txBody>
      <dsp:txXfrm>
        <a:off x="30149" y="1157692"/>
        <a:ext cx="5214012" cy="557306"/>
      </dsp:txXfrm>
    </dsp:sp>
    <dsp:sp modelId="{F0479368-64FF-4276-ABD6-707A45B159F4}">
      <dsp:nvSpPr>
        <dsp:cNvPr id="0" name=""/>
        <dsp:cNvSpPr/>
      </dsp:nvSpPr>
      <dsp:spPr>
        <a:xfrm>
          <a:off x="0" y="1799286"/>
          <a:ext cx="5274310" cy="683894"/>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Symbol" panose="05050102010706020507" pitchFamily="18" charset="2"/>
            <a:buNone/>
          </a:pPr>
          <a:r>
            <a:rPr lang="en-GB" sz="1100" kern="1200">
              <a:solidFill>
                <a:sysClr val="windowText" lastClr="000000"/>
              </a:solidFill>
              <a:latin typeface="Calibri" panose="020F0502020204030204"/>
              <a:ea typeface="+mn-ea"/>
              <a:cs typeface="+mn-cs"/>
            </a:rPr>
            <a:t> Patients are encouraged to be involved in their own healthcare, with decisions made in partnership with clinicians, rather than by clinicians alone. </a:t>
          </a:r>
          <a:r>
            <a:rPr lang="en-GB" sz="900" kern="1200">
              <a:solidFill>
                <a:sysClr val="windowText" lastClr="000000"/>
              </a:solidFill>
              <a:latin typeface="Calibri" panose="020F0502020204030204"/>
              <a:ea typeface="+mn-ea"/>
              <a:cs typeface="+mn-cs"/>
            </a:rPr>
            <a:t>(DoH 2010) </a:t>
          </a:r>
          <a:r>
            <a:rPr lang="en-GB" sz="1100" kern="1200">
              <a:solidFill>
                <a:sysClr val="windowText" lastClr="000000"/>
              </a:solidFill>
              <a:latin typeface="Calibri" panose="020F0502020204030204"/>
              <a:ea typeface="+mn-ea"/>
              <a:cs typeface="+mn-cs"/>
            </a:rPr>
            <a:t>Inform patients of the benefits and risks of switching between brands and generics and ask patients their views about switching.</a:t>
          </a:r>
          <a:endParaRPr lang="en-US" sz="1100" kern="1200">
            <a:solidFill>
              <a:sysClr val="windowText" lastClr="000000"/>
            </a:solidFill>
            <a:latin typeface="Calibri" panose="020F0502020204030204"/>
            <a:ea typeface="+mn-ea"/>
            <a:cs typeface="+mn-cs"/>
          </a:endParaRPr>
        </a:p>
      </dsp:txBody>
      <dsp:txXfrm>
        <a:off x="33385" y="1832671"/>
        <a:ext cx="5207540" cy="617124"/>
      </dsp:txXfrm>
    </dsp:sp>
    <dsp:sp modelId="{868DF17C-D1FD-4EF0-8030-AB3412B961B0}">
      <dsp:nvSpPr>
        <dsp:cNvPr id="0" name=""/>
        <dsp:cNvSpPr/>
      </dsp:nvSpPr>
      <dsp:spPr>
        <a:xfrm>
          <a:off x="0" y="2529142"/>
          <a:ext cx="5274310" cy="529938"/>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Symbol" panose="05050102010706020507" pitchFamily="18" charset="2"/>
            <a:buNone/>
          </a:pPr>
          <a:r>
            <a:rPr lang="en-GB" sz="1100" kern="1200">
              <a:solidFill>
                <a:sysClr val="windowText" lastClr="000000"/>
              </a:solidFill>
              <a:latin typeface="Calibri" panose="020F0502020204030204"/>
              <a:ea typeface="+mn-ea"/>
              <a:cs typeface="+mn-cs"/>
            </a:rPr>
            <a:t> Patients should not routinely be switched from existing medicines without their consent unless urgent treatment is needed</a:t>
          </a:r>
          <a:r>
            <a:rPr lang="en-GB" sz="1200" kern="1200">
              <a:solidFill>
                <a:sysClr val="windowText" lastClr="000000"/>
              </a:solidFill>
              <a:latin typeface="Calibri" panose="020F0502020204030204"/>
              <a:ea typeface="+mn-ea"/>
              <a:cs typeface="+mn-cs"/>
            </a:rPr>
            <a:t>.</a:t>
          </a:r>
          <a:endParaRPr lang="en-US" sz="1200" kern="1200">
            <a:solidFill>
              <a:sysClr val="windowText" lastClr="000000"/>
            </a:solidFill>
            <a:latin typeface="Calibri" panose="020F0502020204030204"/>
            <a:ea typeface="+mn-ea"/>
            <a:cs typeface="+mn-cs"/>
          </a:endParaRPr>
        </a:p>
      </dsp:txBody>
      <dsp:txXfrm>
        <a:off x="25869" y="2555011"/>
        <a:ext cx="5222572" cy="478200"/>
      </dsp:txXfrm>
    </dsp:sp>
    <dsp:sp modelId="{260063ED-C9B6-40B6-883A-0566977199C0}">
      <dsp:nvSpPr>
        <dsp:cNvPr id="0" name=""/>
        <dsp:cNvSpPr/>
      </dsp:nvSpPr>
      <dsp:spPr>
        <a:xfrm>
          <a:off x="0" y="3592275"/>
          <a:ext cx="5274310" cy="469199"/>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None/>
          </a:pPr>
          <a:r>
            <a:rPr lang="en-GB" sz="1100" kern="1200">
              <a:solidFill>
                <a:sysClr val="windowText" lastClr="000000"/>
              </a:solidFill>
              <a:latin typeface="Calibri" panose="020F0502020204030204"/>
              <a:ea typeface="+mn-ea"/>
              <a:cs typeface="+mn-cs"/>
            </a:rPr>
            <a:t> Patients with highly labile seizure control should not be switched to generics and should be maintained on their usual AED brand or generic. </a:t>
          </a:r>
          <a:endParaRPr lang="en-US" sz="1100" kern="1200">
            <a:solidFill>
              <a:sysClr val="windowText" lastClr="000000"/>
            </a:solidFill>
            <a:latin typeface="Calibri" panose="020F0502020204030204"/>
            <a:ea typeface="+mn-ea"/>
            <a:cs typeface="+mn-cs"/>
          </a:endParaRPr>
        </a:p>
      </dsp:txBody>
      <dsp:txXfrm>
        <a:off x="22904" y="3615179"/>
        <a:ext cx="5228502" cy="423391"/>
      </dsp:txXfrm>
    </dsp:sp>
    <dsp:sp modelId="{71B87DBF-EC2F-4B1D-ADB7-35368A15A5F7}">
      <dsp:nvSpPr>
        <dsp:cNvPr id="0" name=""/>
        <dsp:cNvSpPr/>
      </dsp:nvSpPr>
      <dsp:spPr>
        <a:xfrm>
          <a:off x="0" y="4119288"/>
          <a:ext cx="5274310" cy="812684"/>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Symbol" panose="05050102010706020507" pitchFamily="18" charset="2"/>
            <a:buNone/>
          </a:pPr>
          <a:r>
            <a:rPr lang="en-GB" sz="1100" kern="1200">
              <a:solidFill>
                <a:sysClr val="windowText" lastClr="000000"/>
              </a:solidFill>
              <a:latin typeface="Calibri" panose="020F0502020204030204"/>
              <a:ea typeface="+mn-ea"/>
              <a:cs typeface="+mn-cs"/>
            </a:rPr>
            <a:t> Patients with optimal seizure control (i.e. seizure-free or seizure frequency has  markedly reduced) should not be switched to generics and should be maintained on their usual brand or generic.  This of highest importance where the recurrence of a seizure could lead to socio-economic harm (e.g. loss of a driving license). </a:t>
          </a:r>
          <a:endParaRPr lang="en-US" sz="1100" kern="1200">
            <a:solidFill>
              <a:sysClr val="windowText" lastClr="000000"/>
            </a:solidFill>
            <a:latin typeface="Calibri" panose="020F0502020204030204"/>
            <a:ea typeface="+mn-ea"/>
            <a:cs typeface="+mn-cs"/>
          </a:endParaRPr>
        </a:p>
      </dsp:txBody>
      <dsp:txXfrm>
        <a:off x="39672" y="4158960"/>
        <a:ext cx="5194966" cy="733340"/>
      </dsp:txXfrm>
    </dsp:sp>
    <dsp:sp modelId="{8886E0B3-94D8-45C2-87DC-842072DB1460}">
      <dsp:nvSpPr>
        <dsp:cNvPr id="0" name=""/>
        <dsp:cNvSpPr/>
      </dsp:nvSpPr>
      <dsp:spPr>
        <a:xfrm>
          <a:off x="0" y="4993492"/>
          <a:ext cx="5274310" cy="607747"/>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Symbol" panose="05050102010706020507" pitchFamily="18" charset="2"/>
            <a:buNone/>
          </a:pPr>
          <a:r>
            <a:rPr lang="en-GB" sz="1100" kern="1200">
              <a:solidFill>
                <a:sysClr val="windowText" lastClr="000000"/>
              </a:solidFill>
              <a:latin typeface="Calibri" panose="020F0502020204030204"/>
              <a:ea typeface="+mn-ea"/>
              <a:cs typeface="+mn-cs"/>
            </a:rPr>
            <a:t> If there has been a recent loss of seizure control and additional or alternative AEDs are to be prescribed, even where products are not recommended to be switched this is an opportunity to move to a generic version where this is appropriate.</a:t>
          </a:r>
          <a:endParaRPr lang="en-US" sz="1100" kern="1200">
            <a:solidFill>
              <a:sysClr val="windowText" lastClr="000000"/>
            </a:solidFill>
            <a:latin typeface="Calibri" panose="020F0502020204030204"/>
            <a:ea typeface="+mn-ea"/>
            <a:cs typeface="+mn-cs"/>
          </a:endParaRPr>
        </a:p>
      </dsp:txBody>
      <dsp:txXfrm>
        <a:off x="29668" y="5023160"/>
        <a:ext cx="5214974" cy="548411"/>
      </dsp:txXfrm>
    </dsp:sp>
    <dsp:sp modelId="{C00F0B97-A398-4034-8ABD-59A9900F1C70}">
      <dsp:nvSpPr>
        <dsp:cNvPr id="0" name=""/>
        <dsp:cNvSpPr/>
      </dsp:nvSpPr>
      <dsp:spPr>
        <a:xfrm>
          <a:off x="0" y="5657622"/>
          <a:ext cx="5274310" cy="561387"/>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Symbol" panose="05050102010706020507" pitchFamily="18" charset="2"/>
            <a:buNone/>
          </a:pPr>
          <a:r>
            <a:rPr lang="en-GB" sz="1100" kern="1200">
              <a:solidFill>
                <a:sysClr val="windowText" lastClr="000000"/>
              </a:solidFill>
              <a:latin typeface="Calibri" panose="020F0502020204030204"/>
              <a:ea typeface="+mn-ea"/>
              <a:cs typeface="+mn-cs"/>
            </a:rPr>
            <a:t> Epileptic patients on a ketogenic diet should not be switched to generic formulations unless agreed by the patient’s healthcare team as different products have different carbohydrate content.</a:t>
          </a:r>
          <a:endParaRPr lang="en-US" sz="1100" kern="1200">
            <a:solidFill>
              <a:sysClr val="windowText" lastClr="000000"/>
            </a:solidFill>
            <a:latin typeface="Calibri" panose="020F0502020204030204"/>
            <a:ea typeface="+mn-ea"/>
            <a:cs typeface="+mn-cs"/>
          </a:endParaRPr>
        </a:p>
      </dsp:txBody>
      <dsp:txXfrm>
        <a:off x="27405" y="5685027"/>
        <a:ext cx="5219500" cy="506577"/>
      </dsp:txXfrm>
    </dsp:sp>
    <dsp:sp modelId="{A19B1906-5265-4329-81B2-2DCDB42BE611}">
      <dsp:nvSpPr>
        <dsp:cNvPr id="0" name=""/>
        <dsp:cNvSpPr/>
      </dsp:nvSpPr>
      <dsp:spPr>
        <a:xfrm>
          <a:off x="0" y="6284518"/>
          <a:ext cx="5274310" cy="462151"/>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just" defTabSz="488950">
            <a:lnSpc>
              <a:spcPct val="90000"/>
            </a:lnSpc>
            <a:spcBef>
              <a:spcPct val="0"/>
            </a:spcBef>
            <a:spcAft>
              <a:spcPct val="35000"/>
            </a:spcAft>
            <a:buFont typeface="Symbol" panose="05050102010706020507" pitchFamily="18" charset="2"/>
            <a:buNone/>
          </a:pPr>
          <a:r>
            <a:rPr lang="en-GB" sz="1100" kern="1200">
              <a:solidFill>
                <a:sysClr val="windowText" lastClr="000000"/>
              </a:solidFill>
              <a:latin typeface="Calibri" panose="020F0502020204030204"/>
              <a:ea typeface="+mn-ea"/>
              <a:cs typeface="+mn-cs"/>
            </a:rPr>
            <a:t> Non-epilepsy uses of AEDs do not generally have significant consequences following minor changes in dose, so generic switching is unlikely to cause problems. </a:t>
          </a:r>
          <a:endParaRPr lang="en-US" sz="1100" kern="1200">
            <a:solidFill>
              <a:sysClr val="windowText" lastClr="000000"/>
            </a:solidFill>
            <a:latin typeface="Calibri" panose="020F0502020204030204"/>
            <a:ea typeface="+mn-ea"/>
            <a:cs typeface="+mn-cs"/>
          </a:endParaRPr>
        </a:p>
      </dsp:txBody>
      <dsp:txXfrm>
        <a:off x="22560" y="6307078"/>
        <a:ext cx="5229190" cy="417031"/>
      </dsp:txXfrm>
    </dsp:sp>
    <dsp:sp modelId="{86EDDF81-A7B8-4BA2-B413-D6157A800BAA}">
      <dsp:nvSpPr>
        <dsp:cNvPr id="0" name=""/>
        <dsp:cNvSpPr/>
      </dsp:nvSpPr>
      <dsp:spPr>
        <a:xfrm>
          <a:off x="0" y="6837943"/>
          <a:ext cx="5274310" cy="1676998"/>
        </a:xfrm>
        <a:prstGeom prst="roundRect">
          <a:avLst/>
        </a:prstGeom>
        <a:solidFill>
          <a:srgbClr val="ED7D31">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In summary: </a:t>
          </a:r>
        </a:p>
        <a:p>
          <a:pPr lvl="0" algn="just" defTabSz="533400">
            <a:lnSpc>
              <a:spcPct val="90000"/>
            </a:lnSpc>
            <a:spcBef>
              <a:spcPct val="0"/>
            </a:spcBef>
            <a:spcAft>
              <a:spcPct val="35000"/>
            </a:spcAft>
            <a:buNone/>
          </a:pPr>
          <a:r>
            <a:rPr lang="en-GB" sz="1200" b="0" kern="1200">
              <a:solidFill>
                <a:sysClr val="windowText" lastClr="000000"/>
              </a:solidFill>
              <a:latin typeface="Calibri" panose="020F0502020204030204"/>
              <a:ea typeface="+mn-ea"/>
              <a:cs typeface="+mn-cs"/>
            </a:rPr>
            <a:t> Patients identified as suitable for switching from brand to generic are those who agree to try a generic version and take an AED which is significantly cheaper as a generic. They must not have any contraindications to switching such as: sensitivity to small dose changes, experience of previous unsuccessful attempts to switch, sustained release preparations, good seizure control, serious consequences from a change in seizures (e.g. loss of driving license) and they must not be on a ketogenic diet or have allergies to the excipients in the generic.</a:t>
          </a:r>
          <a:endParaRPr lang="en-US" sz="1200" b="0" kern="1200">
            <a:solidFill>
              <a:sysClr val="windowText" lastClr="000000"/>
            </a:solidFill>
            <a:latin typeface="Calibri" panose="020F0502020204030204"/>
            <a:ea typeface="+mn-ea"/>
            <a:cs typeface="+mn-cs"/>
          </a:endParaRPr>
        </a:p>
      </dsp:txBody>
      <dsp:txXfrm>
        <a:off x="81864" y="6919807"/>
        <a:ext cx="5110582" cy="151327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2C5B0-C3A3-4B11-8B49-F07CA591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28864</Words>
  <Characters>164528</Characters>
  <Application>Microsoft Office Word</Application>
  <DocSecurity>4</DocSecurity>
  <Lines>1371</Lines>
  <Paragraphs>386</Paragraphs>
  <ScaleCrop>false</ScaleCrop>
  <HeadingPairs>
    <vt:vector size="2" baseType="variant">
      <vt:variant>
        <vt:lpstr>Title</vt:lpstr>
      </vt:variant>
      <vt:variant>
        <vt:i4>1</vt:i4>
      </vt:variant>
    </vt:vector>
  </HeadingPairs>
  <TitlesOfParts>
    <vt:vector size="1" baseType="lpstr">
      <vt:lpstr> </vt:lpstr>
    </vt:vector>
  </TitlesOfParts>
  <Company>Southend Hospital NHS Trust</Company>
  <LinksUpToDate>false</LinksUpToDate>
  <CharactersWithSpaces>193006</CharactersWithSpaces>
  <SharedDoc>false</SharedDoc>
  <HLinks>
    <vt:vector size="168" baseType="variant">
      <vt:variant>
        <vt:i4>3211276</vt:i4>
      </vt:variant>
      <vt:variant>
        <vt:i4>81</vt:i4>
      </vt:variant>
      <vt:variant>
        <vt:i4>0</vt:i4>
      </vt:variant>
      <vt:variant>
        <vt:i4>5</vt:i4>
      </vt:variant>
      <vt:variant>
        <vt:lpwstr>http://www.ncbi.nlm.nih.gov/pubmed/18363709</vt:lpwstr>
      </vt:variant>
      <vt:variant>
        <vt:lpwstr>#</vt:lpwstr>
      </vt:variant>
      <vt:variant>
        <vt:i4>852010</vt:i4>
      </vt:variant>
      <vt:variant>
        <vt:i4>78</vt:i4>
      </vt:variant>
      <vt:variant>
        <vt:i4>0</vt:i4>
      </vt:variant>
      <vt:variant>
        <vt:i4>5</vt:i4>
      </vt:variant>
      <vt:variant>
        <vt:lpwstr>http://www.ncbi.nlm.nih.gov/pubmed?term=Crespel%20A%5BAuthor%5D&amp;cauthor=true&amp;cauthor_uid=18363709</vt:lpwstr>
      </vt:variant>
      <vt:variant>
        <vt:lpwstr/>
      </vt:variant>
      <vt:variant>
        <vt:i4>7602190</vt:i4>
      </vt:variant>
      <vt:variant>
        <vt:i4>75</vt:i4>
      </vt:variant>
      <vt:variant>
        <vt:i4>0</vt:i4>
      </vt:variant>
      <vt:variant>
        <vt:i4>5</vt:i4>
      </vt:variant>
      <vt:variant>
        <vt:lpwstr>http://www.ncbi.nlm.nih.gov/pubmed?term=Dujols%20P%5BAuthor%5D&amp;cauthor=true&amp;cauthor_uid=18363709</vt:lpwstr>
      </vt:variant>
      <vt:variant>
        <vt:lpwstr/>
      </vt:variant>
      <vt:variant>
        <vt:i4>5701684</vt:i4>
      </vt:variant>
      <vt:variant>
        <vt:i4>72</vt:i4>
      </vt:variant>
      <vt:variant>
        <vt:i4>0</vt:i4>
      </vt:variant>
      <vt:variant>
        <vt:i4>5</vt:i4>
      </vt:variant>
      <vt:variant>
        <vt:lpwstr>http://www.ncbi.nlm.nih.gov/pubmed?term=Daur%C3%A8s%20JP%5BAuthor%5D&amp;cauthor=true&amp;cauthor_uid=18363709</vt:lpwstr>
      </vt:variant>
      <vt:variant>
        <vt:lpwstr/>
      </vt:variant>
      <vt:variant>
        <vt:i4>4784161</vt:i4>
      </vt:variant>
      <vt:variant>
        <vt:i4>69</vt:i4>
      </vt:variant>
      <vt:variant>
        <vt:i4>0</vt:i4>
      </vt:variant>
      <vt:variant>
        <vt:i4>5</vt:i4>
      </vt:variant>
      <vt:variant>
        <vt:lpwstr>http://www.ncbi.nlm.nih.gov/pubmed?term=Baldy-Moulinier%20M%5BAuthor%5D&amp;cauthor=true&amp;cauthor_uid=18363709</vt:lpwstr>
      </vt:variant>
      <vt:variant>
        <vt:lpwstr/>
      </vt:variant>
      <vt:variant>
        <vt:i4>3080257</vt:i4>
      </vt:variant>
      <vt:variant>
        <vt:i4>66</vt:i4>
      </vt:variant>
      <vt:variant>
        <vt:i4>0</vt:i4>
      </vt:variant>
      <vt:variant>
        <vt:i4>5</vt:i4>
      </vt:variant>
      <vt:variant>
        <vt:lpwstr>http://www.ncbi.nlm.nih.gov/pubmed?term=Picot%20MC%5BAuthor%5D&amp;cauthor=true&amp;cauthor_uid=18363709</vt:lpwstr>
      </vt:variant>
      <vt:variant>
        <vt:lpwstr/>
      </vt:variant>
      <vt:variant>
        <vt:i4>7274542</vt:i4>
      </vt:variant>
      <vt:variant>
        <vt:i4>63</vt:i4>
      </vt:variant>
      <vt:variant>
        <vt:i4>0</vt:i4>
      </vt:variant>
      <vt:variant>
        <vt:i4>5</vt:i4>
      </vt:variant>
      <vt:variant>
        <vt:lpwstr>http://www.epilepsysociety.org.uk/</vt:lpwstr>
      </vt:variant>
      <vt:variant>
        <vt:lpwstr/>
      </vt:variant>
      <vt:variant>
        <vt:i4>1310765</vt:i4>
      </vt:variant>
      <vt:variant>
        <vt:i4>60</vt:i4>
      </vt:variant>
      <vt:variant>
        <vt:i4>0</vt:i4>
      </vt:variant>
      <vt:variant>
        <vt:i4>5</vt:i4>
      </vt:variant>
      <vt:variant>
        <vt:lpwstr>http://www.dh.gov.uk/en/Healthcare/Medicinespharmacyandindustry/Prescriptions/DH_4104966</vt:lpwstr>
      </vt:variant>
      <vt:variant>
        <vt:lpwstr/>
      </vt:variant>
      <vt:variant>
        <vt:i4>327753</vt:i4>
      </vt:variant>
      <vt:variant>
        <vt:i4>57</vt:i4>
      </vt:variant>
      <vt:variant>
        <vt:i4>0</vt:i4>
      </vt:variant>
      <vt:variant>
        <vt:i4>5</vt:i4>
      </vt:variant>
      <vt:variant>
        <vt:lpwstr>http://www.brainandspine.org.uk/</vt:lpwstr>
      </vt:variant>
      <vt:variant>
        <vt:lpwstr/>
      </vt:variant>
      <vt:variant>
        <vt:i4>2752624</vt:i4>
      </vt:variant>
      <vt:variant>
        <vt:i4>54</vt:i4>
      </vt:variant>
      <vt:variant>
        <vt:i4>0</vt:i4>
      </vt:variant>
      <vt:variant>
        <vt:i4>5</vt:i4>
      </vt:variant>
      <vt:variant>
        <vt:lpwstr>http://www.aan.com/</vt:lpwstr>
      </vt:variant>
      <vt:variant>
        <vt:lpwstr/>
      </vt:variant>
      <vt:variant>
        <vt:i4>7209041</vt:i4>
      </vt:variant>
      <vt:variant>
        <vt:i4>51</vt:i4>
      </vt:variant>
      <vt:variant>
        <vt:i4>0</vt:i4>
      </vt:variant>
      <vt:variant>
        <vt:i4>5</vt:i4>
      </vt:variant>
      <vt:variant>
        <vt:lpwstr/>
      </vt:variant>
      <vt:variant>
        <vt:lpwstr>_Zonisamide</vt:lpwstr>
      </vt:variant>
      <vt:variant>
        <vt:i4>7209028</vt:i4>
      </vt:variant>
      <vt:variant>
        <vt:i4>48</vt:i4>
      </vt:variant>
      <vt:variant>
        <vt:i4>0</vt:i4>
      </vt:variant>
      <vt:variant>
        <vt:i4>5</vt:i4>
      </vt:variant>
      <vt:variant>
        <vt:lpwstr/>
      </vt:variant>
      <vt:variant>
        <vt:lpwstr>_Vigabatrin</vt:lpwstr>
      </vt:variant>
      <vt:variant>
        <vt:i4>3604541</vt:i4>
      </vt:variant>
      <vt:variant>
        <vt:i4>45</vt:i4>
      </vt:variant>
      <vt:variant>
        <vt:i4>0</vt:i4>
      </vt:variant>
      <vt:variant>
        <vt:i4>5</vt:i4>
      </vt:variant>
      <vt:variant>
        <vt:lpwstr/>
      </vt:variant>
      <vt:variant>
        <vt:lpwstr>_Sodium_Valproate</vt:lpwstr>
      </vt:variant>
      <vt:variant>
        <vt:i4>8126532</vt:i4>
      </vt:variant>
      <vt:variant>
        <vt:i4>42</vt:i4>
      </vt:variant>
      <vt:variant>
        <vt:i4>0</vt:i4>
      </vt:variant>
      <vt:variant>
        <vt:i4>5</vt:i4>
      </vt:variant>
      <vt:variant>
        <vt:lpwstr/>
      </vt:variant>
      <vt:variant>
        <vt:lpwstr>_Pregabalin</vt:lpwstr>
      </vt:variant>
      <vt:variant>
        <vt:i4>7143492</vt:i4>
      </vt:variant>
      <vt:variant>
        <vt:i4>39</vt:i4>
      </vt:variant>
      <vt:variant>
        <vt:i4>0</vt:i4>
      </vt:variant>
      <vt:variant>
        <vt:i4>5</vt:i4>
      </vt:variant>
      <vt:variant>
        <vt:lpwstr/>
      </vt:variant>
      <vt:variant>
        <vt:lpwstr>_Phenytoin</vt:lpwstr>
      </vt:variant>
      <vt:variant>
        <vt:i4>6357057</vt:i4>
      </vt:variant>
      <vt:variant>
        <vt:i4>36</vt:i4>
      </vt:variant>
      <vt:variant>
        <vt:i4>0</vt:i4>
      </vt:variant>
      <vt:variant>
        <vt:i4>5</vt:i4>
      </vt:variant>
      <vt:variant>
        <vt:lpwstr/>
      </vt:variant>
      <vt:variant>
        <vt:lpwstr>_Phenobarbital</vt:lpwstr>
      </vt:variant>
      <vt:variant>
        <vt:i4>7733312</vt:i4>
      </vt:variant>
      <vt:variant>
        <vt:i4>33</vt:i4>
      </vt:variant>
      <vt:variant>
        <vt:i4>0</vt:i4>
      </vt:variant>
      <vt:variant>
        <vt:i4>5</vt:i4>
      </vt:variant>
      <vt:variant>
        <vt:lpwstr/>
      </vt:variant>
      <vt:variant>
        <vt:lpwstr>_Oxcarbazepine</vt:lpwstr>
      </vt:variant>
      <vt:variant>
        <vt:i4>6684755</vt:i4>
      </vt:variant>
      <vt:variant>
        <vt:i4>30</vt:i4>
      </vt:variant>
      <vt:variant>
        <vt:i4>0</vt:i4>
      </vt:variant>
      <vt:variant>
        <vt:i4>5</vt:i4>
      </vt:variant>
      <vt:variant>
        <vt:lpwstr/>
      </vt:variant>
      <vt:variant>
        <vt:lpwstr>_Levetiracetam</vt:lpwstr>
      </vt:variant>
      <vt:variant>
        <vt:i4>1048618</vt:i4>
      </vt:variant>
      <vt:variant>
        <vt:i4>27</vt:i4>
      </vt:variant>
      <vt:variant>
        <vt:i4>0</vt:i4>
      </vt:variant>
      <vt:variant>
        <vt:i4>5</vt:i4>
      </vt:variant>
      <vt:variant>
        <vt:lpwstr/>
      </vt:variant>
      <vt:variant>
        <vt:lpwstr>_Lamotrigine</vt:lpwstr>
      </vt:variant>
      <vt:variant>
        <vt:i4>7667801</vt:i4>
      </vt:variant>
      <vt:variant>
        <vt:i4>24</vt:i4>
      </vt:variant>
      <vt:variant>
        <vt:i4>0</vt:i4>
      </vt:variant>
      <vt:variant>
        <vt:i4>5</vt:i4>
      </vt:variant>
      <vt:variant>
        <vt:lpwstr/>
      </vt:variant>
      <vt:variant>
        <vt:lpwstr>_Lacosamide</vt:lpwstr>
      </vt:variant>
      <vt:variant>
        <vt:i4>7471182</vt:i4>
      </vt:variant>
      <vt:variant>
        <vt:i4>21</vt:i4>
      </vt:variant>
      <vt:variant>
        <vt:i4>0</vt:i4>
      </vt:variant>
      <vt:variant>
        <vt:i4>5</vt:i4>
      </vt:variant>
      <vt:variant>
        <vt:lpwstr/>
      </vt:variant>
      <vt:variant>
        <vt:lpwstr>_Gabapentin</vt:lpwstr>
      </vt:variant>
      <vt:variant>
        <vt:i4>983089</vt:i4>
      </vt:variant>
      <vt:variant>
        <vt:i4>18</vt:i4>
      </vt:variant>
      <vt:variant>
        <vt:i4>0</vt:i4>
      </vt:variant>
      <vt:variant>
        <vt:i4>5</vt:i4>
      </vt:variant>
      <vt:variant>
        <vt:lpwstr/>
      </vt:variant>
      <vt:variant>
        <vt:lpwstr>_Ethosuximide</vt:lpwstr>
      </vt:variant>
      <vt:variant>
        <vt:i4>1048610</vt:i4>
      </vt:variant>
      <vt:variant>
        <vt:i4>15</vt:i4>
      </vt:variant>
      <vt:variant>
        <vt:i4>0</vt:i4>
      </vt:variant>
      <vt:variant>
        <vt:i4>5</vt:i4>
      </vt:variant>
      <vt:variant>
        <vt:lpwstr/>
      </vt:variant>
      <vt:variant>
        <vt:lpwstr>_Eslicarbazepine</vt:lpwstr>
      </vt:variant>
      <vt:variant>
        <vt:i4>6881367</vt:i4>
      </vt:variant>
      <vt:variant>
        <vt:i4>12</vt:i4>
      </vt:variant>
      <vt:variant>
        <vt:i4>0</vt:i4>
      </vt:variant>
      <vt:variant>
        <vt:i4>5</vt:i4>
      </vt:variant>
      <vt:variant>
        <vt:lpwstr/>
      </vt:variant>
      <vt:variant>
        <vt:lpwstr>_Clonazepam</vt:lpwstr>
      </vt:variant>
      <vt:variant>
        <vt:i4>786475</vt:i4>
      </vt:variant>
      <vt:variant>
        <vt:i4>9</vt:i4>
      </vt:variant>
      <vt:variant>
        <vt:i4>0</vt:i4>
      </vt:variant>
      <vt:variant>
        <vt:i4>5</vt:i4>
      </vt:variant>
      <vt:variant>
        <vt:lpwstr/>
      </vt:variant>
      <vt:variant>
        <vt:lpwstr>_Clobazam</vt:lpwstr>
      </vt:variant>
      <vt:variant>
        <vt:i4>7864405</vt:i4>
      </vt:variant>
      <vt:variant>
        <vt:i4>6</vt:i4>
      </vt:variant>
      <vt:variant>
        <vt:i4>0</vt:i4>
      </vt:variant>
      <vt:variant>
        <vt:i4>5</vt:i4>
      </vt:variant>
      <vt:variant>
        <vt:lpwstr/>
      </vt:variant>
      <vt:variant>
        <vt:lpwstr>_Carbamazepine</vt:lpwstr>
      </vt:variant>
      <vt:variant>
        <vt:i4>2555963</vt:i4>
      </vt:variant>
      <vt:variant>
        <vt:i4>3</vt:i4>
      </vt:variant>
      <vt:variant>
        <vt:i4>0</vt:i4>
      </vt:variant>
      <vt:variant>
        <vt:i4>5</vt:i4>
      </vt:variant>
      <vt:variant>
        <vt:lpwstr>http://bnf.org/</vt:lpwstr>
      </vt:variant>
      <vt:variant>
        <vt:lpwstr/>
      </vt:variant>
      <vt:variant>
        <vt:i4>6291552</vt:i4>
      </vt:variant>
      <vt:variant>
        <vt:i4>0</vt:i4>
      </vt:variant>
      <vt:variant>
        <vt:i4>0</vt:i4>
      </vt:variant>
      <vt:variant>
        <vt:i4>5</vt:i4>
      </vt:variant>
      <vt:variant>
        <vt:lpwstr>http://pathways.nice.org.uk/pathways/epilepsy/treating-epilepsy-with-anti-epileptic-drugs-aeds</vt:lpwstr>
      </vt:variant>
      <vt:variant>
        <vt:lpwstr>glossary-pharmacokinetic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kwind</dc:creator>
  <cp:keywords/>
  <cp:lastModifiedBy>NunooDowuona Annabel</cp:lastModifiedBy>
  <cp:revision>2</cp:revision>
  <cp:lastPrinted>2012-08-02T10:37:00Z</cp:lastPrinted>
  <dcterms:created xsi:type="dcterms:W3CDTF">2020-09-28T11:19:00Z</dcterms:created>
  <dcterms:modified xsi:type="dcterms:W3CDTF">2020-09-28T11:19:00Z</dcterms:modified>
</cp:coreProperties>
</file>