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11F83" w14:textId="45FD656D" w:rsidR="00427F92" w:rsidRPr="004F24C2" w:rsidRDefault="007E2FE5" w:rsidP="00E71642">
      <w:pPr>
        <w:pStyle w:val="Heading1"/>
        <w:tabs>
          <w:tab w:val="left" w:pos="-284"/>
          <w:tab w:val="left" w:pos="4820"/>
        </w:tabs>
        <w:spacing w:line="240" w:lineRule="auto"/>
        <w:ind w:left="-284" w:right="543"/>
      </w:pPr>
      <w:r>
        <w:t>Can nonsteroidal anti-</w:t>
      </w:r>
      <w:r w:rsidR="004D518C">
        <w:t>inflammatory drugs be used in adult patients with asthma?</w:t>
      </w:r>
    </w:p>
    <w:p w14:paraId="43A29B96" w14:textId="77777777" w:rsidR="00427F92" w:rsidRPr="00B107C7" w:rsidRDefault="00427F92" w:rsidP="00A34595">
      <w:pPr>
        <w:pStyle w:val="NoSpacing"/>
        <w:jc w:val="center"/>
        <w:rPr>
          <w:szCs w:val="20"/>
          <w:lang w:val="en-US"/>
        </w:rPr>
      </w:pPr>
      <w:r w:rsidRPr="00B00B12">
        <w:rPr>
          <w:lang w:val="en-US"/>
        </w:rPr>
        <w:br/>
      </w:r>
      <w:r w:rsidRPr="00B107C7">
        <w:rPr>
          <w:szCs w:val="20"/>
          <w:lang w:val="en-US"/>
        </w:rPr>
        <w:t>Prepared by UK Medicines Information (</w:t>
      </w:r>
      <w:proofErr w:type="spellStart"/>
      <w:r w:rsidR="00511075">
        <w:fldChar w:fldCharType="begin"/>
      </w:r>
      <w:r w:rsidR="00511075">
        <w:instrText xml:space="preserve"> HYPERLINK "http://www.ukmi.nhs.uk/ukmi/about/default.asp?pageRef=1" </w:instrText>
      </w:r>
      <w:r w:rsidR="00511075">
        <w:fldChar w:fldCharType="separate"/>
      </w:r>
      <w:r w:rsidRPr="00B107C7">
        <w:rPr>
          <w:color w:val="0000FF"/>
          <w:szCs w:val="20"/>
          <w:u w:val="single"/>
          <w:lang w:val="en-US"/>
        </w:rPr>
        <w:t>UKMi</w:t>
      </w:r>
      <w:proofErr w:type="spellEnd"/>
      <w:r w:rsidR="00511075">
        <w:rPr>
          <w:color w:val="0000FF"/>
          <w:szCs w:val="20"/>
          <w:u w:val="single"/>
          <w:lang w:val="en-US"/>
        </w:rPr>
        <w:fldChar w:fldCharType="end"/>
      </w:r>
      <w:r w:rsidRPr="00B107C7">
        <w:rPr>
          <w:szCs w:val="20"/>
          <w:lang w:val="en-US"/>
        </w:rPr>
        <w:t>) pharmacists for NHS healthcare professionals</w:t>
      </w:r>
    </w:p>
    <w:p w14:paraId="5037AFC5" w14:textId="77777777" w:rsidR="00427F92" w:rsidRPr="00B107C7" w:rsidRDefault="00427F92" w:rsidP="00A34595">
      <w:pPr>
        <w:pStyle w:val="NoSpacing"/>
        <w:jc w:val="center"/>
        <w:rPr>
          <w:rFonts w:eastAsia="Times New Roman"/>
          <w:szCs w:val="20"/>
          <w:lang w:val="en-US"/>
        </w:rPr>
      </w:pPr>
      <w:r w:rsidRPr="00B107C7">
        <w:rPr>
          <w:szCs w:val="20"/>
        </w:rPr>
        <w:t xml:space="preserve">Before using this Q&amp;A, read the disclaimer at </w:t>
      </w:r>
      <w:hyperlink r:id="rId8" w:history="1">
        <w:r w:rsidRPr="00B107C7">
          <w:rPr>
            <w:rStyle w:val="Hyperlink"/>
            <w:rFonts w:cs="Arial"/>
            <w:i/>
            <w:iCs/>
            <w:sz w:val="18"/>
            <w:szCs w:val="18"/>
          </w:rPr>
          <w:t>https://www.sps.nhs.uk/articles/about-ukmi-medicines-qas/</w:t>
        </w:r>
      </w:hyperlink>
    </w:p>
    <w:p w14:paraId="035EF016" w14:textId="57B2F432" w:rsidR="00427F92" w:rsidRPr="00B107C7" w:rsidRDefault="00427F92" w:rsidP="00A34595">
      <w:pPr>
        <w:pStyle w:val="NoSpacing"/>
        <w:jc w:val="center"/>
        <w:rPr>
          <w:szCs w:val="20"/>
          <w:lang w:val="en-US"/>
        </w:rPr>
      </w:pPr>
      <w:r w:rsidRPr="00B107C7">
        <w:rPr>
          <w:szCs w:val="20"/>
          <w:lang w:val="en-US"/>
        </w:rPr>
        <w:t>Date prepared:</w:t>
      </w:r>
      <w:r w:rsidR="00ED487E">
        <w:rPr>
          <w:szCs w:val="20"/>
          <w:lang w:val="en-US"/>
        </w:rPr>
        <w:t xml:space="preserve"> </w:t>
      </w:r>
      <w:r w:rsidR="00F30FC6">
        <w:rPr>
          <w:szCs w:val="20"/>
          <w:lang w:val="en-US"/>
        </w:rPr>
        <w:t>April</w:t>
      </w:r>
      <w:r w:rsidR="00ED487E">
        <w:rPr>
          <w:szCs w:val="20"/>
          <w:lang w:val="en-US"/>
        </w:rPr>
        <w:t xml:space="preserve"> </w:t>
      </w:r>
      <w:r w:rsidR="00F30FC6">
        <w:rPr>
          <w:szCs w:val="20"/>
          <w:lang w:val="en-US"/>
        </w:rPr>
        <w:t>2020</w:t>
      </w:r>
    </w:p>
    <w:p w14:paraId="6C2D3576" w14:textId="77777777" w:rsidR="00427F92" w:rsidRPr="00B00B12" w:rsidRDefault="00427F92" w:rsidP="00A34595">
      <w:pPr>
        <w:spacing w:after="0" w:line="240" w:lineRule="auto"/>
        <w:rPr>
          <w:rFonts w:eastAsia="Times New Roman" w:cs="Arial"/>
          <w:szCs w:val="20"/>
          <w:lang w:val="en-US"/>
        </w:rPr>
      </w:pPr>
      <w:r w:rsidRPr="00B00B12">
        <w:rPr>
          <w:rFonts w:eastAsia="Times New Roman" w:cs="Arial"/>
          <w:szCs w:val="20"/>
          <w:lang w:val="en-US"/>
        </w:rPr>
        <w:t xml:space="preserve"> </w:t>
      </w:r>
    </w:p>
    <w:p w14:paraId="1D68D5EC" w14:textId="77777777" w:rsidR="00427F92" w:rsidRDefault="00427F92" w:rsidP="00A34595">
      <w:pPr>
        <w:pStyle w:val="Heading2"/>
      </w:pPr>
      <w:r w:rsidRPr="00B00B12">
        <w:t>Background</w:t>
      </w:r>
      <w:r w:rsidR="001A4155">
        <w:t xml:space="preserve"> </w:t>
      </w:r>
    </w:p>
    <w:p w14:paraId="59E3817F" w14:textId="48CEB341" w:rsidR="001A4155" w:rsidRDefault="001A4155" w:rsidP="00A34595">
      <w:pPr>
        <w:pStyle w:val="Heading21"/>
        <w:jc w:val="both"/>
        <w:rPr>
          <w:rFonts w:ascii="Arial" w:hAnsi="Arial" w:cs="Arial"/>
          <w:color w:val="auto"/>
          <w:sz w:val="20"/>
          <w:szCs w:val="20"/>
          <w:lang w:val="en"/>
        </w:rPr>
      </w:pPr>
      <w:r>
        <w:rPr>
          <w:rFonts w:ascii="Arial" w:hAnsi="Arial" w:cs="Arial"/>
          <w:color w:val="auto"/>
          <w:sz w:val="20"/>
          <w:szCs w:val="20"/>
          <w:lang w:val="en"/>
        </w:rPr>
        <w:t xml:space="preserve">Nonsteroidal anti-inflammatory drugs (NSAIDs) include aspirin, and several other classes of compounds, for example, propionic acid derivatives (e.g. ibuprofen, naproxen, </w:t>
      </w:r>
      <w:proofErr w:type="spellStart"/>
      <w:r>
        <w:rPr>
          <w:rFonts w:ascii="Arial" w:hAnsi="Arial" w:cs="Arial"/>
          <w:color w:val="auto"/>
          <w:sz w:val="20"/>
          <w:szCs w:val="20"/>
          <w:lang w:val="en"/>
        </w:rPr>
        <w:t>ketoprofen</w:t>
      </w:r>
      <w:proofErr w:type="spellEnd"/>
      <w:r>
        <w:rPr>
          <w:rFonts w:ascii="Arial" w:hAnsi="Arial" w:cs="Arial"/>
          <w:color w:val="auto"/>
          <w:sz w:val="20"/>
          <w:szCs w:val="20"/>
          <w:lang w:val="en"/>
        </w:rPr>
        <w:t xml:space="preserve">), acetic acid derivatives (e.g. </w:t>
      </w:r>
      <w:proofErr w:type="spellStart"/>
      <w:r>
        <w:rPr>
          <w:rFonts w:ascii="Arial" w:hAnsi="Arial" w:cs="Arial"/>
          <w:color w:val="auto"/>
          <w:sz w:val="20"/>
          <w:szCs w:val="20"/>
          <w:lang w:val="en"/>
        </w:rPr>
        <w:t>indometacin</w:t>
      </w:r>
      <w:proofErr w:type="spellEnd"/>
      <w:r>
        <w:rPr>
          <w:rFonts w:ascii="Arial" w:hAnsi="Arial" w:cs="Arial"/>
          <w:color w:val="auto"/>
          <w:sz w:val="20"/>
          <w:szCs w:val="20"/>
          <w:lang w:val="en"/>
        </w:rPr>
        <w:t>),</w:t>
      </w:r>
      <w:r w:rsidR="00E86F10">
        <w:rPr>
          <w:rFonts w:ascii="Arial" w:hAnsi="Arial" w:cs="Arial"/>
          <w:color w:val="auto"/>
          <w:sz w:val="20"/>
          <w:szCs w:val="20"/>
          <w:lang w:val="en"/>
        </w:rPr>
        <w:t xml:space="preserve"> </w:t>
      </w:r>
      <w:proofErr w:type="spellStart"/>
      <w:r w:rsidR="00E86F10">
        <w:rPr>
          <w:rFonts w:ascii="Arial" w:hAnsi="Arial" w:cs="Arial"/>
          <w:color w:val="auto"/>
          <w:sz w:val="20"/>
          <w:szCs w:val="20"/>
          <w:lang w:val="en"/>
        </w:rPr>
        <w:t>enolic</w:t>
      </w:r>
      <w:proofErr w:type="spellEnd"/>
      <w:r w:rsidR="00E86F10">
        <w:rPr>
          <w:rFonts w:ascii="Arial" w:hAnsi="Arial" w:cs="Arial"/>
          <w:color w:val="auto"/>
          <w:sz w:val="20"/>
          <w:szCs w:val="20"/>
          <w:lang w:val="en"/>
        </w:rPr>
        <w:t xml:space="preserve"> acids derivatives (e.g. </w:t>
      </w:r>
      <w:proofErr w:type="spellStart"/>
      <w:r w:rsidR="00E86F10">
        <w:rPr>
          <w:rFonts w:ascii="Arial" w:hAnsi="Arial" w:cs="Arial"/>
          <w:color w:val="auto"/>
          <w:sz w:val="20"/>
          <w:szCs w:val="20"/>
          <w:lang w:val="en"/>
        </w:rPr>
        <w:t>piroxicam</w:t>
      </w:r>
      <w:proofErr w:type="spellEnd"/>
      <w:r>
        <w:rPr>
          <w:rFonts w:ascii="Arial" w:hAnsi="Arial" w:cs="Arial"/>
          <w:color w:val="auto"/>
          <w:sz w:val="20"/>
          <w:szCs w:val="20"/>
          <w:lang w:val="en"/>
        </w:rPr>
        <w:t xml:space="preserve">), </w:t>
      </w:r>
      <w:proofErr w:type="spellStart"/>
      <w:r w:rsidR="00BC42AA" w:rsidRPr="00BC42AA">
        <w:rPr>
          <w:rFonts w:ascii="Arial" w:hAnsi="Arial" w:cs="Arial"/>
          <w:color w:val="auto"/>
          <w:sz w:val="20"/>
          <w:szCs w:val="20"/>
          <w:lang w:val="en"/>
        </w:rPr>
        <w:t>diaryl</w:t>
      </w:r>
      <w:proofErr w:type="spellEnd"/>
      <w:r w:rsidR="00BC42AA" w:rsidRPr="00BC42AA">
        <w:rPr>
          <w:rFonts w:ascii="Arial" w:hAnsi="Arial" w:cs="Arial"/>
          <w:color w:val="auto"/>
          <w:sz w:val="20"/>
          <w:szCs w:val="20"/>
          <w:lang w:val="en"/>
        </w:rPr>
        <w:t xml:space="preserve"> </w:t>
      </w:r>
      <w:r w:rsidRPr="00BC42AA">
        <w:rPr>
          <w:rFonts w:ascii="Arial" w:hAnsi="Arial" w:cs="Arial"/>
          <w:color w:val="auto"/>
          <w:sz w:val="20"/>
          <w:szCs w:val="20"/>
          <w:lang w:val="en"/>
        </w:rPr>
        <w:t xml:space="preserve">substituted </w:t>
      </w:r>
      <w:proofErr w:type="spellStart"/>
      <w:r w:rsidRPr="00BC42AA">
        <w:rPr>
          <w:rFonts w:ascii="Arial" w:hAnsi="Arial" w:cs="Arial"/>
          <w:color w:val="auto"/>
          <w:sz w:val="20"/>
          <w:szCs w:val="20"/>
          <w:lang w:val="en"/>
        </w:rPr>
        <w:t>pyrazoles</w:t>
      </w:r>
      <w:proofErr w:type="spellEnd"/>
      <w:r w:rsidRPr="00BC42AA">
        <w:rPr>
          <w:rFonts w:ascii="Arial" w:hAnsi="Arial" w:cs="Arial"/>
          <w:color w:val="auto"/>
          <w:sz w:val="20"/>
          <w:szCs w:val="20"/>
          <w:lang w:val="en"/>
        </w:rPr>
        <w:t xml:space="preserve"> (e.g. celecoxib) etc</w:t>
      </w:r>
      <w:r>
        <w:rPr>
          <w:rFonts w:ascii="Arial" w:hAnsi="Arial" w:cs="Arial"/>
          <w:color w:val="auto"/>
          <w:sz w:val="20"/>
          <w:szCs w:val="20"/>
          <w:lang w:val="en"/>
        </w:rPr>
        <w:t>. (1).  They act as inhibitors of the</w:t>
      </w:r>
      <w:r>
        <w:rPr>
          <w:rFonts w:ascii="Arial" w:hAnsi="Arial" w:cs="Arial"/>
          <w:color w:val="auto"/>
          <w:sz w:val="20"/>
        </w:rPr>
        <w:t xml:space="preserve"> enzyme </w:t>
      </w:r>
      <w:proofErr w:type="spellStart"/>
      <w:r>
        <w:rPr>
          <w:rFonts w:ascii="Arial" w:hAnsi="Arial" w:cs="Arial"/>
          <w:color w:val="auto"/>
          <w:sz w:val="20"/>
        </w:rPr>
        <w:t>cyclo</w:t>
      </w:r>
      <w:proofErr w:type="spellEnd"/>
      <w:r>
        <w:rPr>
          <w:rFonts w:ascii="Arial" w:hAnsi="Arial" w:cs="Arial"/>
          <w:color w:val="auto"/>
          <w:sz w:val="20"/>
        </w:rPr>
        <w:t>-oxygenase (COX) which results in the direct inhibition of the synthesis of prostaglandins from arachidonic acid (2).</w:t>
      </w:r>
    </w:p>
    <w:p w14:paraId="07EBB8E9" w14:textId="6EDE98D9" w:rsidR="001A4155" w:rsidRDefault="001A4155" w:rsidP="00A34595">
      <w:pPr>
        <w:pStyle w:val="Heading21"/>
        <w:jc w:val="both"/>
        <w:rPr>
          <w:rFonts w:ascii="Arial" w:hAnsi="Arial" w:cs="Arial"/>
          <w:color w:val="auto"/>
          <w:sz w:val="20"/>
          <w:szCs w:val="20"/>
          <w:lang w:val="en"/>
        </w:rPr>
      </w:pPr>
      <w:r>
        <w:rPr>
          <w:rFonts w:ascii="Arial" w:hAnsi="Arial" w:cs="Arial"/>
          <w:color w:val="auto"/>
          <w:sz w:val="20"/>
          <w:szCs w:val="20"/>
          <w:lang w:val="en"/>
        </w:rPr>
        <w:t>Aspirin sensitivity that occurs in some asthmatic patients principally manifests as the onset of asthma within one to three hours of ingesting aspirin (3</w:t>
      </w:r>
      <w:proofErr w:type="gramStart"/>
      <w:r>
        <w:rPr>
          <w:rFonts w:ascii="Arial" w:hAnsi="Arial" w:cs="Arial"/>
          <w:color w:val="auto"/>
          <w:sz w:val="20"/>
          <w:szCs w:val="20"/>
          <w:lang w:val="en"/>
        </w:rPr>
        <w:t>,</w:t>
      </w:r>
      <w:r w:rsidRPr="00101A4A">
        <w:rPr>
          <w:rFonts w:ascii="Arial" w:hAnsi="Arial" w:cs="Arial"/>
          <w:color w:val="auto"/>
          <w:sz w:val="20"/>
          <w:szCs w:val="20"/>
          <w:lang w:val="en"/>
        </w:rPr>
        <w:t>4</w:t>
      </w:r>
      <w:proofErr w:type="gramEnd"/>
      <w:r>
        <w:rPr>
          <w:rFonts w:ascii="Arial" w:hAnsi="Arial" w:cs="Arial"/>
          <w:color w:val="auto"/>
          <w:sz w:val="20"/>
          <w:szCs w:val="20"/>
          <w:lang w:val="en"/>
        </w:rPr>
        <w:t>). This has been described by a number of terms including ‘aspirin induced asthma (AIA)’,</w:t>
      </w:r>
      <w:r w:rsidR="00F94404">
        <w:rPr>
          <w:rFonts w:ascii="Arial" w:hAnsi="Arial" w:cs="Arial"/>
          <w:color w:val="auto"/>
          <w:sz w:val="20"/>
          <w:szCs w:val="20"/>
          <w:lang w:val="en"/>
        </w:rPr>
        <w:t xml:space="preserve"> aspirin sensitive asthma, </w:t>
      </w:r>
      <w:proofErr w:type="spellStart"/>
      <w:r w:rsidR="00F94404">
        <w:rPr>
          <w:rFonts w:ascii="Arial" w:hAnsi="Arial" w:cs="Arial"/>
          <w:color w:val="auto"/>
          <w:sz w:val="20"/>
          <w:szCs w:val="20"/>
          <w:lang w:val="en"/>
        </w:rPr>
        <w:t>Widal</w:t>
      </w:r>
      <w:proofErr w:type="spellEnd"/>
      <w:r w:rsidR="00F94404">
        <w:rPr>
          <w:rFonts w:ascii="Arial" w:hAnsi="Arial" w:cs="Arial"/>
          <w:color w:val="auto"/>
          <w:sz w:val="20"/>
          <w:szCs w:val="20"/>
          <w:lang w:val="en"/>
        </w:rPr>
        <w:t xml:space="preserve"> syndrome, </w:t>
      </w:r>
      <w:proofErr w:type="spellStart"/>
      <w:r w:rsidR="00F94404">
        <w:rPr>
          <w:rFonts w:ascii="Arial" w:hAnsi="Arial" w:cs="Arial"/>
          <w:color w:val="auto"/>
          <w:sz w:val="20"/>
          <w:szCs w:val="20"/>
          <w:lang w:val="en"/>
        </w:rPr>
        <w:t>Samter</w:t>
      </w:r>
      <w:proofErr w:type="spellEnd"/>
      <w:r w:rsidR="00F94404">
        <w:rPr>
          <w:rFonts w:ascii="Arial" w:hAnsi="Arial" w:cs="Arial"/>
          <w:color w:val="auto"/>
          <w:sz w:val="20"/>
          <w:szCs w:val="20"/>
          <w:lang w:val="en"/>
        </w:rPr>
        <w:t xml:space="preserve"> triad </w:t>
      </w:r>
      <w:r>
        <w:rPr>
          <w:rFonts w:ascii="Arial" w:hAnsi="Arial" w:cs="Arial"/>
          <w:color w:val="auto"/>
          <w:sz w:val="20"/>
          <w:szCs w:val="20"/>
          <w:lang w:val="en"/>
        </w:rPr>
        <w:t>or ‘</w:t>
      </w:r>
      <w:r w:rsidR="00F94404">
        <w:rPr>
          <w:rFonts w:ascii="Arial" w:hAnsi="Arial" w:cs="Arial"/>
          <w:color w:val="auto"/>
          <w:sz w:val="20"/>
          <w:szCs w:val="20"/>
          <w:lang w:val="en"/>
        </w:rPr>
        <w:t>aspirin-exacerbated respiratory</w:t>
      </w:r>
      <w:r>
        <w:rPr>
          <w:rFonts w:ascii="Arial" w:hAnsi="Arial" w:cs="Arial"/>
          <w:color w:val="auto"/>
          <w:sz w:val="20"/>
          <w:szCs w:val="20"/>
          <w:lang w:val="en"/>
        </w:rPr>
        <w:t xml:space="preserve"> </w:t>
      </w:r>
      <w:r w:rsidRPr="003E6544">
        <w:rPr>
          <w:rFonts w:ascii="Arial" w:hAnsi="Arial" w:cs="Arial"/>
          <w:color w:val="auto"/>
          <w:sz w:val="20"/>
          <w:szCs w:val="20"/>
          <w:lang w:val="en"/>
        </w:rPr>
        <w:t>disease’ (5).</w:t>
      </w:r>
      <w:r>
        <w:rPr>
          <w:rFonts w:ascii="Arial" w:hAnsi="Arial" w:cs="Arial"/>
          <w:color w:val="auto"/>
          <w:sz w:val="20"/>
          <w:szCs w:val="20"/>
          <w:lang w:val="en"/>
        </w:rPr>
        <w:t xml:space="preserve"> Although the terms refer to aspirin only, “patients who are sensitive to aspirin are often cross-sensitive to other NSAIDs as they share a common mechanism of action (2)”. </w:t>
      </w:r>
    </w:p>
    <w:p w14:paraId="792178F7" w14:textId="77777777" w:rsidR="001A4155" w:rsidRDefault="001A4155" w:rsidP="00A34595">
      <w:pPr>
        <w:pStyle w:val="Heading21"/>
        <w:jc w:val="both"/>
        <w:rPr>
          <w:rFonts w:ascii="Arial" w:hAnsi="Arial" w:cs="Arial"/>
          <w:color w:val="auto"/>
          <w:sz w:val="20"/>
          <w:szCs w:val="20"/>
          <w:u w:val="single"/>
          <w:lang w:val="en"/>
        </w:rPr>
      </w:pPr>
      <w:r>
        <w:rPr>
          <w:rFonts w:ascii="Arial" w:hAnsi="Arial" w:cs="Arial"/>
          <w:color w:val="auto"/>
          <w:sz w:val="20"/>
        </w:rPr>
        <w:t xml:space="preserve">The main clinical features of patients who have aspirin sensitivity in general include middle-age, female sex, </w:t>
      </w:r>
      <w:r w:rsidRPr="00680931">
        <w:rPr>
          <w:rFonts w:ascii="Arial" w:hAnsi="Arial" w:cs="Arial"/>
          <w:color w:val="auto"/>
          <w:sz w:val="20"/>
          <w:szCs w:val="20"/>
        </w:rPr>
        <w:t>diagnoses of asthma or rhinitis, a personal or family history of atopy, and a history of nasal polyps.</w:t>
      </w:r>
      <w:r>
        <w:rPr>
          <w:rFonts w:ascii="Arial" w:hAnsi="Arial" w:cs="Arial"/>
          <w:color w:val="auto"/>
          <w:sz w:val="20"/>
          <w:szCs w:val="20"/>
        </w:rPr>
        <w:t xml:space="preserve"> </w:t>
      </w:r>
      <w:r>
        <w:rPr>
          <w:rFonts w:ascii="Arial" w:hAnsi="Arial" w:cs="Arial"/>
          <w:color w:val="auto"/>
          <w:sz w:val="20"/>
        </w:rPr>
        <w:t>The occurrence of aspirin sensitivity in patients with asthma and nasal polyps has been referred to as the ‘aspirin triad' (2). In these patients, nasal symptoms (nasal congestion and rhinorrhoea accompanied by nasal polyps) usually start first in the third or fourth decade of life, followed by the development of asthma and aspirin sensitivity (</w:t>
      </w:r>
      <w:r w:rsidRPr="00101A4A">
        <w:rPr>
          <w:rFonts w:ascii="Arial" w:hAnsi="Arial" w:cs="Arial"/>
          <w:color w:val="auto"/>
          <w:sz w:val="20"/>
        </w:rPr>
        <w:t>4</w:t>
      </w:r>
      <w:proofErr w:type="gramStart"/>
      <w:r>
        <w:rPr>
          <w:rFonts w:ascii="Arial" w:hAnsi="Arial" w:cs="Arial"/>
          <w:color w:val="auto"/>
          <w:sz w:val="20"/>
        </w:rPr>
        <w:t>,6</w:t>
      </w:r>
      <w:proofErr w:type="gramEnd"/>
      <w:r>
        <w:rPr>
          <w:rFonts w:ascii="Arial" w:hAnsi="Arial" w:cs="Arial"/>
          <w:color w:val="auto"/>
          <w:sz w:val="20"/>
        </w:rPr>
        <w:t>). Specific clinical features that have been identified to suggest an increased risk of aspirin sensitivity in asthmatics include: a) severe asthma accompanied by chronic nasal congestion and profuse rhinorrhoea;  b) frequent development of nasal polyps; c) sudden severe attacks of asthma requiring admission to intensive care unit and d) adult onset, non-allergic asthma (6,7).</w:t>
      </w:r>
    </w:p>
    <w:p w14:paraId="142A9006" w14:textId="78726EB1" w:rsidR="001A4155" w:rsidRDefault="001A4155" w:rsidP="00A34595">
      <w:pPr>
        <w:pStyle w:val="Heading21"/>
        <w:jc w:val="both"/>
        <w:rPr>
          <w:rFonts w:ascii="Arial" w:hAnsi="Arial" w:cs="Arial"/>
          <w:color w:val="auto"/>
          <w:sz w:val="20"/>
          <w:szCs w:val="20"/>
          <w:lang w:val="en"/>
        </w:rPr>
      </w:pPr>
      <w:r>
        <w:rPr>
          <w:rFonts w:ascii="Arial" w:hAnsi="Arial" w:cs="Arial"/>
          <w:color w:val="auto"/>
          <w:sz w:val="20"/>
          <w:szCs w:val="20"/>
          <w:lang w:val="en"/>
        </w:rPr>
        <w:t xml:space="preserve">In asthmatic patients exhibiting aspirin sensitivity, additional symptoms that accompany the onset of asthma include profuse </w:t>
      </w:r>
      <w:proofErr w:type="spellStart"/>
      <w:r>
        <w:rPr>
          <w:rFonts w:ascii="Arial" w:hAnsi="Arial" w:cs="Arial"/>
          <w:color w:val="auto"/>
          <w:sz w:val="20"/>
          <w:szCs w:val="20"/>
          <w:lang w:val="en"/>
        </w:rPr>
        <w:t>rhinorrhoea</w:t>
      </w:r>
      <w:proofErr w:type="spellEnd"/>
      <w:r>
        <w:rPr>
          <w:rFonts w:ascii="Arial" w:hAnsi="Arial" w:cs="Arial"/>
          <w:color w:val="auto"/>
          <w:sz w:val="20"/>
          <w:szCs w:val="20"/>
          <w:lang w:val="en"/>
        </w:rPr>
        <w:t xml:space="preserve">, </w:t>
      </w:r>
      <w:proofErr w:type="spellStart"/>
      <w:r>
        <w:rPr>
          <w:rFonts w:ascii="Arial" w:hAnsi="Arial" w:cs="Arial"/>
          <w:color w:val="auto"/>
          <w:sz w:val="20"/>
          <w:szCs w:val="20"/>
          <w:lang w:val="en"/>
        </w:rPr>
        <w:t>peri</w:t>
      </w:r>
      <w:proofErr w:type="spellEnd"/>
      <w:r>
        <w:rPr>
          <w:rFonts w:ascii="Arial" w:hAnsi="Arial" w:cs="Arial"/>
          <w:color w:val="auto"/>
          <w:sz w:val="20"/>
          <w:szCs w:val="20"/>
          <w:lang w:val="en"/>
        </w:rPr>
        <w:t xml:space="preserve">-orbital </w:t>
      </w:r>
      <w:proofErr w:type="spellStart"/>
      <w:r>
        <w:rPr>
          <w:rFonts w:ascii="Arial" w:hAnsi="Arial" w:cs="Arial"/>
          <w:color w:val="auto"/>
          <w:sz w:val="20"/>
          <w:szCs w:val="20"/>
          <w:lang w:val="en"/>
        </w:rPr>
        <w:t>oedema</w:t>
      </w:r>
      <w:proofErr w:type="spellEnd"/>
      <w:r w:rsidRPr="002D3D34">
        <w:rPr>
          <w:rFonts w:ascii="Arial" w:hAnsi="Arial" w:cs="Arial"/>
          <w:color w:val="auto"/>
          <w:sz w:val="20"/>
          <w:szCs w:val="20"/>
          <w:lang w:val="en"/>
        </w:rPr>
        <w:t xml:space="preserve">, conjunctival infection, flushing of head and neck, and on occasions vomiting and </w:t>
      </w:r>
      <w:proofErr w:type="spellStart"/>
      <w:r w:rsidRPr="002D3D34">
        <w:rPr>
          <w:rFonts w:ascii="Arial" w:hAnsi="Arial" w:cs="Arial"/>
          <w:color w:val="auto"/>
          <w:sz w:val="20"/>
          <w:szCs w:val="20"/>
          <w:lang w:val="en"/>
        </w:rPr>
        <w:t>diarrhoea</w:t>
      </w:r>
      <w:proofErr w:type="spellEnd"/>
      <w:r w:rsidRPr="002D3D34">
        <w:rPr>
          <w:rFonts w:ascii="Arial" w:hAnsi="Arial" w:cs="Arial"/>
          <w:color w:val="auto"/>
          <w:sz w:val="20"/>
          <w:szCs w:val="20"/>
          <w:lang w:val="en"/>
        </w:rPr>
        <w:t xml:space="preserve"> (</w:t>
      </w:r>
      <w:r w:rsidRPr="00101A4A">
        <w:rPr>
          <w:rFonts w:ascii="Arial" w:hAnsi="Arial" w:cs="Arial"/>
          <w:color w:val="auto"/>
          <w:sz w:val="20"/>
          <w:szCs w:val="20"/>
          <w:lang w:val="en"/>
        </w:rPr>
        <w:t>4</w:t>
      </w:r>
      <w:proofErr w:type="gramStart"/>
      <w:r w:rsidRPr="00101A4A">
        <w:rPr>
          <w:rFonts w:ascii="Arial" w:hAnsi="Arial" w:cs="Arial"/>
          <w:color w:val="auto"/>
          <w:sz w:val="20"/>
          <w:szCs w:val="20"/>
          <w:lang w:val="en"/>
        </w:rPr>
        <w:t>,</w:t>
      </w:r>
      <w:r>
        <w:rPr>
          <w:rFonts w:ascii="Arial" w:hAnsi="Arial" w:cs="Arial"/>
          <w:color w:val="auto"/>
          <w:sz w:val="20"/>
          <w:szCs w:val="20"/>
          <w:lang w:val="en"/>
        </w:rPr>
        <w:t>7</w:t>
      </w:r>
      <w:proofErr w:type="gramEnd"/>
      <w:r>
        <w:rPr>
          <w:rFonts w:ascii="Arial" w:hAnsi="Arial" w:cs="Arial"/>
          <w:color w:val="auto"/>
          <w:sz w:val="20"/>
          <w:szCs w:val="20"/>
          <w:lang w:val="en"/>
        </w:rPr>
        <w:t xml:space="preserve">). Patients may have any or all of these symptoms, and the reactions can vary in individuals (7). In some cases, it is likely that aspirin- or NSAID-induced rhinitis and asthma reactions occur in patients who have underlying rhinosinusitis, nasal polyps and asthma but in whom the drug-induced reactions are too mild to be </w:t>
      </w:r>
      <w:proofErr w:type="spellStart"/>
      <w:r>
        <w:rPr>
          <w:rFonts w:ascii="Arial" w:hAnsi="Arial" w:cs="Arial"/>
          <w:color w:val="auto"/>
          <w:sz w:val="20"/>
          <w:szCs w:val="20"/>
          <w:lang w:val="en"/>
        </w:rPr>
        <w:t>recognised</w:t>
      </w:r>
      <w:proofErr w:type="spellEnd"/>
      <w:r>
        <w:rPr>
          <w:rFonts w:ascii="Arial" w:hAnsi="Arial" w:cs="Arial"/>
          <w:color w:val="auto"/>
          <w:sz w:val="20"/>
          <w:szCs w:val="20"/>
          <w:lang w:val="en"/>
        </w:rPr>
        <w:t xml:space="preserve"> clinically and may go unnoticed (8). Alternatively, bronchoconstriction may be severe and life threatening, requiring hospital admission (8</w:t>
      </w:r>
      <w:r w:rsidRPr="00E01486">
        <w:rPr>
          <w:rFonts w:ascii="Arial" w:hAnsi="Arial" w:cs="Arial"/>
          <w:color w:val="auto"/>
          <w:sz w:val="20"/>
          <w:szCs w:val="20"/>
          <w:lang w:val="en"/>
        </w:rPr>
        <w:t>).</w:t>
      </w:r>
    </w:p>
    <w:p w14:paraId="3FE3E60F" w14:textId="6DE75160" w:rsidR="001A4155" w:rsidRDefault="001A4155" w:rsidP="00A34595">
      <w:pPr>
        <w:pStyle w:val="Heading21"/>
        <w:jc w:val="both"/>
        <w:rPr>
          <w:rFonts w:ascii="Arial" w:hAnsi="Arial" w:cs="Arial"/>
          <w:color w:val="auto"/>
          <w:sz w:val="20"/>
          <w:szCs w:val="20"/>
          <w:lang w:val="en"/>
        </w:rPr>
      </w:pPr>
      <w:r>
        <w:rPr>
          <w:rFonts w:ascii="Arial" w:hAnsi="Arial" w:cs="Arial"/>
          <w:color w:val="auto"/>
          <w:sz w:val="20"/>
          <w:szCs w:val="20"/>
          <w:lang w:val="en"/>
        </w:rPr>
        <w:t>The reactions are possibly dose dependent: small doses may not induce a significant reaction, whereas larger and possibly therapeutic doses ma</w:t>
      </w:r>
      <w:r w:rsidR="00C4475A">
        <w:rPr>
          <w:rFonts w:ascii="Arial" w:hAnsi="Arial" w:cs="Arial"/>
          <w:color w:val="auto"/>
          <w:sz w:val="20"/>
          <w:szCs w:val="20"/>
          <w:lang w:val="en"/>
        </w:rPr>
        <w:t>y provoke severe reactions (8</w:t>
      </w:r>
      <w:proofErr w:type="gramStart"/>
      <w:r w:rsidR="00C4475A">
        <w:rPr>
          <w:rFonts w:ascii="Arial" w:hAnsi="Arial" w:cs="Arial"/>
          <w:color w:val="auto"/>
          <w:sz w:val="20"/>
          <w:szCs w:val="20"/>
          <w:lang w:val="en"/>
        </w:rPr>
        <w:t>,9</w:t>
      </w:r>
      <w:proofErr w:type="gramEnd"/>
      <w:r>
        <w:rPr>
          <w:rFonts w:ascii="Arial" w:hAnsi="Arial" w:cs="Arial"/>
          <w:color w:val="auto"/>
          <w:sz w:val="20"/>
          <w:szCs w:val="20"/>
          <w:lang w:val="en"/>
        </w:rPr>
        <w:t xml:space="preserve">). However, some individuals are highly </w:t>
      </w:r>
      <w:r>
        <w:rPr>
          <w:rFonts w:ascii="Arial" w:hAnsi="Arial" w:cs="Arial"/>
          <w:color w:val="auto"/>
          <w:sz w:val="20"/>
          <w:szCs w:val="20"/>
          <w:lang w:val="en"/>
        </w:rPr>
        <w:lastRenderedPageBreak/>
        <w:t>sensitive and develop worsening of their asthma even with low dose aspirin (</w:t>
      </w:r>
      <w:r w:rsidR="00C4475A">
        <w:rPr>
          <w:rFonts w:ascii="Arial" w:hAnsi="Arial" w:cs="Arial"/>
          <w:color w:val="auto"/>
          <w:sz w:val="20"/>
          <w:szCs w:val="20"/>
          <w:lang w:val="en"/>
        </w:rPr>
        <w:t>10</w:t>
      </w:r>
      <w:r>
        <w:rPr>
          <w:rFonts w:ascii="Arial" w:hAnsi="Arial" w:cs="Arial"/>
          <w:color w:val="auto"/>
          <w:sz w:val="20"/>
          <w:szCs w:val="20"/>
          <w:lang w:val="en"/>
        </w:rPr>
        <w:t>).</w:t>
      </w:r>
    </w:p>
    <w:p w14:paraId="24FDA9EA" w14:textId="401C7F0B" w:rsidR="001A4155" w:rsidRDefault="00781E2E" w:rsidP="00A34595">
      <w:pPr>
        <w:pStyle w:val="Heading21"/>
        <w:jc w:val="both"/>
        <w:rPr>
          <w:rFonts w:ascii="Arial" w:hAnsi="Arial" w:cs="Arial"/>
          <w:color w:val="auto"/>
          <w:sz w:val="20"/>
          <w:szCs w:val="20"/>
          <w:lang w:val="en"/>
        </w:rPr>
      </w:pPr>
      <w:r>
        <w:rPr>
          <w:rFonts w:ascii="Arial" w:hAnsi="Arial" w:cs="Arial"/>
          <w:color w:val="auto"/>
          <w:sz w:val="20"/>
          <w:szCs w:val="20"/>
          <w:lang w:val="en"/>
        </w:rPr>
        <w:t>Data on</w:t>
      </w:r>
      <w:r w:rsidR="001A4155">
        <w:rPr>
          <w:rFonts w:ascii="Arial" w:hAnsi="Arial" w:cs="Arial"/>
          <w:color w:val="auto"/>
          <w:sz w:val="20"/>
          <w:szCs w:val="20"/>
          <w:lang w:val="en"/>
        </w:rPr>
        <w:t xml:space="preserve"> prevalence of AIA in adult asthmatics </w:t>
      </w:r>
      <w:r w:rsidR="00CF7BAF">
        <w:rPr>
          <w:rFonts w:ascii="Arial" w:hAnsi="Arial" w:cs="Arial"/>
          <w:color w:val="auto"/>
          <w:sz w:val="20"/>
          <w:szCs w:val="20"/>
          <w:lang w:val="en"/>
        </w:rPr>
        <w:t>are</w:t>
      </w:r>
      <w:r w:rsidR="001A4155">
        <w:rPr>
          <w:rFonts w:ascii="Arial" w:hAnsi="Arial" w:cs="Arial"/>
          <w:color w:val="auto"/>
          <w:sz w:val="20"/>
          <w:szCs w:val="20"/>
          <w:lang w:val="en"/>
        </w:rPr>
        <w:t xml:space="preserve"> </w:t>
      </w:r>
      <w:r>
        <w:rPr>
          <w:rFonts w:ascii="Arial" w:hAnsi="Arial" w:cs="Arial"/>
          <w:color w:val="auto"/>
          <w:sz w:val="20"/>
          <w:szCs w:val="20"/>
          <w:lang w:val="en"/>
        </w:rPr>
        <w:t>conflicting</w:t>
      </w:r>
      <w:r w:rsidR="001A4155">
        <w:rPr>
          <w:rFonts w:ascii="Arial" w:hAnsi="Arial" w:cs="Arial"/>
          <w:color w:val="auto"/>
          <w:sz w:val="20"/>
          <w:szCs w:val="20"/>
          <w:lang w:val="en"/>
        </w:rPr>
        <w:t>.  It has been stated to occur in approximately 10% of adult asthmatics (</w:t>
      </w:r>
      <w:r w:rsidR="001A4155" w:rsidRPr="00101A4A">
        <w:rPr>
          <w:rFonts w:ascii="Arial" w:hAnsi="Arial" w:cs="Arial"/>
          <w:color w:val="auto"/>
          <w:sz w:val="20"/>
          <w:szCs w:val="20"/>
          <w:lang w:val="en"/>
        </w:rPr>
        <w:t>4</w:t>
      </w:r>
      <w:proofErr w:type="gramStart"/>
      <w:r w:rsidR="001A4155" w:rsidRPr="003E6544">
        <w:rPr>
          <w:rFonts w:ascii="Arial" w:hAnsi="Arial" w:cs="Arial"/>
          <w:color w:val="auto"/>
          <w:sz w:val="20"/>
          <w:szCs w:val="20"/>
          <w:lang w:val="en"/>
        </w:rPr>
        <w:t>,5,</w:t>
      </w:r>
      <w:r w:rsidR="00C4475A">
        <w:rPr>
          <w:rFonts w:ascii="Arial" w:hAnsi="Arial" w:cs="Arial"/>
          <w:color w:val="auto"/>
          <w:sz w:val="20"/>
          <w:szCs w:val="20"/>
          <w:lang w:val="en"/>
        </w:rPr>
        <w:t>10</w:t>
      </w:r>
      <w:proofErr w:type="gramEnd"/>
      <w:r w:rsidR="001A4155">
        <w:rPr>
          <w:rFonts w:ascii="Arial" w:hAnsi="Arial" w:cs="Arial"/>
          <w:color w:val="auto"/>
          <w:sz w:val="20"/>
          <w:szCs w:val="20"/>
          <w:lang w:val="en"/>
        </w:rPr>
        <w:t>). However, prevalence has also been quoted t</w:t>
      </w:r>
      <w:r w:rsidR="00EC32BB">
        <w:rPr>
          <w:rFonts w:ascii="Arial" w:hAnsi="Arial" w:cs="Arial"/>
          <w:color w:val="auto"/>
          <w:sz w:val="20"/>
          <w:szCs w:val="20"/>
          <w:lang w:val="en"/>
        </w:rPr>
        <w:t>o be in the range 2 – 20% (</w:t>
      </w:r>
      <w:r w:rsidR="00C4475A">
        <w:rPr>
          <w:rFonts w:ascii="Arial" w:hAnsi="Arial" w:cs="Arial"/>
          <w:color w:val="auto"/>
          <w:sz w:val="20"/>
          <w:szCs w:val="20"/>
          <w:lang w:val="en"/>
        </w:rPr>
        <w:t>10</w:t>
      </w:r>
      <w:proofErr w:type="gramStart"/>
      <w:r w:rsidR="00C4475A">
        <w:rPr>
          <w:rFonts w:ascii="Arial" w:hAnsi="Arial" w:cs="Arial"/>
          <w:color w:val="auto"/>
          <w:sz w:val="20"/>
          <w:szCs w:val="20"/>
          <w:lang w:val="en"/>
        </w:rPr>
        <w:t>,11</w:t>
      </w:r>
      <w:proofErr w:type="gramEnd"/>
      <w:r w:rsidR="001A4155" w:rsidRPr="00101A4A">
        <w:rPr>
          <w:rFonts w:ascii="Arial" w:hAnsi="Arial" w:cs="Arial"/>
          <w:color w:val="auto"/>
          <w:sz w:val="20"/>
          <w:szCs w:val="20"/>
          <w:lang w:val="en"/>
        </w:rPr>
        <w:t>)</w:t>
      </w:r>
      <w:r w:rsidR="001A4155">
        <w:rPr>
          <w:rFonts w:ascii="Arial" w:hAnsi="Arial" w:cs="Arial"/>
          <w:color w:val="auto"/>
          <w:sz w:val="20"/>
          <w:szCs w:val="20"/>
          <w:lang w:val="en"/>
        </w:rPr>
        <w:t xml:space="preserve"> and up to </w:t>
      </w:r>
      <w:r w:rsidR="00EC32BB">
        <w:rPr>
          <w:rFonts w:ascii="Arial" w:hAnsi="Arial" w:cs="Arial"/>
          <w:color w:val="auto"/>
          <w:sz w:val="20"/>
          <w:szCs w:val="20"/>
          <w:lang w:val="en"/>
        </w:rPr>
        <w:t>44</w:t>
      </w:r>
      <w:r w:rsidR="00C4475A">
        <w:rPr>
          <w:rFonts w:ascii="Arial" w:hAnsi="Arial" w:cs="Arial"/>
          <w:color w:val="auto"/>
          <w:sz w:val="20"/>
          <w:szCs w:val="20"/>
          <w:lang w:val="en"/>
        </w:rPr>
        <w:t>% has also been stated (11</w:t>
      </w:r>
      <w:r w:rsidR="001A4155">
        <w:rPr>
          <w:rFonts w:ascii="Arial" w:hAnsi="Arial" w:cs="Arial"/>
          <w:color w:val="auto"/>
          <w:sz w:val="20"/>
          <w:szCs w:val="20"/>
          <w:lang w:val="en"/>
        </w:rPr>
        <w:t xml:space="preserve">). These variations may be explained by the differences in populations studied, methods used for data collection, definitions of outcomes and criteria for defining sensitivity reactions (3).  </w:t>
      </w:r>
    </w:p>
    <w:p w14:paraId="326C2F08" w14:textId="380BBA9B" w:rsidR="001A4155" w:rsidRDefault="001A4155" w:rsidP="00A34595">
      <w:pPr>
        <w:pStyle w:val="Heading21"/>
        <w:jc w:val="both"/>
        <w:rPr>
          <w:rFonts w:ascii="Arial" w:hAnsi="Arial" w:cs="Arial"/>
          <w:color w:val="auto"/>
          <w:sz w:val="20"/>
          <w:szCs w:val="20"/>
          <w:lang w:val="en"/>
        </w:rPr>
      </w:pPr>
      <w:r>
        <w:rPr>
          <w:rFonts w:ascii="Arial" w:hAnsi="Arial" w:cs="Arial"/>
          <w:color w:val="auto"/>
          <w:sz w:val="20"/>
          <w:szCs w:val="20"/>
          <w:lang w:val="en"/>
        </w:rPr>
        <w:t>The symptoms precipitated by aspirin or other NSAIDs in patients with AIA resemble immediate hypersensitivity reactions, however, specific antibodies to aspirin/NSAIDs are rarely shown in these individuals. Additionally, there is cross-reactivity between NSAIDs that do not have similar chemical structures, and the onset of asthma frequently occurs on first</w:t>
      </w:r>
      <w:r w:rsidR="00C4475A">
        <w:rPr>
          <w:rFonts w:ascii="Arial" w:hAnsi="Arial" w:cs="Arial"/>
          <w:color w:val="auto"/>
          <w:sz w:val="20"/>
          <w:szCs w:val="20"/>
          <w:lang w:val="en"/>
        </w:rPr>
        <w:t xml:space="preserve"> exposure to the new NSAID (7</w:t>
      </w:r>
      <w:proofErr w:type="gramStart"/>
      <w:r w:rsidR="00C4475A">
        <w:rPr>
          <w:rFonts w:ascii="Arial" w:hAnsi="Arial" w:cs="Arial"/>
          <w:color w:val="auto"/>
          <w:sz w:val="20"/>
          <w:szCs w:val="20"/>
          <w:lang w:val="en"/>
        </w:rPr>
        <w:t>,12</w:t>
      </w:r>
      <w:proofErr w:type="gramEnd"/>
      <w:r>
        <w:rPr>
          <w:rFonts w:ascii="Arial" w:hAnsi="Arial" w:cs="Arial"/>
          <w:color w:val="auto"/>
          <w:sz w:val="20"/>
          <w:szCs w:val="20"/>
          <w:lang w:val="en"/>
        </w:rPr>
        <w:t xml:space="preserve">).  </w:t>
      </w:r>
    </w:p>
    <w:p w14:paraId="7B550225" w14:textId="76AC0E65" w:rsidR="001A4155" w:rsidRPr="00036E3F" w:rsidRDefault="001A4155" w:rsidP="00A34595">
      <w:pPr>
        <w:pStyle w:val="Heading21"/>
        <w:jc w:val="both"/>
        <w:rPr>
          <w:rFonts w:ascii="Arial" w:hAnsi="Arial" w:cs="Arial"/>
          <w:color w:val="auto"/>
          <w:sz w:val="20"/>
          <w:szCs w:val="20"/>
          <w:lang w:val="en"/>
        </w:rPr>
      </w:pPr>
      <w:r>
        <w:rPr>
          <w:rFonts w:ascii="Arial" w:hAnsi="Arial" w:cs="Arial"/>
          <w:color w:val="auto"/>
          <w:sz w:val="20"/>
          <w:szCs w:val="20"/>
          <w:lang w:val="en"/>
        </w:rPr>
        <w:t xml:space="preserve">The mechanism of hypersensitivity to aspirin and other NSAIDs in asthmatic patients is therefore not considered to be immunological, but has been attributed to the pharmacological properties of the drugs – inhibition of COX, </w:t>
      </w:r>
      <w:r w:rsidRPr="00036E3F">
        <w:rPr>
          <w:rFonts w:ascii="Arial" w:hAnsi="Arial" w:cs="Arial"/>
          <w:color w:val="auto"/>
          <w:sz w:val="20"/>
          <w:szCs w:val="20"/>
          <w:lang w:val="en"/>
        </w:rPr>
        <w:t xml:space="preserve">The two major enzymes in the </w:t>
      </w:r>
      <w:r>
        <w:rPr>
          <w:rFonts w:ascii="Arial" w:hAnsi="Arial" w:cs="Arial"/>
          <w:color w:val="auto"/>
          <w:sz w:val="20"/>
          <w:szCs w:val="20"/>
          <w:lang w:val="en"/>
        </w:rPr>
        <w:t>COX</w:t>
      </w:r>
      <w:r w:rsidRPr="00036E3F">
        <w:rPr>
          <w:rFonts w:ascii="Arial" w:hAnsi="Arial" w:cs="Arial"/>
          <w:color w:val="auto"/>
          <w:sz w:val="20"/>
          <w:szCs w:val="20"/>
          <w:lang w:val="en"/>
        </w:rPr>
        <w:t xml:space="preserve"> pathway are </w:t>
      </w:r>
      <w:proofErr w:type="spellStart"/>
      <w:r w:rsidRPr="00036E3F">
        <w:rPr>
          <w:rFonts w:ascii="Arial" w:hAnsi="Arial" w:cs="Arial"/>
          <w:color w:val="auto"/>
          <w:sz w:val="20"/>
          <w:szCs w:val="20"/>
          <w:lang w:val="en"/>
        </w:rPr>
        <w:t>cyclo</w:t>
      </w:r>
      <w:proofErr w:type="spellEnd"/>
      <w:r w:rsidRPr="00036E3F">
        <w:rPr>
          <w:rFonts w:ascii="Arial" w:hAnsi="Arial" w:cs="Arial"/>
          <w:color w:val="auto"/>
          <w:sz w:val="20"/>
          <w:szCs w:val="20"/>
          <w:lang w:val="en"/>
        </w:rPr>
        <w:t xml:space="preserve">-oxygenase 1 and 2 </w:t>
      </w:r>
      <w:r>
        <w:rPr>
          <w:rFonts w:ascii="Arial" w:hAnsi="Arial" w:cs="Arial"/>
          <w:color w:val="auto"/>
          <w:sz w:val="20"/>
          <w:szCs w:val="20"/>
          <w:lang w:val="en"/>
        </w:rPr>
        <w:t>(COX-1 and COX-2 respectively). M</w:t>
      </w:r>
      <w:r w:rsidRPr="00036E3F">
        <w:rPr>
          <w:rFonts w:ascii="Arial" w:hAnsi="Arial" w:cs="Arial"/>
          <w:color w:val="auto"/>
          <w:sz w:val="20"/>
          <w:szCs w:val="20"/>
          <w:lang w:val="en"/>
        </w:rPr>
        <w:t>ost of the evidence suggests that inhibition of COX-1 is related to the pathogenesis of AIA in patients sensitive to aspirin. It is thought that this inhibition causes a deficiency in the protective bronchodilator/anti-inflammatory prostaglandins, and an excess of pro-inflammatory/</w:t>
      </w:r>
      <w:proofErr w:type="spellStart"/>
      <w:r w:rsidRPr="00036E3F">
        <w:rPr>
          <w:rFonts w:ascii="Arial" w:hAnsi="Arial" w:cs="Arial"/>
          <w:color w:val="auto"/>
          <w:sz w:val="20"/>
          <w:szCs w:val="20"/>
          <w:lang w:val="en"/>
        </w:rPr>
        <w:t>bronchoconstrictive</w:t>
      </w:r>
      <w:proofErr w:type="spellEnd"/>
      <w:r w:rsidRPr="00036E3F">
        <w:rPr>
          <w:rFonts w:ascii="Arial" w:hAnsi="Arial" w:cs="Arial"/>
          <w:color w:val="auto"/>
          <w:sz w:val="20"/>
          <w:szCs w:val="20"/>
          <w:lang w:val="en"/>
        </w:rPr>
        <w:t xml:space="preserve"> leukotrienes, specifically </w:t>
      </w:r>
      <w:proofErr w:type="spellStart"/>
      <w:r w:rsidRPr="00036E3F">
        <w:rPr>
          <w:rFonts w:ascii="Arial" w:hAnsi="Arial" w:cs="Arial"/>
          <w:color w:val="auto"/>
          <w:sz w:val="20"/>
          <w:szCs w:val="20"/>
          <w:lang w:val="en"/>
        </w:rPr>
        <w:t>cysteinyl</w:t>
      </w:r>
      <w:proofErr w:type="spellEnd"/>
      <w:r w:rsidRPr="00036E3F">
        <w:rPr>
          <w:rFonts w:ascii="Arial" w:hAnsi="Arial" w:cs="Arial"/>
          <w:color w:val="auto"/>
          <w:sz w:val="20"/>
          <w:szCs w:val="20"/>
          <w:lang w:val="en"/>
        </w:rPr>
        <w:t>-</w:t>
      </w:r>
      <w:r w:rsidR="00C4475A">
        <w:rPr>
          <w:rFonts w:ascii="Arial" w:hAnsi="Arial" w:cs="Arial"/>
          <w:color w:val="auto"/>
          <w:sz w:val="20"/>
          <w:szCs w:val="20"/>
          <w:lang w:val="en"/>
        </w:rPr>
        <w:t>leukotrienes</w:t>
      </w:r>
      <w:r w:rsidR="00AE6D7D">
        <w:rPr>
          <w:rFonts w:ascii="Arial" w:hAnsi="Arial" w:cs="Arial"/>
          <w:color w:val="auto"/>
          <w:sz w:val="20"/>
          <w:szCs w:val="20"/>
          <w:lang w:val="en"/>
        </w:rPr>
        <w:t xml:space="preserve"> (11,12)</w:t>
      </w:r>
      <w:r w:rsidR="00C4475A">
        <w:rPr>
          <w:rFonts w:ascii="Arial" w:hAnsi="Arial" w:cs="Arial"/>
          <w:color w:val="auto"/>
          <w:sz w:val="20"/>
          <w:szCs w:val="20"/>
          <w:lang w:val="en"/>
        </w:rPr>
        <w:t xml:space="preserve"> </w:t>
      </w:r>
      <w:r w:rsidRPr="00666ED1">
        <w:rPr>
          <w:rFonts w:ascii="Arial" w:hAnsi="Arial" w:cs="Arial"/>
          <w:color w:val="auto"/>
          <w:sz w:val="20"/>
          <w:szCs w:val="20"/>
          <w:lang w:val="en"/>
        </w:rPr>
        <w:t xml:space="preserve">Patients with AIA are particularly susceptible to the effects of leukotrienes that manifest as excessive </w:t>
      </w:r>
      <w:proofErr w:type="spellStart"/>
      <w:r w:rsidRPr="00666ED1">
        <w:rPr>
          <w:rFonts w:ascii="Arial" w:hAnsi="Arial" w:cs="Arial"/>
          <w:color w:val="auto"/>
          <w:sz w:val="20"/>
          <w:szCs w:val="20"/>
          <w:lang w:val="en"/>
        </w:rPr>
        <w:t>nasoo</w:t>
      </w:r>
      <w:r w:rsidR="00666ED1" w:rsidRPr="00666ED1">
        <w:rPr>
          <w:rFonts w:ascii="Arial" w:hAnsi="Arial" w:cs="Arial"/>
          <w:color w:val="auto"/>
          <w:sz w:val="20"/>
          <w:szCs w:val="20"/>
          <w:lang w:val="en"/>
        </w:rPr>
        <w:t>cular</w:t>
      </w:r>
      <w:proofErr w:type="spellEnd"/>
      <w:r w:rsidR="00666ED1" w:rsidRPr="00666ED1">
        <w:rPr>
          <w:rFonts w:ascii="Arial" w:hAnsi="Arial" w:cs="Arial"/>
          <w:color w:val="auto"/>
          <w:sz w:val="20"/>
          <w:szCs w:val="20"/>
          <w:lang w:val="en"/>
        </w:rPr>
        <w:t xml:space="preserve"> and asthmatic reactions</w:t>
      </w:r>
      <w:r w:rsidRPr="00666ED1">
        <w:rPr>
          <w:rFonts w:ascii="Arial" w:hAnsi="Arial" w:cs="Arial"/>
          <w:color w:val="auto"/>
          <w:sz w:val="20"/>
          <w:szCs w:val="20"/>
          <w:lang w:val="en"/>
        </w:rPr>
        <w:t xml:space="preserve">. </w:t>
      </w:r>
      <w:r w:rsidR="00AE6D7D">
        <w:rPr>
          <w:rFonts w:ascii="Arial" w:hAnsi="Arial" w:cs="Arial"/>
          <w:color w:val="auto"/>
          <w:sz w:val="20"/>
          <w:szCs w:val="20"/>
          <w:lang w:val="en"/>
        </w:rPr>
        <w:t>(13)</w:t>
      </w:r>
      <w:r w:rsidRPr="00666ED1">
        <w:rPr>
          <w:rFonts w:ascii="Arial" w:hAnsi="Arial" w:cs="Arial"/>
          <w:color w:val="auto"/>
          <w:sz w:val="20"/>
          <w:szCs w:val="20"/>
          <w:lang w:val="en"/>
        </w:rPr>
        <w:t xml:space="preserve"> </w:t>
      </w:r>
    </w:p>
    <w:p w14:paraId="07404725" w14:textId="77777777" w:rsidR="00427F92" w:rsidRPr="00B00B12" w:rsidRDefault="00427F92" w:rsidP="00A34595">
      <w:pPr>
        <w:spacing w:after="0" w:line="240" w:lineRule="auto"/>
        <w:rPr>
          <w:rFonts w:eastAsia="Times New Roman" w:cs="Arial"/>
          <w:szCs w:val="20"/>
          <w:lang w:val="en-US"/>
        </w:rPr>
      </w:pPr>
    </w:p>
    <w:p w14:paraId="47F61A1A" w14:textId="77777777" w:rsidR="00427F92" w:rsidRDefault="00427F92" w:rsidP="00A34595">
      <w:pPr>
        <w:pStyle w:val="Heading2"/>
      </w:pPr>
      <w:r>
        <w:t>Answer</w:t>
      </w:r>
    </w:p>
    <w:p w14:paraId="4754321C" w14:textId="77777777" w:rsidR="00975340" w:rsidRPr="00975340" w:rsidRDefault="00975340" w:rsidP="00781E2E">
      <w:pPr>
        <w:pStyle w:val="Heading3"/>
        <w:spacing w:after="100" w:afterAutospacing="1" w:line="240" w:lineRule="auto"/>
      </w:pPr>
      <w:r w:rsidRPr="00975340">
        <w:t>Asthmatic patients with known Aspirin Induced Asthma (AIA)</w:t>
      </w:r>
    </w:p>
    <w:p w14:paraId="04132DC6" w14:textId="77777777" w:rsidR="00975340" w:rsidRPr="00975340" w:rsidRDefault="00975340" w:rsidP="00781E2E">
      <w:pPr>
        <w:spacing w:after="100" w:afterAutospacing="1" w:line="240" w:lineRule="auto"/>
        <w:rPr>
          <w:b/>
          <w:color w:val="0070C0"/>
        </w:rPr>
      </w:pPr>
      <w:r w:rsidRPr="00975340">
        <w:rPr>
          <w:b/>
          <w:color w:val="0070C0"/>
        </w:rPr>
        <w:t xml:space="preserve">Use of aspirin and NSAIDs </w:t>
      </w:r>
    </w:p>
    <w:p w14:paraId="6ECFB0FC" w14:textId="4636E27E" w:rsidR="00975340" w:rsidRPr="00975340" w:rsidRDefault="00975340" w:rsidP="00A34595">
      <w:pPr>
        <w:spacing w:line="240" w:lineRule="auto"/>
        <w:jc w:val="both"/>
        <w:rPr>
          <w:color w:val="000000"/>
        </w:rPr>
      </w:pPr>
      <w:r w:rsidRPr="00EC643A">
        <w:rPr>
          <w:color w:val="000000"/>
        </w:rPr>
        <w:t>Aspirin and other NSAIDs are contra-indicated in patients in whom attacks of asthma have been precipitated by as</w:t>
      </w:r>
      <w:r w:rsidR="00AE6D7D">
        <w:rPr>
          <w:color w:val="000000"/>
        </w:rPr>
        <w:t>pirin or any other NSAID (14</w:t>
      </w:r>
      <w:r>
        <w:rPr>
          <w:color w:val="000000"/>
        </w:rPr>
        <w:t xml:space="preserve">). </w:t>
      </w:r>
    </w:p>
    <w:p w14:paraId="30C5AC42" w14:textId="1B97F29C" w:rsidR="00975340" w:rsidRPr="00975340" w:rsidRDefault="00975340" w:rsidP="00A34595">
      <w:pPr>
        <w:spacing w:line="240" w:lineRule="auto"/>
        <w:rPr>
          <w:b/>
          <w:color w:val="0070C0"/>
        </w:rPr>
      </w:pPr>
      <w:r w:rsidRPr="00975340">
        <w:rPr>
          <w:b/>
          <w:color w:val="0070C0"/>
        </w:rPr>
        <w:t>Use of COX-2 s</w:t>
      </w:r>
      <w:r w:rsidR="00781E2E">
        <w:rPr>
          <w:b/>
          <w:color w:val="0070C0"/>
        </w:rPr>
        <w:t>elective</w:t>
      </w:r>
      <w:r w:rsidRPr="00975340">
        <w:rPr>
          <w:b/>
          <w:color w:val="0070C0"/>
        </w:rPr>
        <w:t xml:space="preserve"> inhibitors as an alternative to non-selective NSAIDs</w:t>
      </w:r>
    </w:p>
    <w:p w14:paraId="2A6E2B6E" w14:textId="6216E656" w:rsidR="00975340" w:rsidRPr="00EC643A" w:rsidRDefault="00975340" w:rsidP="00A34595">
      <w:pPr>
        <w:spacing w:line="240" w:lineRule="auto"/>
        <w:jc w:val="both"/>
        <w:rPr>
          <w:rFonts w:cs="Arial"/>
          <w:color w:val="000000"/>
        </w:rPr>
      </w:pPr>
      <w:r w:rsidRPr="00EC643A">
        <w:rPr>
          <w:color w:val="000000"/>
        </w:rPr>
        <w:t xml:space="preserve">There has been interest in the use of </w:t>
      </w:r>
      <w:r w:rsidR="00781E2E">
        <w:rPr>
          <w:color w:val="000000"/>
        </w:rPr>
        <w:t>these agents</w:t>
      </w:r>
      <w:r w:rsidRPr="00EC643A">
        <w:rPr>
          <w:color w:val="000000"/>
        </w:rPr>
        <w:t xml:space="preserve"> in patients with AIA considering that the pathogenesis of AIA involves mainly inhibition of COX-1. </w:t>
      </w:r>
    </w:p>
    <w:p w14:paraId="3E4A8BEB" w14:textId="77777777" w:rsidR="00BD51B9" w:rsidRDefault="00BD51B9" w:rsidP="00A34595">
      <w:pPr>
        <w:spacing w:after="0" w:line="240" w:lineRule="auto"/>
        <w:jc w:val="both"/>
        <w:rPr>
          <w:rFonts w:cs="Arial"/>
          <w:color w:val="000000"/>
          <w:lang w:eastAsia="en-GB"/>
        </w:rPr>
      </w:pPr>
    </w:p>
    <w:p w14:paraId="0F00989F" w14:textId="39581F61" w:rsidR="00FD1F3D" w:rsidRPr="00BD51B9" w:rsidRDefault="00081C3F" w:rsidP="00A3459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282828"/>
          <w:sz w:val="20"/>
          <w:szCs w:val="20"/>
        </w:rPr>
      </w:pPr>
      <w:r w:rsidRPr="00081C3F">
        <w:rPr>
          <w:color w:val="000000"/>
          <w:sz w:val="20"/>
          <w:szCs w:val="20"/>
        </w:rPr>
        <w:t>A systematic review in 2013 identified</w:t>
      </w:r>
      <w:r w:rsidR="00883919">
        <w:rPr>
          <w:color w:val="000000"/>
          <w:sz w:val="20"/>
          <w:szCs w:val="20"/>
        </w:rPr>
        <w:t xml:space="preserve"> fourteen</w:t>
      </w:r>
      <w:r w:rsidRPr="00081C3F">
        <w:rPr>
          <w:color w:val="000000"/>
          <w:sz w:val="20"/>
          <w:szCs w:val="20"/>
        </w:rPr>
        <w:t xml:space="preserve"> </w:t>
      </w:r>
      <w:r w:rsidRPr="00081C3F">
        <w:rPr>
          <w:color w:val="282828"/>
          <w:sz w:val="20"/>
          <w:szCs w:val="20"/>
        </w:rPr>
        <w:t xml:space="preserve">placebo-controlled clinical trials evaluating acute </w:t>
      </w:r>
      <w:r w:rsidR="00285FB9" w:rsidRPr="00081C3F">
        <w:rPr>
          <w:color w:val="282828"/>
          <w:sz w:val="20"/>
          <w:szCs w:val="20"/>
        </w:rPr>
        <w:t>exposure</w:t>
      </w:r>
      <w:r w:rsidR="00285FB9">
        <w:rPr>
          <w:color w:val="282828"/>
          <w:sz w:val="20"/>
          <w:szCs w:val="20"/>
        </w:rPr>
        <w:t xml:space="preserve"> to </w:t>
      </w:r>
      <w:r w:rsidRPr="00081C3F">
        <w:rPr>
          <w:color w:val="282828"/>
          <w:sz w:val="20"/>
          <w:szCs w:val="20"/>
        </w:rPr>
        <w:t>selective NSAID</w:t>
      </w:r>
      <w:r w:rsidR="00426AC4">
        <w:rPr>
          <w:color w:val="282828"/>
          <w:sz w:val="20"/>
          <w:szCs w:val="20"/>
        </w:rPr>
        <w:t xml:space="preserve"> (such as meloxicam)</w:t>
      </w:r>
      <w:r w:rsidRPr="00081C3F">
        <w:rPr>
          <w:color w:val="282828"/>
          <w:sz w:val="20"/>
          <w:szCs w:val="20"/>
        </w:rPr>
        <w:t xml:space="preserve"> or COX-2 inhibitor</w:t>
      </w:r>
      <w:r w:rsidR="00BD51B9">
        <w:rPr>
          <w:color w:val="282828"/>
          <w:sz w:val="20"/>
          <w:szCs w:val="20"/>
        </w:rPr>
        <w:t xml:space="preserve"> (</w:t>
      </w:r>
      <w:r w:rsidR="00426AC4">
        <w:rPr>
          <w:color w:val="282828"/>
          <w:sz w:val="20"/>
          <w:szCs w:val="20"/>
        </w:rPr>
        <w:t xml:space="preserve">including </w:t>
      </w:r>
      <w:proofErr w:type="spellStart"/>
      <w:r w:rsidR="00426AC4">
        <w:rPr>
          <w:color w:val="282828"/>
          <w:sz w:val="20"/>
          <w:szCs w:val="20"/>
        </w:rPr>
        <w:t>celexocib</w:t>
      </w:r>
      <w:proofErr w:type="spellEnd"/>
      <w:r w:rsidR="00426AC4">
        <w:rPr>
          <w:color w:val="282828"/>
          <w:sz w:val="20"/>
          <w:szCs w:val="20"/>
        </w:rPr>
        <w:t xml:space="preserve">, </w:t>
      </w:r>
      <w:proofErr w:type="spellStart"/>
      <w:r w:rsidR="00426AC4">
        <w:rPr>
          <w:color w:val="282828"/>
          <w:sz w:val="20"/>
          <w:szCs w:val="20"/>
        </w:rPr>
        <w:t>etoricoxib</w:t>
      </w:r>
      <w:proofErr w:type="spellEnd"/>
      <w:r w:rsidR="00426AC4">
        <w:rPr>
          <w:color w:val="282828"/>
          <w:sz w:val="20"/>
          <w:szCs w:val="20"/>
        </w:rPr>
        <w:t xml:space="preserve"> and</w:t>
      </w:r>
      <w:r w:rsidR="00BD51B9">
        <w:rPr>
          <w:color w:val="282828"/>
          <w:sz w:val="20"/>
          <w:szCs w:val="20"/>
        </w:rPr>
        <w:t xml:space="preserve"> </w:t>
      </w:r>
      <w:proofErr w:type="spellStart"/>
      <w:r w:rsidR="00BD51B9">
        <w:rPr>
          <w:color w:val="282828"/>
          <w:sz w:val="20"/>
          <w:szCs w:val="20"/>
        </w:rPr>
        <w:t>parecoxib</w:t>
      </w:r>
      <w:proofErr w:type="spellEnd"/>
      <w:r w:rsidR="00426AC4">
        <w:rPr>
          <w:color w:val="282828"/>
          <w:sz w:val="20"/>
          <w:szCs w:val="20"/>
        </w:rPr>
        <w:t>)</w:t>
      </w:r>
      <w:r w:rsidR="00BD51B9">
        <w:rPr>
          <w:color w:val="282828"/>
          <w:sz w:val="20"/>
          <w:szCs w:val="20"/>
        </w:rPr>
        <w:t xml:space="preserve"> </w:t>
      </w:r>
      <w:r w:rsidRPr="00081C3F">
        <w:rPr>
          <w:color w:val="282828"/>
          <w:sz w:val="20"/>
          <w:szCs w:val="20"/>
        </w:rPr>
        <w:t>in patients with AIA. Effect estimates for changes in respiratory function and symptoms were pooled by using fixed-effects meta-analysis</w:t>
      </w:r>
      <w:r w:rsidR="00044035">
        <w:rPr>
          <w:color w:val="282828"/>
          <w:sz w:val="20"/>
          <w:szCs w:val="20"/>
        </w:rPr>
        <w:t xml:space="preserve"> (15)</w:t>
      </w:r>
      <w:r w:rsidRPr="00081C3F">
        <w:rPr>
          <w:color w:val="282828"/>
          <w:sz w:val="20"/>
          <w:szCs w:val="20"/>
        </w:rPr>
        <w:t xml:space="preserve">.  </w:t>
      </w:r>
      <w:r w:rsidR="00820925">
        <w:rPr>
          <w:color w:val="282828"/>
          <w:sz w:val="20"/>
          <w:szCs w:val="20"/>
        </w:rPr>
        <w:t xml:space="preserve">There was </w:t>
      </w:r>
      <w:r w:rsidRPr="00081C3F">
        <w:rPr>
          <w:color w:val="282828"/>
          <w:sz w:val="20"/>
          <w:szCs w:val="20"/>
        </w:rPr>
        <w:t>no significant difference in respiratory symptoms (risk difference, -0.01; 95% CI, -0.03 to 0.01; P =</w:t>
      </w:r>
      <w:r w:rsidR="00285FB9">
        <w:rPr>
          <w:color w:val="282828"/>
          <w:sz w:val="20"/>
          <w:szCs w:val="20"/>
        </w:rPr>
        <w:t>0</w:t>
      </w:r>
      <w:r w:rsidRPr="00081C3F">
        <w:rPr>
          <w:color w:val="282828"/>
          <w:sz w:val="20"/>
          <w:szCs w:val="20"/>
        </w:rPr>
        <w:t>.57), decrease in FEV</w:t>
      </w:r>
      <w:r w:rsidRPr="00081C3F">
        <w:rPr>
          <w:color w:val="282828"/>
          <w:sz w:val="20"/>
          <w:szCs w:val="20"/>
          <w:vertAlign w:val="subscript"/>
        </w:rPr>
        <w:t>1</w:t>
      </w:r>
      <w:r w:rsidRPr="00081C3F">
        <w:rPr>
          <w:color w:val="282828"/>
          <w:sz w:val="20"/>
          <w:szCs w:val="20"/>
        </w:rPr>
        <w:t xml:space="preserve"> of 20% or greater (</w:t>
      </w:r>
      <w:r w:rsidR="00285FB9" w:rsidRPr="00081C3F">
        <w:rPr>
          <w:color w:val="282828"/>
          <w:sz w:val="20"/>
          <w:szCs w:val="20"/>
        </w:rPr>
        <w:t>risk difference</w:t>
      </w:r>
      <w:r w:rsidRPr="00081C3F">
        <w:rPr>
          <w:color w:val="282828"/>
          <w:sz w:val="20"/>
          <w:szCs w:val="20"/>
        </w:rPr>
        <w:t>, 0.00; 95% CI, -0.02 to 0.02; P =</w:t>
      </w:r>
      <w:r w:rsidR="00285FB9">
        <w:rPr>
          <w:color w:val="282828"/>
          <w:sz w:val="20"/>
          <w:szCs w:val="20"/>
        </w:rPr>
        <w:t>0</w:t>
      </w:r>
      <w:r w:rsidRPr="00081C3F">
        <w:rPr>
          <w:color w:val="282828"/>
          <w:sz w:val="20"/>
          <w:szCs w:val="20"/>
        </w:rPr>
        <w:t>.77), or nasal symptoms (</w:t>
      </w:r>
      <w:r w:rsidR="00285FB9" w:rsidRPr="00081C3F">
        <w:rPr>
          <w:color w:val="282828"/>
          <w:sz w:val="20"/>
          <w:szCs w:val="20"/>
        </w:rPr>
        <w:t>risk difference</w:t>
      </w:r>
      <w:r w:rsidRPr="00081C3F">
        <w:rPr>
          <w:color w:val="282828"/>
          <w:sz w:val="20"/>
          <w:szCs w:val="20"/>
        </w:rPr>
        <w:t xml:space="preserve">, -0.01; 95% CI, -0.04 to 0.02; P=0.42) occurred </w:t>
      </w:r>
      <w:r w:rsidRPr="00081C3F">
        <w:rPr>
          <w:color w:val="282828"/>
          <w:sz w:val="20"/>
          <w:szCs w:val="20"/>
        </w:rPr>
        <w:lastRenderedPageBreak/>
        <w:t>with COX-2 inhibitor</w:t>
      </w:r>
      <w:r w:rsidR="009147C8">
        <w:rPr>
          <w:color w:val="282828"/>
          <w:sz w:val="20"/>
          <w:szCs w:val="20"/>
        </w:rPr>
        <w:t xml:space="preserve"> </w:t>
      </w:r>
      <w:r w:rsidR="009147C8" w:rsidRPr="00081C3F">
        <w:rPr>
          <w:color w:val="282828"/>
          <w:sz w:val="20"/>
          <w:szCs w:val="20"/>
        </w:rPr>
        <w:t>exposure</w:t>
      </w:r>
      <w:r w:rsidRPr="00081C3F">
        <w:rPr>
          <w:color w:val="282828"/>
          <w:sz w:val="20"/>
          <w:szCs w:val="20"/>
        </w:rPr>
        <w:t xml:space="preserve">. Selective NSAID caused respiratory symptoms in approximately 1 in 13 patients with </w:t>
      </w:r>
      <w:r w:rsidR="00285FB9" w:rsidRPr="00FD1F3D">
        <w:rPr>
          <w:color w:val="282828"/>
          <w:sz w:val="20"/>
          <w:szCs w:val="20"/>
        </w:rPr>
        <w:t>AIA</w:t>
      </w:r>
      <w:r w:rsidRPr="00081C3F">
        <w:rPr>
          <w:color w:val="282828"/>
          <w:sz w:val="20"/>
          <w:szCs w:val="20"/>
        </w:rPr>
        <w:t xml:space="preserve"> (</w:t>
      </w:r>
      <w:r w:rsidR="00285FB9" w:rsidRPr="00081C3F">
        <w:rPr>
          <w:color w:val="282828"/>
          <w:sz w:val="20"/>
          <w:szCs w:val="20"/>
        </w:rPr>
        <w:t>risk difference</w:t>
      </w:r>
      <w:r w:rsidRPr="00081C3F">
        <w:rPr>
          <w:color w:val="282828"/>
          <w:sz w:val="20"/>
          <w:szCs w:val="20"/>
        </w:rPr>
        <w:t>, 0.08; 95% CI, 0.02 to 0.14; P =</w:t>
      </w:r>
      <w:r w:rsidR="00285FB9" w:rsidRPr="00FD1F3D">
        <w:rPr>
          <w:color w:val="282828"/>
          <w:sz w:val="20"/>
          <w:szCs w:val="20"/>
        </w:rPr>
        <w:t>0</w:t>
      </w:r>
      <w:r w:rsidRPr="00081C3F">
        <w:rPr>
          <w:color w:val="282828"/>
          <w:sz w:val="20"/>
          <w:szCs w:val="20"/>
        </w:rPr>
        <w:t>.01</w:t>
      </w:r>
      <w:r w:rsidR="00820925">
        <w:rPr>
          <w:color w:val="282828"/>
          <w:sz w:val="20"/>
          <w:szCs w:val="20"/>
        </w:rPr>
        <w:t>)</w:t>
      </w:r>
      <w:r w:rsidRPr="00081C3F">
        <w:rPr>
          <w:color w:val="282828"/>
          <w:sz w:val="20"/>
          <w:szCs w:val="20"/>
        </w:rPr>
        <w:t>.</w:t>
      </w:r>
      <w:r w:rsidR="00B91321" w:rsidRPr="00FD1F3D">
        <w:rPr>
          <w:color w:val="282828"/>
          <w:sz w:val="20"/>
          <w:szCs w:val="20"/>
        </w:rPr>
        <w:t xml:space="preserve"> Studies included in this meta-analysis predominantly evaluated patients with AIA and stable, mild to moderate asthma. Therefore, results may not be applicable to patients with unstable asthma or those who experienced life-threatening reactions requiring intubation after aspirin or NSAID exposure. </w:t>
      </w:r>
      <w:r w:rsidR="00FD1F3D">
        <w:rPr>
          <w:color w:val="282828"/>
          <w:sz w:val="20"/>
          <w:szCs w:val="20"/>
        </w:rPr>
        <w:t xml:space="preserve">Although </w:t>
      </w:r>
      <w:r w:rsidR="00FD1F3D" w:rsidRPr="00FD1F3D">
        <w:rPr>
          <w:color w:val="000000"/>
          <w:sz w:val="20"/>
          <w:szCs w:val="20"/>
        </w:rPr>
        <w:t xml:space="preserve">COX-2 inhibitors are associated with increased cardiovascular risk, </w:t>
      </w:r>
      <w:r w:rsidR="00BD51B9">
        <w:rPr>
          <w:color w:val="282828"/>
          <w:sz w:val="20"/>
          <w:szCs w:val="20"/>
        </w:rPr>
        <w:t>a</w:t>
      </w:r>
      <w:r w:rsidR="00BD51B9" w:rsidRPr="00FD1F3D">
        <w:rPr>
          <w:color w:val="282828"/>
          <w:sz w:val="20"/>
          <w:szCs w:val="20"/>
        </w:rPr>
        <w:t>uthors concluded that</w:t>
      </w:r>
      <w:r w:rsidR="00BD51B9">
        <w:rPr>
          <w:color w:val="282828"/>
          <w:sz w:val="20"/>
          <w:szCs w:val="20"/>
        </w:rPr>
        <w:t xml:space="preserve"> </w:t>
      </w:r>
      <w:r w:rsidR="00FD1F3D" w:rsidRPr="00FD1F3D">
        <w:rPr>
          <w:sz w:val="20"/>
          <w:szCs w:val="20"/>
        </w:rPr>
        <w:t>the</w:t>
      </w:r>
      <w:r w:rsidR="00820925">
        <w:rPr>
          <w:sz w:val="20"/>
          <w:szCs w:val="20"/>
        </w:rPr>
        <w:t>ir</w:t>
      </w:r>
      <w:r w:rsidR="00FD1F3D" w:rsidRPr="00FD1F3D">
        <w:rPr>
          <w:sz w:val="20"/>
          <w:szCs w:val="20"/>
        </w:rPr>
        <w:t xml:space="preserve"> use appears to provide a safe and effective anti-inflammatory and analgesic treatment in asthmatic patients with true AIA or those asthmatic patients unwilling to accept the potential risk from non- selective NSAID exposure when oral challenge tests are unavailable.</w:t>
      </w:r>
      <w:r w:rsidR="00AE6D7D">
        <w:rPr>
          <w:sz w:val="20"/>
          <w:szCs w:val="20"/>
        </w:rPr>
        <w:t xml:space="preserve"> (15</w:t>
      </w:r>
      <w:r w:rsidR="00CB043C">
        <w:rPr>
          <w:sz w:val="20"/>
          <w:szCs w:val="20"/>
        </w:rPr>
        <w:t>)</w:t>
      </w:r>
    </w:p>
    <w:p w14:paraId="214A15B0" w14:textId="77777777" w:rsidR="00FD1F3D" w:rsidRDefault="00FD1F3D" w:rsidP="00A34595">
      <w:pPr>
        <w:autoSpaceDE w:val="0"/>
        <w:autoSpaceDN w:val="0"/>
        <w:adjustRightInd w:val="0"/>
        <w:spacing w:after="0" w:line="240" w:lineRule="auto"/>
        <w:rPr>
          <w:rFonts w:ascii="AdvPSA88A" w:eastAsiaTheme="minorHAnsi" w:hAnsi="AdvPSA88A" w:cs="AdvPSA88A"/>
          <w:sz w:val="19"/>
          <w:szCs w:val="19"/>
        </w:rPr>
      </w:pPr>
    </w:p>
    <w:p w14:paraId="74888349" w14:textId="3522B756" w:rsidR="00F754CF" w:rsidRPr="00F754CF" w:rsidRDefault="00F754CF" w:rsidP="00F754CF">
      <w:pPr>
        <w:spacing w:after="0" w:line="240" w:lineRule="auto"/>
        <w:jc w:val="both"/>
        <w:rPr>
          <w:rFonts w:cs="Arial"/>
          <w:color w:val="000000"/>
          <w:lang w:eastAsia="en-GB"/>
        </w:rPr>
      </w:pPr>
      <w:r>
        <w:rPr>
          <w:rFonts w:cs="Arial"/>
          <w:color w:val="000000"/>
          <w:lang w:eastAsia="en-GB"/>
        </w:rPr>
        <w:t>D</w:t>
      </w:r>
      <w:r w:rsidRPr="00EC643A">
        <w:rPr>
          <w:rFonts w:cs="Arial"/>
          <w:color w:val="000000"/>
          <w:lang w:eastAsia="en-GB"/>
        </w:rPr>
        <w:t xml:space="preserve">espite the safety data and lack of cross-reactivity for use of COX-2 specific inhibitors in large numbers of patients with AIA, rare case reports of respiratory reactions to </w:t>
      </w:r>
      <w:r w:rsidR="00057B82">
        <w:rPr>
          <w:rFonts w:cs="Arial"/>
          <w:color w:val="000000"/>
          <w:lang w:eastAsia="en-GB"/>
        </w:rPr>
        <w:t xml:space="preserve">them </w:t>
      </w:r>
      <w:r w:rsidRPr="00EC643A">
        <w:rPr>
          <w:rFonts w:cs="Arial"/>
          <w:color w:val="000000"/>
          <w:lang w:eastAsia="en-GB"/>
        </w:rPr>
        <w:t xml:space="preserve">have appeared in the literature. </w:t>
      </w:r>
      <w:r>
        <w:rPr>
          <w:rFonts w:cs="Arial"/>
          <w:color w:val="000000"/>
          <w:lang w:eastAsia="en-GB"/>
        </w:rPr>
        <w:t>S</w:t>
      </w:r>
      <w:r w:rsidRPr="00EC643A">
        <w:rPr>
          <w:rFonts w:cs="Arial"/>
          <w:color w:val="000000"/>
          <w:lang w:eastAsia="en-GB"/>
        </w:rPr>
        <w:t xml:space="preserve">uch reports make it impossible to take the position that </w:t>
      </w:r>
      <w:r w:rsidR="008E6FD7">
        <w:rPr>
          <w:rFonts w:cs="Arial"/>
          <w:color w:val="000000"/>
          <w:lang w:eastAsia="en-GB"/>
        </w:rPr>
        <w:t xml:space="preserve">they </w:t>
      </w:r>
      <w:r w:rsidRPr="00EC643A">
        <w:rPr>
          <w:rFonts w:cs="Arial"/>
          <w:color w:val="000000"/>
          <w:lang w:eastAsia="en-GB"/>
        </w:rPr>
        <w:t>never induce respiratory re</w:t>
      </w:r>
      <w:r w:rsidR="00AE6D7D">
        <w:rPr>
          <w:rFonts w:cs="Arial"/>
          <w:color w:val="000000"/>
          <w:lang w:eastAsia="en-GB"/>
        </w:rPr>
        <w:t>actions in patients with AIA (16</w:t>
      </w:r>
      <w:r w:rsidRPr="00EC643A">
        <w:rPr>
          <w:rFonts w:cs="Arial"/>
          <w:color w:val="000000"/>
          <w:lang w:eastAsia="en-GB"/>
        </w:rPr>
        <w:t xml:space="preserve">).  </w:t>
      </w:r>
    </w:p>
    <w:p w14:paraId="1D0F71AC" w14:textId="77777777" w:rsidR="00F754CF" w:rsidRPr="00FD1F3D" w:rsidRDefault="00F754CF" w:rsidP="00A34595">
      <w:pPr>
        <w:autoSpaceDE w:val="0"/>
        <w:autoSpaceDN w:val="0"/>
        <w:adjustRightInd w:val="0"/>
        <w:spacing w:after="0" w:line="240" w:lineRule="auto"/>
        <w:rPr>
          <w:rFonts w:ascii="AdvPSA88A" w:eastAsiaTheme="minorHAnsi" w:hAnsi="AdvPSA88A" w:cs="AdvPSA88A"/>
          <w:sz w:val="19"/>
          <w:szCs w:val="19"/>
        </w:rPr>
      </w:pPr>
    </w:p>
    <w:p w14:paraId="2BBA2528" w14:textId="09600981" w:rsidR="00081C3F" w:rsidRPr="00081C3F" w:rsidRDefault="00975340" w:rsidP="00A34595">
      <w:pPr>
        <w:spacing w:line="240" w:lineRule="auto"/>
        <w:jc w:val="both"/>
        <w:rPr>
          <w:rFonts w:cs="Arial"/>
          <w:color w:val="000000"/>
          <w:szCs w:val="20"/>
        </w:rPr>
      </w:pPr>
      <w:r w:rsidRPr="00EC643A">
        <w:rPr>
          <w:color w:val="000000"/>
        </w:rPr>
        <w:t>Currently, the manufacturers state in their summary of product characteristics (SP</w:t>
      </w:r>
      <w:r w:rsidR="00BD51B9">
        <w:rPr>
          <w:color w:val="000000"/>
        </w:rPr>
        <w:t xml:space="preserve">Cs), that celecoxib, </w:t>
      </w:r>
      <w:proofErr w:type="spellStart"/>
      <w:r w:rsidR="00BD51B9">
        <w:rPr>
          <w:color w:val="000000"/>
        </w:rPr>
        <w:t>etoricoxib</w:t>
      </w:r>
      <w:proofErr w:type="spellEnd"/>
      <w:r w:rsidR="00BD51B9">
        <w:rPr>
          <w:color w:val="000000"/>
        </w:rPr>
        <w:t>,</w:t>
      </w:r>
      <w:r w:rsidRPr="00EC643A">
        <w:rPr>
          <w:color w:val="000000"/>
        </w:rPr>
        <w:t xml:space="preserve"> </w:t>
      </w:r>
      <w:proofErr w:type="spellStart"/>
      <w:r w:rsidRPr="00EC643A">
        <w:rPr>
          <w:rFonts w:cs="Arial"/>
          <w:color w:val="000000"/>
        </w:rPr>
        <w:t>parecoxib</w:t>
      </w:r>
      <w:proofErr w:type="spellEnd"/>
      <w:r w:rsidRPr="00EC643A">
        <w:rPr>
          <w:rFonts w:cs="Arial"/>
          <w:color w:val="000000"/>
        </w:rPr>
        <w:t xml:space="preserve"> </w:t>
      </w:r>
      <w:r w:rsidR="00BD51B9">
        <w:rPr>
          <w:rFonts w:cs="Arial"/>
          <w:color w:val="000000"/>
        </w:rPr>
        <w:t xml:space="preserve">and meloxicam </w:t>
      </w:r>
      <w:r w:rsidRPr="00EC643A">
        <w:rPr>
          <w:rFonts w:cs="Arial"/>
          <w:color w:val="000000"/>
        </w:rPr>
        <w:t xml:space="preserve">are contra-indicated in patients who have experienced </w:t>
      </w:r>
      <w:r w:rsidRPr="00081C3F">
        <w:rPr>
          <w:rFonts w:cs="Arial"/>
          <w:color w:val="000000"/>
          <w:szCs w:val="20"/>
        </w:rPr>
        <w:t xml:space="preserve">asthma/bronchospasm, </w:t>
      </w:r>
      <w:r w:rsidRPr="00081C3F">
        <w:rPr>
          <w:rFonts w:cs="Arial"/>
          <w:szCs w:val="20"/>
        </w:rPr>
        <w:t xml:space="preserve">acute rhinitis, nasal polyps, </w:t>
      </w:r>
      <w:proofErr w:type="spellStart"/>
      <w:r w:rsidRPr="00081C3F">
        <w:rPr>
          <w:rFonts w:cs="Arial"/>
          <w:szCs w:val="20"/>
        </w:rPr>
        <w:t>angioneurotic</w:t>
      </w:r>
      <w:proofErr w:type="spellEnd"/>
      <w:r w:rsidRPr="00081C3F">
        <w:rPr>
          <w:rFonts w:cs="Arial"/>
          <w:szCs w:val="20"/>
        </w:rPr>
        <w:t xml:space="preserve"> oedema, </w:t>
      </w:r>
      <w:proofErr w:type="spellStart"/>
      <w:r w:rsidRPr="00081C3F">
        <w:rPr>
          <w:rFonts w:cs="Arial"/>
          <w:szCs w:val="20"/>
        </w:rPr>
        <w:t>urticaria</w:t>
      </w:r>
      <w:proofErr w:type="spellEnd"/>
      <w:r w:rsidRPr="00081C3F">
        <w:rPr>
          <w:rFonts w:cs="Arial"/>
          <w:szCs w:val="20"/>
        </w:rPr>
        <w:t xml:space="preserve"> or other allergic-type reactions after taking aspirin or NSAIDs including COX-2 (cyclooxygenase-2) inhibitors</w:t>
      </w:r>
      <w:r w:rsidR="00BB4EAE" w:rsidRPr="00081C3F">
        <w:rPr>
          <w:rFonts w:cs="Arial"/>
          <w:szCs w:val="20"/>
        </w:rPr>
        <w:t xml:space="preserve"> </w:t>
      </w:r>
      <w:r w:rsidR="00C4475A" w:rsidRPr="00081C3F">
        <w:rPr>
          <w:rFonts w:cs="Arial"/>
          <w:color w:val="000000"/>
          <w:szCs w:val="20"/>
        </w:rPr>
        <w:t>(</w:t>
      </w:r>
      <w:r w:rsidR="00AE6D7D">
        <w:rPr>
          <w:rFonts w:cs="Arial"/>
          <w:color w:val="000000"/>
          <w:szCs w:val="20"/>
        </w:rPr>
        <w:t>17-20</w:t>
      </w:r>
      <w:r w:rsidRPr="00081C3F">
        <w:rPr>
          <w:rFonts w:cs="Arial"/>
          <w:color w:val="000000"/>
          <w:szCs w:val="20"/>
        </w:rPr>
        <w:t xml:space="preserve">).  Therefore, use of these agents in patients with AIA would be outside the product licence. </w:t>
      </w:r>
    </w:p>
    <w:p w14:paraId="543FB868" w14:textId="44595C66" w:rsidR="00CB1540" w:rsidRPr="00EC643A" w:rsidRDefault="0063779B" w:rsidP="00A34595">
      <w:pPr>
        <w:spacing w:line="240" w:lineRule="auto"/>
        <w:jc w:val="both"/>
        <w:rPr>
          <w:rFonts w:cs="Arial"/>
        </w:rPr>
      </w:pPr>
      <w:r>
        <w:rPr>
          <w:rFonts w:cs="Arial"/>
          <w:color w:val="000000"/>
        </w:rPr>
        <w:t>Of the other</w:t>
      </w:r>
      <w:r w:rsidR="009147C8">
        <w:rPr>
          <w:rFonts w:cs="Arial"/>
          <w:color w:val="000000"/>
        </w:rPr>
        <w:t xml:space="preserve"> anti-inflammatory agents</w:t>
      </w:r>
      <w:r>
        <w:rPr>
          <w:rFonts w:cs="Arial"/>
          <w:color w:val="000000"/>
        </w:rPr>
        <w:t xml:space="preserve"> </w:t>
      </w:r>
      <w:r w:rsidR="00CB1540" w:rsidRPr="00EC643A">
        <w:rPr>
          <w:rFonts w:cs="Arial"/>
          <w:color w:val="000000"/>
        </w:rPr>
        <w:t xml:space="preserve">i.e. </w:t>
      </w:r>
      <w:proofErr w:type="spellStart"/>
      <w:r w:rsidR="00CB1540" w:rsidRPr="00EC643A">
        <w:rPr>
          <w:rFonts w:cs="Arial"/>
          <w:color w:val="000000"/>
        </w:rPr>
        <w:t>nabumetone</w:t>
      </w:r>
      <w:proofErr w:type="spellEnd"/>
      <w:r w:rsidR="00CB1540" w:rsidRPr="00EC643A">
        <w:rPr>
          <w:rFonts w:cs="Arial"/>
          <w:color w:val="000000"/>
        </w:rPr>
        <w:t xml:space="preserve"> and </w:t>
      </w:r>
      <w:proofErr w:type="spellStart"/>
      <w:r w:rsidR="00CB1540" w:rsidRPr="00EC643A">
        <w:rPr>
          <w:rFonts w:cs="Arial"/>
          <w:color w:val="000000"/>
        </w:rPr>
        <w:t>etodolac</w:t>
      </w:r>
      <w:proofErr w:type="spellEnd"/>
      <w:r w:rsidR="00CB1540" w:rsidRPr="00EC643A">
        <w:rPr>
          <w:rFonts w:cs="Arial"/>
          <w:color w:val="000000"/>
        </w:rPr>
        <w:t>, due to lack of or limited published information regarding their tolerability in patients with AIA, no conclusions can be drawn regarding their use in this setting. The SPCs for both drugs contraindicate their use in p</w:t>
      </w:r>
      <w:r w:rsidR="00CB1540" w:rsidRPr="00EC643A">
        <w:rPr>
          <w:rFonts w:cs="Arial"/>
        </w:rPr>
        <w:t xml:space="preserve">atients in whom aspirin or other NSAIDs precipitate asthmatic attacks, </w:t>
      </w:r>
      <w:proofErr w:type="spellStart"/>
      <w:r w:rsidR="00CB1540" w:rsidRPr="00EC643A">
        <w:rPr>
          <w:rFonts w:cs="Arial"/>
        </w:rPr>
        <w:t>urticaria</w:t>
      </w:r>
      <w:proofErr w:type="spellEnd"/>
      <w:r w:rsidR="00CB1540" w:rsidRPr="00EC643A">
        <w:rPr>
          <w:rFonts w:cs="Arial"/>
        </w:rPr>
        <w:t xml:space="preserve"> or rhinitis (</w:t>
      </w:r>
      <w:r w:rsidR="00AE6D7D">
        <w:rPr>
          <w:rFonts w:cs="Arial"/>
        </w:rPr>
        <w:t>21, 22</w:t>
      </w:r>
      <w:r w:rsidR="00CB1540" w:rsidRPr="00EC643A">
        <w:rPr>
          <w:rFonts w:cs="Arial"/>
        </w:rPr>
        <w:t>).</w:t>
      </w:r>
    </w:p>
    <w:p w14:paraId="2B9260F3" w14:textId="77777777" w:rsidR="00CB1540" w:rsidRDefault="00CB1540" w:rsidP="00A34595">
      <w:pPr>
        <w:pStyle w:val="Heading3"/>
        <w:spacing w:line="240" w:lineRule="auto"/>
      </w:pPr>
      <w:r>
        <w:t>Desensitisation as a management option</w:t>
      </w:r>
    </w:p>
    <w:p w14:paraId="299E04B9" w14:textId="716F211E" w:rsidR="00CB1540" w:rsidRPr="00EC643A" w:rsidRDefault="00CB1540" w:rsidP="00A34595">
      <w:pPr>
        <w:spacing w:line="240" w:lineRule="auto"/>
        <w:jc w:val="both"/>
        <w:rPr>
          <w:color w:val="000000"/>
        </w:rPr>
      </w:pPr>
      <w:r w:rsidRPr="00EC643A">
        <w:rPr>
          <w:color w:val="000000"/>
        </w:rPr>
        <w:t xml:space="preserve">Desensitisation to aspirin and NSAIDs can be induced in patients with AIA by the gradual introduction of increasing </w:t>
      </w:r>
      <w:proofErr w:type="gramStart"/>
      <w:r w:rsidRPr="00EC643A">
        <w:rPr>
          <w:color w:val="000000"/>
        </w:rPr>
        <w:t>doses</w:t>
      </w:r>
      <w:proofErr w:type="gramEnd"/>
      <w:r w:rsidRPr="00EC643A">
        <w:rPr>
          <w:color w:val="000000"/>
        </w:rPr>
        <w:t xml:space="preserve"> of oral aspirin until a dose of about 450 to 600mg daily is tolerated </w:t>
      </w:r>
      <w:r w:rsidR="00E01486">
        <w:rPr>
          <w:color w:val="000000"/>
        </w:rPr>
        <w:t>(</w:t>
      </w:r>
      <w:r w:rsidRPr="00EC643A">
        <w:rPr>
          <w:color w:val="000000"/>
        </w:rPr>
        <w:t xml:space="preserve">11).  Daily administration of high dose aspirin is required to maintain tolerance (and allow administration of aspirin or other NSAIDs), as tolerance is only maintained for 2-5 days after stopping aspirin in which case patients would need to be desensitised again (7). </w:t>
      </w:r>
    </w:p>
    <w:p w14:paraId="2E27FAC2" w14:textId="77777777" w:rsidR="00CB1540" w:rsidRPr="00EC643A" w:rsidRDefault="00CB1540" w:rsidP="00A34595">
      <w:pPr>
        <w:spacing w:line="240" w:lineRule="auto"/>
        <w:jc w:val="both"/>
        <w:rPr>
          <w:color w:val="000000"/>
        </w:rPr>
      </w:pPr>
      <w:r w:rsidRPr="00EC643A">
        <w:rPr>
          <w:color w:val="000000"/>
        </w:rPr>
        <w:t>Aspirin desensitisation has obvious risks, and should only be carried out by experienced clinicians in a hospital setting with full facilities for cardiopulmonary resuscitation.  Further, aspirin may not be tolerated by individuals due to gastrointestinal adverse effects (7</w:t>
      </w:r>
      <w:proofErr w:type="gramStart"/>
      <w:r w:rsidRPr="00EC643A">
        <w:rPr>
          <w:color w:val="000000"/>
        </w:rPr>
        <w:t>,11</w:t>
      </w:r>
      <w:proofErr w:type="gramEnd"/>
      <w:r w:rsidRPr="00EC643A">
        <w:rPr>
          <w:color w:val="000000"/>
        </w:rPr>
        <w:t>).</w:t>
      </w:r>
    </w:p>
    <w:p w14:paraId="4ECBBE3D" w14:textId="6B41B36F" w:rsidR="00CB1540" w:rsidRPr="00EC643A" w:rsidRDefault="00CB1540" w:rsidP="00A34595">
      <w:pPr>
        <w:spacing w:line="240" w:lineRule="auto"/>
        <w:jc w:val="both"/>
        <w:rPr>
          <w:color w:val="000000"/>
        </w:rPr>
      </w:pPr>
      <w:r w:rsidRPr="00EC643A">
        <w:rPr>
          <w:color w:val="000000"/>
        </w:rPr>
        <w:t>It is also important to note that desensitisation would not necessarily be a viable/realistic option for those individuals who only need NSAIDs on an occasional when–required basis, as they would need to administer high dose aspirin on a regular basis to allow them to do so.</w:t>
      </w:r>
    </w:p>
    <w:p w14:paraId="794E1B39" w14:textId="7D56FB42" w:rsidR="00CB1540" w:rsidRDefault="005D6887" w:rsidP="005D6887">
      <w:pPr>
        <w:pStyle w:val="Heading3"/>
        <w:spacing w:line="240" w:lineRule="auto"/>
      </w:pPr>
      <w:r>
        <w:t xml:space="preserve">Leukotriene receptor antagonists in preventing </w:t>
      </w:r>
      <w:r w:rsidR="00CB1540">
        <w:t>aspirin or other NSAID provoked respiratory symptoms</w:t>
      </w:r>
    </w:p>
    <w:p w14:paraId="44775D95" w14:textId="333A9A49" w:rsidR="00CB1540" w:rsidRPr="00202C83" w:rsidRDefault="00CB1540" w:rsidP="00202C83">
      <w:pPr>
        <w:spacing w:line="240" w:lineRule="auto"/>
        <w:jc w:val="both"/>
        <w:rPr>
          <w:color w:val="000000"/>
        </w:rPr>
      </w:pPr>
      <w:r w:rsidRPr="00EC643A">
        <w:rPr>
          <w:color w:val="000000"/>
        </w:rPr>
        <w:t xml:space="preserve">There has also been interest in the use of leukotriene receptor antagonists in preventing aspirin-provoked respiratory symptoms in patients with AIA, owing to the pathogenesis highlighted above.  However, data are limited, and </w:t>
      </w:r>
      <w:r w:rsidRPr="00EC643A">
        <w:rPr>
          <w:color w:val="000000"/>
        </w:rPr>
        <w:lastRenderedPageBreak/>
        <w:t>efficacy variable (</w:t>
      </w:r>
      <w:r w:rsidR="00AE6D7D">
        <w:rPr>
          <w:color w:val="000000"/>
        </w:rPr>
        <w:t>23, 24</w:t>
      </w:r>
      <w:r w:rsidRPr="00EC643A">
        <w:rPr>
          <w:color w:val="000000"/>
        </w:rPr>
        <w:t xml:space="preserve">). Thus, the role of these agents is yet to be fully established. </w:t>
      </w:r>
      <w:proofErr w:type="spellStart"/>
      <w:r w:rsidR="000D2DE7" w:rsidRPr="00EC643A">
        <w:rPr>
          <w:color w:val="000000"/>
        </w:rPr>
        <w:t>Montelukas</w:t>
      </w:r>
      <w:r w:rsidR="000D2DE7">
        <w:rPr>
          <w:color w:val="000000"/>
        </w:rPr>
        <w:t>t</w:t>
      </w:r>
      <w:proofErr w:type="spellEnd"/>
      <w:r w:rsidR="000D2DE7">
        <w:rPr>
          <w:color w:val="000000"/>
        </w:rPr>
        <w:t xml:space="preserve"> is the only </w:t>
      </w:r>
      <w:r w:rsidRPr="00EC643A">
        <w:rPr>
          <w:color w:val="000000"/>
        </w:rPr>
        <w:t>marketed le</w:t>
      </w:r>
      <w:r w:rsidR="000D2DE7">
        <w:rPr>
          <w:color w:val="000000"/>
        </w:rPr>
        <w:t xml:space="preserve">ukotriene receptor antagonists in the UK. It </w:t>
      </w:r>
      <w:r w:rsidR="004D3C1C">
        <w:rPr>
          <w:color w:val="000000"/>
        </w:rPr>
        <w:t xml:space="preserve">is </w:t>
      </w:r>
      <w:r w:rsidRPr="00EC643A">
        <w:rPr>
          <w:color w:val="000000"/>
        </w:rPr>
        <w:t>not licensed for preventing asthmatic or other symptoms following administration of aspirin or other NSAIDs</w:t>
      </w:r>
      <w:r w:rsidR="00202C83">
        <w:rPr>
          <w:color w:val="000000"/>
        </w:rPr>
        <w:t xml:space="preserve"> </w:t>
      </w:r>
      <w:r w:rsidRPr="00EC643A">
        <w:rPr>
          <w:color w:val="000000"/>
        </w:rPr>
        <w:t>in patients with AIA (</w:t>
      </w:r>
      <w:r w:rsidR="00AE6D7D">
        <w:rPr>
          <w:color w:val="000000"/>
        </w:rPr>
        <w:t>25</w:t>
      </w:r>
      <w:r w:rsidRPr="00EC643A">
        <w:t xml:space="preserve">). </w:t>
      </w:r>
      <w:r w:rsidR="00202C83">
        <w:rPr>
          <w:rFonts w:cs="Arial"/>
        </w:rPr>
        <w:t xml:space="preserve">Furthermore the </w:t>
      </w:r>
      <w:r w:rsidRPr="00EC643A">
        <w:rPr>
          <w:rFonts w:cs="Arial"/>
        </w:rPr>
        <w:t xml:space="preserve">manufacturer states that “treatment with </w:t>
      </w:r>
      <w:proofErr w:type="spellStart"/>
      <w:r w:rsidRPr="00EC643A">
        <w:rPr>
          <w:rFonts w:cs="Arial"/>
        </w:rPr>
        <w:t>montelukast</w:t>
      </w:r>
      <w:proofErr w:type="spellEnd"/>
      <w:r w:rsidRPr="00EC643A">
        <w:rPr>
          <w:rFonts w:cs="Arial"/>
        </w:rPr>
        <w:t xml:space="preserve"> does not alter the need for patients with aspirin-sensitive asthma to avoid taking aspirin and other non-steroidal anti-inflammatory drugs (</w:t>
      </w:r>
      <w:r w:rsidR="00AE6D7D">
        <w:rPr>
          <w:rFonts w:cs="Arial"/>
        </w:rPr>
        <w:t>25</w:t>
      </w:r>
      <w:r w:rsidR="004D3C1C">
        <w:rPr>
          <w:rFonts w:cs="Arial"/>
        </w:rPr>
        <w:t>)</w:t>
      </w:r>
      <w:r w:rsidRPr="00EC643A">
        <w:rPr>
          <w:rFonts w:cs="Arial"/>
        </w:rPr>
        <w:t>”.</w:t>
      </w:r>
    </w:p>
    <w:p w14:paraId="289817DB" w14:textId="57EA41D3" w:rsidR="00ED6327" w:rsidRDefault="00D0298A" w:rsidP="00A34595">
      <w:pPr>
        <w:pStyle w:val="Heading3"/>
        <w:spacing w:line="240" w:lineRule="auto"/>
      </w:pPr>
      <w:r>
        <w:t>B</w:t>
      </w:r>
      <w:r w:rsidR="00ED6327">
        <w:t>iologics</w:t>
      </w:r>
    </w:p>
    <w:p w14:paraId="25528594" w14:textId="0208C4AD" w:rsidR="00563103" w:rsidRPr="009C3B0B" w:rsidRDefault="00C455C8" w:rsidP="00A34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cs="Arial"/>
          <w:color w:val="FF0000"/>
        </w:rPr>
      </w:pPr>
      <w:r w:rsidRPr="009C3B0B">
        <w:rPr>
          <w:rFonts w:cs="Arial"/>
        </w:rPr>
        <w:t xml:space="preserve">Both </w:t>
      </w:r>
      <w:proofErr w:type="spellStart"/>
      <w:r w:rsidRPr="009C3B0B">
        <w:rPr>
          <w:rFonts w:cs="Arial"/>
        </w:rPr>
        <w:t>o</w:t>
      </w:r>
      <w:r w:rsidR="009D59A3" w:rsidRPr="009C3B0B">
        <w:rPr>
          <w:rFonts w:cs="Arial"/>
        </w:rPr>
        <w:t>malizumab</w:t>
      </w:r>
      <w:proofErr w:type="spellEnd"/>
      <w:r w:rsidR="009D59A3" w:rsidRPr="009C3B0B">
        <w:rPr>
          <w:rFonts w:cs="Arial"/>
        </w:rPr>
        <w:t xml:space="preserve"> </w:t>
      </w:r>
      <w:r w:rsidR="0078417A" w:rsidRPr="009D59A3">
        <w:rPr>
          <w:rFonts w:eastAsiaTheme="minorHAnsi" w:cs="Arial"/>
          <w:color w:val="000000"/>
          <w:szCs w:val="20"/>
        </w:rPr>
        <w:t>(an anti-immunoglobulin E [</w:t>
      </w:r>
      <w:proofErr w:type="spellStart"/>
      <w:r w:rsidR="0078417A" w:rsidRPr="009D59A3">
        <w:rPr>
          <w:rFonts w:eastAsiaTheme="minorHAnsi" w:cs="Arial"/>
          <w:color w:val="000000"/>
          <w:szCs w:val="20"/>
        </w:rPr>
        <w:t>IgE</w:t>
      </w:r>
      <w:proofErr w:type="spellEnd"/>
      <w:r w:rsidR="0078417A" w:rsidRPr="009D59A3">
        <w:rPr>
          <w:rFonts w:eastAsiaTheme="minorHAnsi" w:cs="Arial"/>
          <w:color w:val="000000"/>
          <w:szCs w:val="20"/>
        </w:rPr>
        <w:t xml:space="preserve">] monoclonal antibody) </w:t>
      </w:r>
      <w:r w:rsidR="009D59A3" w:rsidRPr="009C3B0B">
        <w:rPr>
          <w:rFonts w:cs="Arial"/>
        </w:rPr>
        <w:t xml:space="preserve">and </w:t>
      </w:r>
      <w:proofErr w:type="spellStart"/>
      <w:r w:rsidR="009D59A3" w:rsidRPr="009C3B0B">
        <w:rPr>
          <w:rFonts w:cs="Arial"/>
        </w:rPr>
        <w:t>mepolizumab</w:t>
      </w:r>
      <w:proofErr w:type="spellEnd"/>
      <w:r w:rsidR="009D59A3" w:rsidRPr="009C3B0B">
        <w:rPr>
          <w:rFonts w:cs="Arial"/>
        </w:rPr>
        <w:t xml:space="preserve"> have been </w:t>
      </w:r>
      <w:r w:rsidR="00797B93">
        <w:rPr>
          <w:rFonts w:cs="Arial"/>
        </w:rPr>
        <w:t xml:space="preserve">assessed as a treatment </w:t>
      </w:r>
      <w:r w:rsidR="000166D7">
        <w:rPr>
          <w:rFonts w:cs="Arial"/>
        </w:rPr>
        <w:t xml:space="preserve">of </w:t>
      </w:r>
      <w:r w:rsidR="009D59A3" w:rsidRPr="009C3B0B">
        <w:rPr>
          <w:rFonts w:cs="Arial"/>
        </w:rPr>
        <w:t>AIA.</w:t>
      </w:r>
      <w:r w:rsidR="00031B38" w:rsidRPr="009C3B0B">
        <w:rPr>
          <w:rFonts w:cs="Arial"/>
        </w:rPr>
        <w:t xml:space="preserve"> </w:t>
      </w:r>
      <w:r w:rsidR="009D59A3" w:rsidRPr="009C3B0B">
        <w:rPr>
          <w:rFonts w:eastAsiaTheme="minorHAnsi" w:cs="Arial"/>
          <w:szCs w:val="20"/>
        </w:rPr>
        <w:t xml:space="preserve">A small </w:t>
      </w:r>
      <w:r w:rsidR="009D59A3" w:rsidRPr="009D59A3">
        <w:rPr>
          <w:rFonts w:eastAsiaTheme="minorHAnsi" w:cs="Arial"/>
          <w:color w:val="000000"/>
          <w:szCs w:val="20"/>
        </w:rPr>
        <w:t>trial</w:t>
      </w:r>
      <w:r w:rsidR="00054F89">
        <w:rPr>
          <w:rFonts w:eastAsiaTheme="minorHAnsi" w:cs="Arial"/>
          <w:color w:val="000000"/>
          <w:szCs w:val="20"/>
        </w:rPr>
        <w:t xml:space="preserve"> (</w:t>
      </w:r>
      <w:r w:rsidR="00AE6D7D">
        <w:rPr>
          <w:rFonts w:eastAsiaTheme="minorHAnsi" w:cs="Arial"/>
          <w:color w:val="000000"/>
          <w:szCs w:val="20"/>
        </w:rPr>
        <w:t>26</w:t>
      </w:r>
      <w:r w:rsidR="00054F89">
        <w:rPr>
          <w:rFonts w:eastAsiaTheme="minorHAnsi" w:cs="Arial"/>
          <w:color w:val="000000"/>
          <w:szCs w:val="20"/>
        </w:rPr>
        <w:t>)</w:t>
      </w:r>
      <w:r w:rsidR="009D59A3" w:rsidRPr="009D59A3">
        <w:rPr>
          <w:rFonts w:eastAsiaTheme="minorHAnsi" w:cs="Arial"/>
          <w:color w:val="000000"/>
          <w:szCs w:val="20"/>
        </w:rPr>
        <w:t xml:space="preserve"> suggested that </w:t>
      </w:r>
      <w:proofErr w:type="spellStart"/>
      <w:r w:rsidR="009D59A3" w:rsidRPr="009D59A3">
        <w:rPr>
          <w:rFonts w:eastAsiaTheme="minorHAnsi" w:cs="Arial"/>
          <w:color w:val="000000"/>
          <w:szCs w:val="20"/>
        </w:rPr>
        <w:t>omalizumab</w:t>
      </w:r>
      <w:proofErr w:type="spellEnd"/>
      <w:r w:rsidR="009D59A3" w:rsidRPr="009D59A3">
        <w:rPr>
          <w:rFonts w:eastAsiaTheme="minorHAnsi" w:cs="Arial"/>
          <w:color w:val="000000"/>
          <w:szCs w:val="20"/>
        </w:rPr>
        <w:t xml:space="preserve"> might be useful in patients with nasal polyps. Twenty-four patients with chronic rhinosinusitis</w:t>
      </w:r>
      <w:r w:rsidR="005614CC">
        <w:rPr>
          <w:rFonts w:eastAsiaTheme="minorHAnsi" w:cs="Arial"/>
          <w:color w:val="000000"/>
          <w:szCs w:val="20"/>
        </w:rPr>
        <w:t>,</w:t>
      </w:r>
      <w:r w:rsidR="009D59A3" w:rsidRPr="009D59A3">
        <w:rPr>
          <w:rFonts w:eastAsiaTheme="minorHAnsi" w:cs="Arial"/>
          <w:color w:val="000000"/>
          <w:szCs w:val="20"/>
        </w:rPr>
        <w:t xml:space="preserve"> nasal polyposis</w:t>
      </w:r>
      <w:r w:rsidR="009D59A3" w:rsidRPr="009D59A3">
        <w:rPr>
          <w:rFonts w:cs="Arial"/>
        </w:rPr>
        <w:t xml:space="preserve"> </w:t>
      </w:r>
      <w:r w:rsidR="009D59A3" w:rsidRPr="009D59A3">
        <w:rPr>
          <w:rFonts w:eastAsiaTheme="minorHAnsi" w:cs="Arial"/>
          <w:color w:val="000000"/>
          <w:szCs w:val="20"/>
        </w:rPr>
        <w:t xml:space="preserve">and concomitant bronchial asthma, roughly half of whom had AIA, received 4–8 subcutaneous doses of </w:t>
      </w:r>
      <w:proofErr w:type="spellStart"/>
      <w:r w:rsidR="009D59A3" w:rsidRPr="009D59A3">
        <w:rPr>
          <w:rFonts w:eastAsiaTheme="minorHAnsi" w:cs="Arial"/>
          <w:color w:val="000000"/>
          <w:szCs w:val="20"/>
        </w:rPr>
        <w:t>omalizumab</w:t>
      </w:r>
      <w:proofErr w:type="spellEnd"/>
      <w:r w:rsidR="009D59A3" w:rsidRPr="009D59A3">
        <w:rPr>
          <w:rFonts w:eastAsiaTheme="minorHAnsi" w:cs="Arial"/>
          <w:color w:val="000000"/>
          <w:szCs w:val="20"/>
        </w:rPr>
        <w:t xml:space="preserve"> (n = 16) or a placebo (n = 8), in line with </w:t>
      </w:r>
      <w:proofErr w:type="spellStart"/>
      <w:r w:rsidR="009D59A3" w:rsidRPr="009D59A3">
        <w:rPr>
          <w:rFonts w:eastAsiaTheme="minorHAnsi" w:cs="Arial"/>
          <w:color w:val="000000"/>
          <w:szCs w:val="20"/>
        </w:rPr>
        <w:t>omalizumab</w:t>
      </w:r>
      <w:proofErr w:type="spellEnd"/>
      <w:r w:rsidR="009D59A3" w:rsidRPr="009D59A3">
        <w:rPr>
          <w:rFonts w:eastAsiaTheme="minorHAnsi" w:cs="Arial"/>
          <w:color w:val="000000"/>
          <w:szCs w:val="20"/>
        </w:rPr>
        <w:t xml:space="preserve"> dosing recommendations for bronchial asthma (according to serum </w:t>
      </w:r>
      <w:proofErr w:type="spellStart"/>
      <w:r w:rsidR="009D59A3" w:rsidRPr="009D59A3">
        <w:rPr>
          <w:rFonts w:eastAsiaTheme="minorHAnsi" w:cs="Arial"/>
          <w:color w:val="000000"/>
          <w:szCs w:val="20"/>
        </w:rPr>
        <w:t>IgE</w:t>
      </w:r>
      <w:proofErr w:type="spellEnd"/>
      <w:r w:rsidR="009D59A3" w:rsidRPr="009D59A3">
        <w:rPr>
          <w:rFonts w:eastAsiaTheme="minorHAnsi" w:cs="Arial"/>
          <w:color w:val="000000"/>
          <w:szCs w:val="20"/>
        </w:rPr>
        <w:t xml:space="preserve"> level and the body mass)</w:t>
      </w:r>
      <w:r w:rsidR="009D59A3">
        <w:rPr>
          <w:rFonts w:eastAsiaTheme="minorHAnsi" w:cs="Arial"/>
          <w:color w:val="000000"/>
          <w:szCs w:val="20"/>
        </w:rPr>
        <w:t xml:space="preserve">. </w:t>
      </w:r>
      <w:proofErr w:type="spellStart"/>
      <w:r w:rsidR="009D59A3" w:rsidRPr="009D59A3">
        <w:rPr>
          <w:rFonts w:eastAsiaTheme="minorHAnsi" w:cs="Arial"/>
          <w:szCs w:val="20"/>
        </w:rPr>
        <w:t>Omalizumab</w:t>
      </w:r>
      <w:proofErr w:type="spellEnd"/>
      <w:r w:rsidR="009D59A3" w:rsidRPr="009D59A3">
        <w:rPr>
          <w:rFonts w:eastAsiaTheme="minorHAnsi" w:cs="Arial"/>
          <w:szCs w:val="20"/>
        </w:rPr>
        <w:t xml:space="preserve"> treatment was associated with improved airway symptoms and quality of life, and with a significant decrease in total endoscopic nasal polyposis scores after 16 weeks compared with placebo.</w:t>
      </w:r>
      <w:r w:rsidR="00031B38" w:rsidRPr="00031B38">
        <w:t xml:space="preserve"> </w:t>
      </w:r>
      <w:r w:rsidR="00031B38">
        <w:t>Changes in polyposis scores were confirmed by means of sinus computed tomography (CT) scoring (Lund-Mackay score) and were independent of the presence of allergy. However, in the subset of patients with AIA, improvement was</w:t>
      </w:r>
      <w:r w:rsidR="00031B38">
        <w:rPr>
          <w:rStyle w:val="Strong"/>
        </w:rPr>
        <w:t xml:space="preserve"> not</w:t>
      </w:r>
      <w:r w:rsidR="00031B38">
        <w:t xml:space="preserve"> clearly observed on CT. Thus, it is unclear whether this effect is specific to AIA.</w:t>
      </w:r>
      <w:r w:rsidR="00054F89">
        <w:t xml:space="preserve"> (</w:t>
      </w:r>
      <w:r w:rsidR="00AE6D7D">
        <w:t>27</w:t>
      </w:r>
      <w:r w:rsidR="00054F89">
        <w:t>)</w:t>
      </w:r>
      <w:r w:rsidR="00B37039">
        <w:rPr>
          <w:rFonts w:ascii="Verdana" w:eastAsiaTheme="minorHAnsi" w:hAnsi="Verdana" w:cs="Verdana"/>
          <w:szCs w:val="20"/>
        </w:rPr>
        <w:t xml:space="preserve"> </w:t>
      </w:r>
    </w:p>
    <w:p w14:paraId="1AB893F7" w14:textId="77777777" w:rsidR="00563103" w:rsidRDefault="00563103" w:rsidP="00A34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Verdana" w:eastAsiaTheme="minorHAnsi" w:hAnsi="Verdana" w:cs="Verdana"/>
          <w:szCs w:val="20"/>
        </w:rPr>
      </w:pPr>
    </w:p>
    <w:p w14:paraId="1DCE4E91" w14:textId="0E038CE6" w:rsidR="00D0298A" w:rsidRPr="00563103" w:rsidRDefault="008E6FD7" w:rsidP="00A34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Verdana" w:eastAsiaTheme="minorHAnsi" w:hAnsi="Verdana" w:cs="Verdana"/>
          <w:szCs w:val="20"/>
        </w:rPr>
      </w:pPr>
      <w:r>
        <w:t>Case reports describe c</w:t>
      </w:r>
      <w:r w:rsidR="008D2CB1">
        <w:t xml:space="preserve">linical improvement in asthma </w:t>
      </w:r>
      <w:r w:rsidR="00514926">
        <w:t>and</w:t>
      </w:r>
      <w:r w:rsidR="008D2CB1">
        <w:t xml:space="preserve"> loss of </w:t>
      </w:r>
      <w:proofErr w:type="gramStart"/>
      <w:r w:rsidR="00CF7BAF">
        <w:t xml:space="preserve">aspirin </w:t>
      </w:r>
      <w:r w:rsidR="008D2CB1">
        <w:t xml:space="preserve"> sensitivity</w:t>
      </w:r>
      <w:proofErr w:type="gramEnd"/>
      <w:r w:rsidR="008D2CB1">
        <w:t xml:space="preserve"> to </w:t>
      </w:r>
      <w:r w:rsidR="008D2CB1" w:rsidRPr="00B3146B">
        <w:t>aspirin</w:t>
      </w:r>
      <w:r w:rsidR="008D2CB1">
        <w:t xml:space="preserve"> challenge were observed </w:t>
      </w:r>
      <w:r w:rsidR="00514926" w:rsidRPr="00054F89">
        <w:rPr>
          <w:rFonts w:cs="Arial"/>
        </w:rPr>
        <w:t>when</w:t>
      </w:r>
      <w:r w:rsidR="00021D75" w:rsidRPr="00054F89">
        <w:rPr>
          <w:rFonts w:cs="Arial"/>
        </w:rPr>
        <w:t xml:space="preserve"> </w:t>
      </w:r>
      <w:r w:rsidR="00B3146B" w:rsidRPr="00054F89">
        <w:rPr>
          <w:rFonts w:cs="Arial"/>
        </w:rPr>
        <w:t>patients with AIA</w:t>
      </w:r>
      <w:r w:rsidR="008D2CB1" w:rsidRPr="00054F89">
        <w:rPr>
          <w:rFonts w:cs="Arial"/>
        </w:rPr>
        <w:t xml:space="preserve"> and severe asthma </w:t>
      </w:r>
      <w:r w:rsidR="00514926" w:rsidRPr="00054F89">
        <w:rPr>
          <w:rFonts w:cs="Arial"/>
        </w:rPr>
        <w:t>were given</w:t>
      </w:r>
      <w:r w:rsidR="00B3146B" w:rsidRPr="00054F89">
        <w:rPr>
          <w:rFonts w:cs="Arial"/>
        </w:rPr>
        <w:t xml:space="preserve"> </w:t>
      </w:r>
      <w:proofErr w:type="spellStart"/>
      <w:r w:rsidR="00B3146B" w:rsidRPr="00054F89">
        <w:rPr>
          <w:rFonts w:cs="Arial"/>
        </w:rPr>
        <w:t>omalizumab</w:t>
      </w:r>
      <w:proofErr w:type="spellEnd"/>
      <w:r w:rsidR="00B3146B" w:rsidRPr="00054F89">
        <w:rPr>
          <w:rFonts w:cs="Arial"/>
        </w:rPr>
        <w:t xml:space="preserve"> </w:t>
      </w:r>
      <w:r w:rsidR="00B436D4">
        <w:rPr>
          <w:rFonts w:cs="Arial"/>
        </w:rPr>
        <w:t xml:space="preserve">in case reports </w:t>
      </w:r>
      <w:r w:rsidR="00054F89">
        <w:rPr>
          <w:rFonts w:cs="Arial"/>
        </w:rPr>
        <w:t>(</w:t>
      </w:r>
      <w:r w:rsidR="00AE6D7D">
        <w:rPr>
          <w:rFonts w:cs="Arial"/>
        </w:rPr>
        <w:t>28-31</w:t>
      </w:r>
      <w:r w:rsidR="00054F89">
        <w:rPr>
          <w:rFonts w:cs="Arial"/>
        </w:rPr>
        <w:t>)</w:t>
      </w:r>
      <w:r w:rsidR="00B3146B" w:rsidRPr="00054F89">
        <w:rPr>
          <w:rFonts w:cs="Arial"/>
        </w:rPr>
        <w:t xml:space="preserve">. </w:t>
      </w:r>
    </w:p>
    <w:p w14:paraId="2F2E7D53" w14:textId="77777777" w:rsidR="0015504B" w:rsidRPr="00054F89" w:rsidRDefault="0015504B" w:rsidP="00A34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heme="minorHAnsi" w:cs="Arial"/>
          <w:szCs w:val="20"/>
        </w:rPr>
      </w:pPr>
    </w:p>
    <w:p w14:paraId="6455AABF" w14:textId="04B89273" w:rsidR="00054F89" w:rsidRDefault="005075B2" w:rsidP="00A345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eastAsiaTheme="minorHAnsi" w:cs="Arial"/>
          <w:szCs w:val="20"/>
        </w:rPr>
      </w:pPr>
      <w:r w:rsidRPr="005075B2">
        <w:rPr>
          <w:rFonts w:eastAsiaTheme="minorHAnsi" w:cs="Arial"/>
          <w:szCs w:val="20"/>
        </w:rPr>
        <w:t>In a small</w:t>
      </w:r>
      <w:r w:rsidRPr="00054F89">
        <w:rPr>
          <w:rFonts w:eastAsiaTheme="minorHAnsi" w:cs="Arial"/>
          <w:szCs w:val="20"/>
        </w:rPr>
        <w:t xml:space="preserve"> randomis</w:t>
      </w:r>
      <w:r w:rsidRPr="005075B2">
        <w:rPr>
          <w:rFonts w:eastAsiaTheme="minorHAnsi" w:cs="Arial"/>
          <w:szCs w:val="20"/>
        </w:rPr>
        <w:t>ed trial</w:t>
      </w:r>
      <w:r w:rsidR="00C455C8">
        <w:rPr>
          <w:rFonts w:eastAsiaTheme="minorHAnsi" w:cs="Arial"/>
          <w:szCs w:val="20"/>
        </w:rPr>
        <w:t xml:space="preserve">, </w:t>
      </w:r>
      <w:r w:rsidRPr="005075B2">
        <w:rPr>
          <w:rFonts w:eastAsiaTheme="minorHAnsi" w:cs="Arial"/>
          <w:szCs w:val="20"/>
        </w:rPr>
        <w:t>patients with severe nasal polyposis refra</w:t>
      </w:r>
      <w:r w:rsidR="00C455C8">
        <w:rPr>
          <w:rFonts w:eastAsiaTheme="minorHAnsi" w:cs="Arial"/>
          <w:szCs w:val="20"/>
        </w:rPr>
        <w:t xml:space="preserve">ctory to glucocorticoid therapy </w:t>
      </w:r>
      <w:r w:rsidR="00054F89" w:rsidRPr="00054F89">
        <w:rPr>
          <w:rFonts w:eastAsiaTheme="minorHAnsi" w:cs="Arial"/>
          <w:szCs w:val="20"/>
        </w:rPr>
        <w:t>were randomised to receive</w:t>
      </w:r>
      <w:r w:rsidRPr="005075B2">
        <w:rPr>
          <w:rFonts w:eastAsiaTheme="minorHAnsi" w:cs="Arial"/>
          <w:szCs w:val="20"/>
        </w:rPr>
        <w:t xml:space="preserve"> </w:t>
      </w:r>
      <w:r w:rsidR="00C455C8">
        <w:rPr>
          <w:rFonts w:eastAsiaTheme="minorHAnsi" w:cs="Arial"/>
          <w:szCs w:val="20"/>
        </w:rPr>
        <w:t xml:space="preserve">two doses of </w:t>
      </w:r>
      <w:r w:rsidRPr="005075B2">
        <w:rPr>
          <w:rFonts w:eastAsiaTheme="minorHAnsi" w:cs="Arial"/>
          <w:szCs w:val="20"/>
        </w:rPr>
        <w:t xml:space="preserve">intravenous </w:t>
      </w:r>
      <w:proofErr w:type="spellStart"/>
      <w:r w:rsidRPr="00054F89">
        <w:rPr>
          <w:rFonts w:eastAsiaTheme="minorHAnsi" w:cs="Arial"/>
          <w:szCs w:val="20"/>
        </w:rPr>
        <w:t>mepolizumab</w:t>
      </w:r>
      <w:proofErr w:type="spellEnd"/>
      <w:r w:rsidR="00054F89" w:rsidRPr="00054F89">
        <w:rPr>
          <w:rFonts w:eastAsiaTheme="minorHAnsi" w:cs="Arial"/>
          <w:szCs w:val="20"/>
        </w:rPr>
        <w:t xml:space="preserve"> </w:t>
      </w:r>
      <w:r w:rsidR="00C455C8">
        <w:rPr>
          <w:rFonts w:eastAsiaTheme="minorHAnsi" w:cs="Arial"/>
          <w:szCs w:val="20"/>
        </w:rPr>
        <w:t xml:space="preserve">(28 days apart) </w:t>
      </w:r>
      <w:r w:rsidR="00054F89" w:rsidRPr="00054F89">
        <w:rPr>
          <w:rFonts w:eastAsiaTheme="minorHAnsi" w:cs="Arial"/>
          <w:szCs w:val="20"/>
        </w:rPr>
        <w:t>or placebo.</w:t>
      </w:r>
      <w:r w:rsidR="00054F89">
        <w:rPr>
          <w:rFonts w:eastAsiaTheme="minorHAnsi" w:cs="Arial"/>
          <w:szCs w:val="20"/>
        </w:rPr>
        <w:t xml:space="preserve"> (</w:t>
      </w:r>
      <w:r w:rsidR="00AE6D7D">
        <w:rPr>
          <w:rFonts w:eastAsiaTheme="minorHAnsi" w:cs="Arial"/>
          <w:szCs w:val="20"/>
        </w:rPr>
        <w:t>32</w:t>
      </w:r>
      <w:r w:rsidR="00054F89">
        <w:rPr>
          <w:rFonts w:eastAsiaTheme="minorHAnsi" w:cs="Arial"/>
          <w:szCs w:val="20"/>
        </w:rPr>
        <w:t xml:space="preserve">) </w:t>
      </w:r>
      <w:r w:rsidR="00054F89" w:rsidRPr="00054F89">
        <w:rPr>
          <w:rFonts w:eastAsiaTheme="minorHAnsi" w:cs="Arial"/>
          <w:szCs w:val="20"/>
        </w:rPr>
        <w:t>The</w:t>
      </w:r>
      <w:r w:rsidRPr="005075B2">
        <w:rPr>
          <w:rFonts w:eastAsiaTheme="minorHAnsi" w:cs="Arial"/>
          <w:szCs w:val="20"/>
        </w:rPr>
        <w:t xml:space="preserve"> primary outcome was total polyp score as evaluated by</w:t>
      </w:r>
      <w:r w:rsidR="00054F89" w:rsidRPr="00054F89">
        <w:rPr>
          <w:rFonts w:eastAsiaTheme="minorHAnsi" w:cs="Arial"/>
          <w:szCs w:val="20"/>
        </w:rPr>
        <w:t xml:space="preserve"> nasal endoscopy at two months</w:t>
      </w:r>
      <w:r w:rsidRPr="005075B2">
        <w:rPr>
          <w:rFonts w:eastAsiaTheme="minorHAnsi" w:cs="Arial"/>
          <w:szCs w:val="20"/>
        </w:rPr>
        <w:t xml:space="preserve">. Five of 20 patients in the </w:t>
      </w:r>
      <w:proofErr w:type="spellStart"/>
      <w:r w:rsidRPr="005075B2">
        <w:rPr>
          <w:rFonts w:eastAsiaTheme="minorHAnsi" w:cs="Arial"/>
          <w:szCs w:val="20"/>
        </w:rPr>
        <w:t>mepolizumab</w:t>
      </w:r>
      <w:proofErr w:type="spellEnd"/>
      <w:r w:rsidRPr="005075B2">
        <w:rPr>
          <w:rFonts w:eastAsiaTheme="minorHAnsi" w:cs="Arial"/>
          <w:szCs w:val="20"/>
        </w:rPr>
        <w:t xml:space="preserve"> arm were </w:t>
      </w:r>
      <w:r w:rsidRPr="00054F89">
        <w:rPr>
          <w:rFonts w:eastAsiaTheme="minorHAnsi" w:cs="Arial"/>
          <w:szCs w:val="20"/>
        </w:rPr>
        <w:t>aspirin</w:t>
      </w:r>
      <w:r w:rsidRPr="005075B2">
        <w:rPr>
          <w:rFonts w:eastAsiaTheme="minorHAnsi" w:cs="Arial"/>
          <w:szCs w:val="20"/>
        </w:rPr>
        <w:t xml:space="preserve"> intolerant and 10 had asthma. After two months of treatment,</w:t>
      </w:r>
      <w:r w:rsidR="00C455C8">
        <w:rPr>
          <w:rFonts w:eastAsiaTheme="minorHAnsi" w:cs="Arial"/>
          <w:szCs w:val="20"/>
        </w:rPr>
        <w:t xml:space="preserve"> </w:t>
      </w:r>
      <w:r w:rsidRPr="005075B2">
        <w:rPr>
          <w:rFonts w:eastAsiaTheme="minorHAnsi" w:cs="Arial"/>
          <w:szCs w:val="20"/>
        </w:rPr>
        <w:t xml:space="preserve">12 of 20 patients in the </w:t>
      </w:r>
      <w:proofErr w:type="spellStart"/>
      <w:r w:rsidRPr="005075B2">
        <w:rPr>
          <w:rFonts w:eastAsiaTheme="minorHAnsi" w:cs="Arial"/>
          <w:szCs w:val="20"/>
        </w:rPr>
        <w:t>mepolizumab</w:t>
      </w:r>
      <w:proofErr w:type="spellEnd"/>
      <w:r w:rsidRPr="005075B2">
        <w:rPr>
          <w:rFonts w:eastAsiaTheme="minorHAnsi" w:cs="Arial"/>
          <w:szCs w:val="20"/>
        </w:rPr>
        <w:t xml:space="preserve"> arm had a significant reduction in total polyp score, compared with one in the placebo arm. </w:t>
      </w:r>
      <w:r w:rsidR="00054F89" w:rsidRPr="00054F89">
        <w:rPr>
          <w:rFonts w:eastAsiaTheme="minorHAnsi" w:cs="Arial"/>
          <w:szCs w:val="20"/>
        </w:rPr>
        <w:t xml:space="preserve">Despite limitations in this study (a </w:t>
      </w:r>
      <w:r w:rsidRPr="005075B2">
        <w:rPr>
          <w:rFonts w:eastAsiaTheme="minorHAnsi" w:cs="Arial"/>
          <w:szCs w:val="20"/>
        </w:rPr>
        <w:t xml:space="preserve">high overall dropout rate and an unclear number of patients with confirmed </w:t>
      </w:r>
      <w:r w:rsidR="00054F89" w:rsidRPr="00054F89">
        <w:rPr>
          <w:rFonts w:eastAsiaTheme="minorHAnsi" w:cs="Arial"/>
          <w:szCs w:val="20"/>
        </w:rPr>
        <w:t>AIA)</w:t>
      </w:r>
      <w:r w:rsidRPr="005075B2">
        <w:rPr>
          <w:rFonts w:eastAsiaTheme="minorHAnsi" w:cs="Arial"/>
          <w:szCs w:val="20"/>
        </w:rPr>
        <w:t>, the results suggest th</w:t>
      </w:r>
      <w:r w:rsidR="00CF7BAF">
        <w:rPr>
          <w:rFonts w:eastAsiaTheme="minorHAnsi" w:cs="Arial"/>
          <w:szCs w:val="20"/>
        </w:rPr>
        <w:t xml:space="preserve">e potential of </w:t>
      </w:r>
      <w:r w:rsidRPr="005075B2">
        <w:rPr>
          <w:rFonts w:eastAsiaTheme="minorHAnsi" w:cs="Arial"/>
          <w:szCs w:val="20"/>
        </w:rPr>
        <w:t xml:space="preserve">eosinophil-specific therapies </w:t>
      </w:r>
      <w:r w:rsidR="00CF7BAF">
        <w:rPr>
          <w:rFonts w:eastAsiaTheme="minorHAnsi" w:cs="Arial"/>
          <w:szCs w:val="20"/>
        </w:rPr>
        <w:t>in the treatment of</w:t>
      </w:r>
      <w:r w:rsidRPr="005075B2">
        <w:rPr>
          <w:rFonts w:eastAsiaTheme="minorHAnsi" w:cs="Arial"/>
          <w:szCs w:val="20"/>
        </w:rPr>
        <w:t xml:space="preserve"> eosinophilic nasal polyposis that is common in </w:t>
      </w:r>
      <w:r w:rsidR="00054F89" w:rsidRPr="00054F89">
        <w:rPr>
          <w:rFonts w:eastAsiaTheme="minorHAnsi" w:cs="Arial"/>
          <w:szCs w:val="20"/>
        </w:rPr>
        <w:t>AIA</w:t>
      </w:r>
      <w:r w:rsidRPr="005075B2">
        <w:rPr>
          <w:rFonts w:eastAsiaTheme="minorHAnsi" w:cs="Arial"/>
          <w:szCs w:val="20"/>
        </w:rPr>
        <w:t xml:space="preserve">. </w:t>
      </w:r>
      <w:r w:rsidR="00AE6D7D">
        <w:rPr>
          <w:rFonts w:eastAsiaTheme="minorHAnsi" w:cs="Arial"/>
          <w:szCs w:val="20"/>
        </w:rPr>
        <w:t>(26</w:t>
      </w:r>
      <w:r w:rsidR="00054F89">
        <w:rPr>
          <w:rFonts w:eastAsiaTheme="minorHAnsi" w:cs="Arial"/>
          <w:szCs w:val="20"/>
        </w:rPr>
        <w:t>)</w:t>
      </w:r>
    </w:p>
    <w:p w14:paraId="7CB92418" w14:textId="77777777" w:rsidR="00F55282" w:rsidRDefault="00F55282" w:rsidP="00A345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eastAsiaTheme="minorHAnsi" w:cs="Arial"/>
          <w:szCs w:val="20"/>
        </w:rPr>
      </w:pPr>
    </w:p>
    <w:p w14:paraId="65AAAFC4" w14:textId="37D700D2" w:rsidR="00F55282" w:rsidRPr="00F55282" w:rsidRDefault="00F022CB" w:rsidP="00A345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Arial"/>
        </w:rPr>
      </w:pPr>
      <w:r>
        <w:rPr>
          <w:rFonts w:cs="Arial"/>
        </w:rPr>
        <w:t>It</w:t>
      </w:r>
      <w:r w:rsidR="00797B93">
        <w:rPr>
          <w:rFonts w:cs="Arial"/>
        </w:rPr>
        <w:t xml:space="preserve"> should be noted that</w:t>
      </w:r>
      <w:r w:rsidR="00F55282">
        <w:rPr>
          <w:rFonts w:cs="Arial"/>
        </w:rPr>
        <w:t xml:space="preserve"> </w:t>
      </w:r>
      <w:proofErr w:type="spellStart"/>
      <w:r w:rsidR="00F55282">
        <w:rPr>
          <w:rFonts w:cs="Arial"/>
        </w:rPr>
        <w:t>omalizumab</w:t>
      </w:r>
      <w:proofErr w:type="spellEnd"/>
      <w:r w:rsidR="00F55282">
        <w:rPr>
          <w:rFonts w:cs="Arial"/>
        </w:rPr>
        <w:t xml:space="preserve"> and </w:t>
      </w:r>
      <w:proofErr w:type="spellStart"/>
      <w:r w:rsidR="00F55282">
        <w:rPr>
          <w:rFonts w:cs="Arial"/>
        </w:rPr>
        <w:t>mepolizumab</w:t>
      </w:r>
      <w:proofErr w:type="spellEnd"/>
      <w:r w:rsidR="00F55282">
        <w:rPr>
          <w:rFonts w:cs="Arial"/>
        </w:rPr>
        <w:t xml:space="preserve"> are not licensed for</w:t>
      </w:r>
      <w:r w:rsidR="00F55282" w:rsidRPr="00EC643A">
        <w:rPr>
          <w:color w:val="000000"/>
        </w:rPr>
        <w:t xml:space="preserve"> preventing asthmatic or other symptoms following administration of aspirin or other NSAIDs in patients with AIA</w:t>
      </w:r>
      <w:r w:rsidR="00F55282">
        <w:rPr>
          <w:color w:val="000000"/>
        </w:rPr>
        <w:t>. Large randomised control trial</w:t>
      </w:r>
      <w:r w:rsidR="008E6FD7">
        <w:rPr>
          <w:color w:val="000000"/>
        </w:rPr>
        <w:t>s</w:t>
      </w:r>
      <w:r w:rsidR="00CF7BAF">
        <w:rPr>
          <w:color w:val="000000"/>
        </w:rPr>
        <w:t xml:space="preserve"> </w:t>
      </w:r>
      <w:r w:rsidR="008E6FD7">
        <w:rPr>
          <w:color w:val="000000"/>
        </w:rPr>
        <w:t>are</w:t>
      </w:r>
      <w:r w:rsidR="00F55282">
        <w:rPr>
          <w:color w:val="000000"/>
        </w:rPr>
        <w:t xml:space="preserve"> needed to confirm their places in the management of AIA. </w:t>
      </w:r>
    </w:p>
    <w:p w14:paraId="723C6E74" w14:textId="69078B34" w:rsidR="00CB1540" w:rsidRPr="00EC643A" w:rsidRDefault="00CB1540" w:rsidP="00A34595">
      <w:pPr>
        <w:pStyle w:val="Heading3"/>
        <w:spacing w:line="240" w:lineRule="auto"/>
      </w:pPr>
      <w:r w:rsidRPr="00EC643A">
        <w:t>Asthmatic patients who have not been exposed to aspirin or other NSAIDs</w:t>
      </w:r>
    </w:p>
    <w:p w14:paraId="13665F17" w14:textId="2F615D4A" w:rsidR="00CB1540" w:rsidRPr="00EC643A" w:rsidRDefault="00CB1540" w:rsidP="008A1DEE">
      <w:pPr>
        <w:spacing w:line="240" w:lineRule="auto"/>
        <w:jc w:val="both"/>
        <w:rPr>
          <w:color w:val="000000"/>
        </w:rPr>
      </w:pPr>
      <w:r w:rsidRPr="00EC643A">
        <w:rPr>
          <w:color w:val="000000"/>
        </w:rPr>
        <w:t xml:space="preserve">Aspirin and other NSAIDs should be used with caution in patients with a history of asthma (2). However, based on prevalence data, a large proportion of adult asthmatic patients will be able to tolerate aspirin and NSAIDs.  The clinical features that suggest an increased risk of AIA in these individuals are outlined </w:t>
      </w:r>
      <w:r w:rsidR="00CF7BAF">
        <w:rPr>
          <w:color w:val="000000"/>
        </w:rPr>
        <w:t>above.</w:t>
      </w:r>
    </w:p>
    <w:p w14:paraId="595AAE13" w14:textId="77777777" w:rsidR="00CB1540" w:rsidRPr="00EC643A" w:rsidRDefault="00CB1540" w:rsidP="00A34595">
      <w:pPr>
        <w:pStyle w:val="Heading3"/>
        <w:spacing w:line="240" w:lineRule="auto"/>
        <w:rPr>
          <w:szCs w:val="22"/>
        </w:rPr>
      </w:pPr>
      <w:r w:rsidRPr="00EC643A">
        <w:rPr>
          <w:szCs w:val="22"/>
        </w:rPr>
        <w:lastRenderedPageBreak/>
        <w:t>Asthmatic patients who are tolerant of aspirin and other NSAIDs (i.e. known exposure)</w:t>
      </w:r>
    </w:p>
    <w:p w14:paraId="06D4FC00" w14:textId="77777777" w:rsidR="00CB1540" w:rsidRPr="00EC643A" w:rsidRDefault="00CB1540" w:rsidP="00A34595">
      <w:pPr>
        <w:spacing w:line="240" w:lineRule="auto"/>
        <w:rPr>
          <w:color w:val="000000"/>
        </w:rPr>
      </w:pPr>
      <w:r w:rsidRPr="00EC643A">
        <w:rPr>
          <w:color w:val="000000"/>
        </w:rPr>
        <w:t>Based on prevalence data, a large proportion of adult asthmatic patients will be able to tolerate aspirin and other NSAIDs. It has been suggested however, that these individuals should be warned about the potential development of AIA late in life (11).</w:t>
      </w:r>
    </w:p>
    <w:p w14:paraId="33D45176" w14:textId="77777777" w:rsidR="00427F92" w:rsidRDefault="00427F92" w:rsidP="008A1DEE">
      <w:pPr>
        <w:pStyle w:val="Heading2"/>
        <w:jc w:val="both"/>
        <w:rPr>
          <w:rFonts w:cs="Arial"/>
        </w:rPr>
      </w:pPr>
      <w:r w:rsidRPr="009752DF">
        <w:rPr>
          <w:rFonts w:cs="Arial"/>
        </w:rPr>
        <w:t>Summary</w:t>
      </w:r>
    </w:p>
    <w:p w14:paraId="3D47F436" w14:textId="77777777" w:rsidR="00044035" w:rsidRPr="00044035" w:rsidRDefault="00044035" w:rsidP="00044035">
      <w:pPr>
        <w:rPr>
          <w:lang w:val="en-US"/>
        </w:rPr>
      </w:pPr>
    </w:p>
    <w:p w14:paraId="7345DDF3" w14:textId="349D9293" w:rsidR="00CB1540" w:rsidRDefault="00CB1540" w:rsidP="008A1DEE">
      <w:pPr>
        <w:spacing w:line="240" w:lineRule="auto"/>
        <w:jc w:val="both"/>
        <w:rPr>
          <w:rFonts w:cs="Arial"/>
        </w:rPr>
      </w:pPr>
      <w:r w:rsidRPr="00EC643A">
        <w:rPr>
          <w:rFonts w:cs="Arial"/>
          <w:bCs/>
        </w:rPr>
        <w:t xml:space="preserve">NSAIDs are contra-indicated in patients </w:t>
      </w:r>
      <w:r w:rsidRPr="00EC643A">
        <w:rPr>
          <w:color w:val="000000"/>
        </w:rPr>
        <w:t xml:space="preserve">in whom attacks of asthma have been precipitated by aspirin or any other NSAID. Further </w:t>
      </w:r>
      <w:r w:rsidRPr="00EC643A">
        <w:rPr>
          <w:rFonts w:cs="Arial"/>
        </w:rPr>
        <w:t>studies are required to confirm the safety and tolerability of COX-2 selective inhibitors as “safe” alternatives to non-selective NSAIDs in patients with AIA. At present, their use in patients with AIA would be outside the product licence.</w:t>
      </w:r>
    </w:p>
    <w:p w14:paraId="4E475739" w14:textId="77777777" w:rsidR="00044035" w:rsidRPr="00EC643A" w:rsidRDefault="00044035" w:rsidP="008A1DEE">
      <w:pPr>
        <w:spacing w:line="240" w:lineRule="auto"/>
        <w:jc w:val="both"/>
        <w:rPr>
          <w:rFonts w:cs="Arial"/>
        </w:rPr>
      </w:pPr>
    </w:p>
    <w:p w14:paraId="5A60BB6C" w14:textId="77777777" w:rsidR="00CB1540" w:rsidRDefault="00CB1540" w:rsidP="008A1DEE">
      <w:pPr>
        <w:spacing w:line="240" w:lineRule="auto"/>
        <w:jc w:val="both"/>
        <w:rPr>
          <w:rFonts w:cs="Arial"/>
          <w:bCs/>
        </w:rPr>
      </w:pPr>
      <w:r w:rsidRPr="00EC643A">
        <w:rPr>
          <w:color w:val="000000"/>
        </w:rPr>
        <w:t>For adult asthmatic patients who have not been exposed to aspirin or other NSAIDs, it is not possible to provide a definitive answer. However, in</w:t>
      </w:r>
      <w:r w:rsidRPr="00EC643A">
        <w:rPr>
          <w:rFonts w:cs="Arial"/>
          <w:bCs/>
        </w:rPr>
        <w:t xml:space="preserve"> making the clinical decision as to whether aspirin/NSAIDs should be used in this patient group, the following should be considered:</w:t>
      </w:r>
    </w:p>
    <w:p w14:paraId="4C02F9B9" w14:textId="77777777" w:rsidR="00CB1540" w:rsidRPr="00044035" w:rsidRDefault="00CB1540" w:rsidP="00044035">
      <w:pPr>
        <w:pStyle w:val="ListParagraph"/>
        <w:numPr>
          <w:ilvl w:val="0"/>
          <w:numId w:val="27"/>
        </w:numPr>
        <w:spacing w:after="0" w:line="240" w:lineRule="auto"/>
        <w:jc w:val="both"/>
        <w:rPr>
          <w:color w:val="000000"/>
        </w:rPr>
      </w:pPr>
      <w:r w:rsidRPr="00044035">
        <w:rPr>
          <w:rFonts w:cs="Arial"/>
          <w:bCs/>
        </w:rPr>
        <w:t>P</w:t>
      </w:r>
      <w:r w:rsidRPr="00044035">
        <w:rPr>
          <w:color w:val="000000"/>
        </w:rPr>
        <w:t xml:space="preserve">revalence of aspirin induced asthma (AIA) in adult asthmatics is approximately 10%, and </w:t>
      </w:r>
      <w:r w:rsidRPr="00044035">
        <w:rPr>
          <w:rFonts w:cs="Arial"/>
          <w:lang w:val="en"/>
        </w:rPr>
        <w:t>patients who are sensitive to aspirin will often exhibit cross-sensitivity to other NSAIDs.</w:t>
      </w:r>
    </w:p>
    <w:p w14:paraId="279B8012" w14:textId="77777777" w:rsidR="00044035" w:rsidRPr="00044035" w:rsidRDefault="00044035" w:rsidP="00044035">
      <w:pPr>
        <w:pStyle w:val="ListParagraph"/>
        <w:spacing w:after="0" w:line="240" w:lineRule="auto"/>
        <w:ind w:left="360"/>
        <w:jc w:val="both"/>
        <w:rPr>
          <w:color w:val="000000"/>
        </w:rPr>
      </w:pPr>
    </w:p>
    <w:p w14:paraId="2932FFBB" w14:textId="77777777" w:rsidR="00CB1540" w:rsidRDefault="00CB1540" w:rsidP="00044035">
      <w:pPr>
        <w:pStyle w:val="ListParagraph"/>
        <w:numPr>
          <w:ilvl w:val="0"/>
          <w:numId w:val="27"/>
        </w:numPr>
        <w:spacing w:after="0" w:line="240" w:lineRule="auto"/>
        <w:jc w:val="both"/>
        <w:rPr>
          <w:rFonts w:cs="Arial"/>
        </w:rPr>
      </w:pPr>
      <w:r w:rsidRPr="00044035">
        <w:rPr>
          <w:color w:val="000000"/>
        </w:rPr>
        <w:t xml:space="preserve">Clinical features that suggest an increased risk of sensitivity to aspirin/NSAIDs in asthmatics include female sex, middle age, </w:t>
      </w:r>
      <w:r w:rsidRPr="00044035">
        <w:rPr>
          <w:color w:val="000000"/>
          <w:u w:val="single"/>
        </w:rPr>
        <w:t>severe</w:t>
      </w:r>
      <w:r w:rsidRPr="00044035">
        <w:rPr>
          <w:color w:val="000000"/>
        </w:rPr>
        <w:t xml:space="preserve"> asthma accompanied by </w:t>
      </w:r>
      <w:r w:rsidRPr="00044035">
        <w:rPr>
          <w:rFonts w:cs="Arial"/>
        </w:rPr>
        <w:t>chronic nasal congestion and profuse rhinorrhoea, and a history of nasal polyps. Aspirin/NSAIDs can induce asthma/bronchoconstriction and a range of other symptoms in susceptible patients. These can range from mild reactions which may not be recognised clinically to severe and life threatening asthma.</w:t>
      </w:r>
    </w:p>
    <w:p w14:paraId="138CEC50" w14:textId="77777777" w:rsidR="00044035" w:rsidRPr="00044035" w:rsidRDefault="00044035" w:rsidP="00044035">
      <w:pPr>
        <w:pStyle w:val="ListParagraph"/>
        <w:spacing w:after="0" w:line="240" w:lineRule="auto"/>
        <w:ind w:left="360"/>
        <w:jc w:val="both"/>
        <w:rPr>
          <w:rFonts w:cs="Arial"/>
        </w:rPr>
      </w:pPr>
    </w:p>
    <w:p w14:paraId="36EB1069" w14:textId="0B9B6382" w:rsidR="003549CE" w:rsidRDefault="00CB1540" w:rsidP="00044035">
      <w:pPr>
        <w:pStyle w:val="ListParagraph"/>
        <w:numPr>
          <w:ilvl w:val="0"/>
          <w:numId w:val="27"/>
        </w:numPr>
        <w:spacing w:after="0" w:line="240" w:lineRule="auto"/>
        <w:jc w:val="both"/>
        <w:rPr>
          <w:rFonts w:cs="Arial"/>
        </w:rPr>
      </w:pPr>
      <w:r w:rsidRPr="00044035">
        <w:rPr>
          <w:rFonts w:cs="Arial"/>
        </w:rPr>
        <w:t>Based on prevalence data, approximately 80-90% of adult asthmatics will be able to tolerate aspirin and other NSAIDs, but may need to be warned of the potential for development of AIA, particularly late in life.</w:t>
      </w:r>
    </w:p>
    <w:p w14:paraId="72E16143" w14:textId="77777777" w:rsidR="003549CE" w:rsidRPr="00044035" w:rsidRDefault="003549CE" w:rsidP="00A34595">
      <w:pPr>
        <w:spacing w:after="0" w:line="240" w:lineRule="auto"/>
        <w:rPr>
          <w:rStyle w:val="Heading3Char"/>
          <w:rFonts w:eastAsia="Calibri"/>
          <w:b w:val="0"/>
          <w:color w:val="auto"/>
        </w:rPr>
      </w:pPr>
    </w:p>
    <w:p w14:paraId="4642FD54" w14:textId="38C6F44F" w:rsidR="00427F92" w:rsidRDefault="00427F92" w:rsidP="00A34595">
      <w:pPr>
        <w:spacing w:after="0" w:line="240" w:lineRule="auto"/>
        <w:rPr>
          <w:rStyle w:val="Heading3Char"/>
          <w:rFonts w:eastAsia="Calibri"/>
        </w:rPr>
      </w:pPr>
      <w:r w:rsidRPr="00B1695F">
        <w:rPr>
          <w:rStyle w:val="Heading3Char"/>
          <w:rFonts w:eastAsia="Calibri"/>
        </w:rPr>
        <w:t>Limitations</w:t>
      </w:r>
    </w:p>
    <w:p w14:paraId="24B20A4B" w14:textId="77777777" w:rsidR="00285645" w:rsidRPr="00285645" w:rsidRDefault="00285645" w:rsidP="00A34595">
      <w:pPr>
        <w:spacing w:after="0" w:line="240" w:lineRule="auto"/>
        <w:rPr>
          <w:sz w:val="12"/>
          <w:szCs w:val="12"/>
        </w:rPr>
      </w:pPr>
    </w:p>
    <w:p w14:paraId="12FD528A" w14:textId="77777777" w:rsidR="00CB1540" w:rsidRPr="00511075" w:rsidRDefault="00CB1540" w:rsidP="00511075">
      <w:pPr>
        <w:rPr>
          <w:b/>
        </w:rPr>
      </w:pPr>
      <w:bookmarkStart w:id="0" w:name="_GoBack"/>
      <w:bookmarkEnd w:id="0"/>
      <w:r w:rsidRPr="00CB1540">
        <w:t>This review has NOT included the following:</w:t>
      </w:r>
    </w:p>
    <w:p w14:paraId="1B543580" w14:textId="4544AD49" w:rsidR="00CB1540" w:rsidRPr="00285645" w:rsidRDefault="00CB1540" w:rsidP="00285645">
      <w:pPr>
        <w:pStyle w:val="ListParagraph"/>
        <w:numPr>
          <w:ilvl w:val="0"/>
          <w:numId w:val="23"/>
        </w:numPr>
        <w:rPr>
          <w:b/>
        </w:rPr>
      </w:pPr>
      <w:r w:rsidRPr="00CB1540">
        <w:t>A detailed and comprehensive review of the literature available regarding aspirin desensitisation and its regimes</w:t>
      </w:r>
      <w:r w:rsidR="00CF7BAF" w:rsidRPr="00285645">
        <w:rPr>
          <w:b/>
        </w:rPr>
        <w:t>.</w:t>
      </w:r>
      <w:r w:rsidRPr="00CB1540">
        <w:t xml:space="preserve"> </w:t>
      </w:r>
    </w:p>
    <w:p w14:paraId="01495301" w14:textId="77777777" w:rsidR="00285645" w:rsidRPr="00285645" w:rsidRDefault="00CB1540" w:rsidP="00285645">
      <w:pPr>
        <w:pStyle w:val="ListParagraph"/>
        <w:numPr>
          <w:ilvl w:val="0"/>
          <w:numId w:val="23"/>
        </w:numPr>
        <w:rPr>
          <w:b/>
        </w:rPr>
      </w:pPr>
      <w:r w:rsidRPr="00CB1540">
        <w:t xml:space="preserve">Aspirin provocation tests (i.e. challenge tests) that may need to be employed to confirm the diagnosis of aspirin sensitivity. </w:t>
      </w:r>
    </w:p>
    <w:p w14:paraId="15D1506A" w14:textId="75020BED" w:rsidR="00CB1540" w:rsidRDefault="00CB1540" w:rsidP="00285645">
      <w:pPr>
        <w:pStyle w:val="ListParagraph"/>
        <w:numPr>
          <w:ilvl w:val="0"/>
          <w:numId w:val="23"/>
        </w:numPr>
        <w:rPr>
          <w:rFonts w:cs="Arial"/>
        </w:rPr>
      </w:pPr>
      <w:r w:rsidRPr="00285645">
        <w:rPr>
          <w:rFonts w:cs="Arial"/>
        </w:rPr>
        <w:t>Any Information that may be available for asthmatic children who are sensitive to NSAIDs</w:t>
      </w:r>
      <w:r w:rsidR="00CF7BAF" w:rsidRPr="00285645">
        <w:rPr>
          <w:rFonts w:cs="Arial"/>
        </w:rPr>
        <w:t>.</w:t>
      </w:r>
      <w:r w:rsidR="00CF7BAF" w:rsidRPr="00285645" w:rsidDel="00CF7BAF">
        <w:rPr>
          <w:rFonts w:cs="Arial"/>
        </w:rPr>
        <w:t xml:space="preserve"> </w:t>
      </w:r>
    </w:p>
    <w:p w14:paraId="665DBAB1" w14:textId="77777777" w:rsidR="00044035" w:rsidRPr="00044035" w:rsidRDefault="00044035" w:rsidP="00044035">
      <w:pPr>
        <w:rPr>
          <w:rFonts w:cs="Arial"/>
        </w:rPr>
      </w:pPr>
    </w:p>
    <w:p w14:paraId="4F05B500" w14:textId="222772EE" w:rsidR="00285645" w:rsidRDefault="00285645" w:rsidP="00285645">
      <w:pPr>
        <w:spacing w:after="0" w:line="240" w:lineRule="auto"/>
        <w:rPr>
          <w:rStyle w:val="Heading3Char"/>
          <w:rFonts w:eastAsia="Calibri"/>
        </w:rPr>
      </w:pPr>
      <w:r>
        <w:rPr>
          <w:rStyle w:val="Heading3Char"/>
          <w:rFonts w:eastAsia="Calibri"/>
        </w:rPr>
        <w:t>References</w:t>
      </w:r>
    </w:p>
    <w:p w14:paraId="6AADB2EF" w14:textId="77777777" w:rsidR="00285645" w:rsidRPr="00285645" w:rsidRDefault="00285645" w:rsidP="00285645">
      <w:pPr>
        <w:spacing w:after="0" w:line="240" w:lineRule="auto"/>
        <w:rPr>
          <w:sz w:val="12"/>
          <w:szCs w:val="12"/>
        </w:rPr>
      </w:pPr>
    </w:p>
    <w:p w14:paraId="2A4B2A64" w14:textId="77777777" w:rsidR="00285645" w:rsidRDefault="00C02365" w:rsidP="00285645">
      <w:pPr>
        <w:pStyle w:val="ListParagraph"/>
        <w:numPr>
          <w:ilvl w:val="0"/>
          <w:numId w:val="26"/>
        </w:numPr>
      </w:pPr>
      <w:r>
        <w:t xml:space="preserve">Goodman Gilman A, Hardman J G and </w:t>
      </w:r>
      <w:proofErr w:type="spellStart"/>
      <w:r>
        <w:t>Limbird</w:t>
      </w:r>
      <w:proofErr w:type="spellEnd"/>
      <w:r>
        <w:t xml:space="preserve"> L E, editors.  Goodman and </w:t>
      </w:r>
      <w:proofErr w:type="gramStart"/>
      <w:r>
        <w:t>Gilman’s  -</w:t>
      </w:r>
      <w:proofErr w:type="gramEnd"/>
      <w:r>
        <w:t xml:space="preserve"> The pharmacological basis of </w:t>
      </w:r>
      <w:r w:rsidRPr="00285645">
        <w:t>therapeutics. 12</w:t>
      </w:r>
      <w:r w:rsidRPr="00285645">
        <w:rPr>
          <w:vertAlign w:val="superscript"/>
        </w:rPr>
        <w:t>th</w:t>
      </w:r>
      <w:r w:rsidRPr="00285645">
        <w:t xml:space="preserve"> edition.  USA: McGraw-Hill Medical; </w:t>
      </w:r>
      <w:r w:rsidR="0010637B" w:rsidRPr="00285645">
        <w:t>201</w:t>
      </w:r>
      <w:r w:rsidRPr="00285645">
        <w:t xml:space="preserve">1, </w:t>
      </w:r>
      <w:r w:rsidR="0010637B" w:rsidRPr="00285645">
        <w:t>p.959, 970</w:t>
      </w:r>
      <w:r w:rsidRPr="00285645">
        <w:t xml:space="preserve">. </w:t>
      </w:r>
    </w:p>
    <w:p w14:paraId="115135F0" w14:textId="77777777" w:rsidR="00285645" w:rsidRDefault="00C02365" w:rsidP="00285645">
      <w:pPr>
        <w:pStyle w:val="ListParagraph"/>
        <w:numPr>
          <w:ilvl w:val="0"/>
          <w:numId w:val="26"/>
        </w:numPr>
      </w:pPr>
      <w:proofErr w:type="spellStart"/>
      <w:r>
        <w:t>Sweetman</w:t>
      </w:r>
      <w:proofErr w:type="spellEnd"/>
      <w:r>
        <w:t xml:space="preserve"> S C, editor. Martindale: the complete drug reference. London: Pharmaceutical Press accessed via Medicines Complete June 2019 (</w:t>
      </w:r>
      <w:hyperlink r:id="rId9" w:anchor="/" w:history="1">
        <w:r w:rsidR="008A1997" w:rsidRPr="0065614D">
          <w:rPr>
            <w:rStyle w:val="Hyperlink"/>
          </w:rPr>
          <w:t>https://www.medicinescomplete.com/#/</w:t>
        </w:r>
      </w:hyperlink>
      <w:r w:rsidR="008A1997">
        <w:t xml:space="preserve"> </w:t>
      </w:r>
      <w:r>
        <w:t>)</w:t>
      </w:r>
    </w:p>
    <w:p w14:paraId="13B56D83" w14:textId="77777777" w:rsidR="00285645" w:rsidRDefault="00C02365" w:rsidP="00285645">
      <w:pPr>
        <w:pStyle w:val="ListParagraph"/>
        <w:numPr>
          <w:ilvl w:val="0"/>
          <w:numId w:val="26"/>
        </w:numPr>
      </w:pPr>
      <w:r>
        <w:t>Jenkins C, Costello J, Hodge L. Systematic review of prevalence of aspirin induced asthma and its implications for clinical practice.  BMJ 2004; 328: 434-440.</w:t>
      </w:r>
    </w:p>
    <w:p w14:paraId="333BCE5D" w14:textId="68A6DBC7" w:rsidR="00285645" w:rsidRDefault="00044035" w:rsidP="00285645">
      <w:pPr>
        <w:pStyle w:val="ListParagraph"/>
        <w:numPr>
          <w:ilvl w:val="0"/>
          <w:numId w:val="26"/>
        </w:numPr>
      </w:pPr>
      <w:proofErr w:type="spellStart"/>
      <w:r>
        <w:t>Warrell</w:t>
      </w:r>
      <w:proofErr w:type="spellEnd"/>
      <w:r w:rsidR="00C02365">
        <w:t xml:space="preserve"> D A et al, editors.  Oxford textbook of medicine.  5</w:t>
      </w:r>
      <w:r w:rsidR="00C02365" w:rsidRPr="00285645">
        <w:rPr>
          <w:vertAlign w:val="superscript"/>
        </w:rPr>
        <w:t>th</w:t>
      </w:r>
      <w:r w:rsidR="00C02365">
        <w:t xml:space="preserve"> ed. Oxford: Oxford University Press; 2010,</w:t>
      </w:r>
      <w:r w:rsidR="00C02365" w:rsidRPr="00285645">
        <w:rPr>
          <w:rFonts w:eastAsiaTheme="minorHAnsi" w:cs="Arial"/>
        </w:rPr>
        <w:t xml:space="preserve"> [Cited Accessed on 7 June 2019] </w:t>
      </w:r>
      <w:r w:rsidR="00C02365">
        <w:t xml:space="preserve">Available from: </w:t>
      </w:r>
      <w:hyperlink r:id="rId10" w:history="1">
        <w:r w:rsidR="00C02365" w:rsidRPr="00AD1AE5">
          <w:rPr>
            <w:rStyle w:val="Hyperlink"/>
          </w:rPr>
          <w:t>https://oxfordmedicine.com/</w:t>
        </w:r>
      </w:hyperlink>
      <w:r w:rsidR="00C02365">
        <w:t xml:space="preserve"> </w:t>
      </w:r>
    </w:p>
    <w:p w14:paraId="68961030" w14:textId="77777777" w:rsidR="00285645" w:rsidRPr="00285645" w:rsidRDefault="00C02365" w:rsidP="00285645">
      <w:pPr>
        <w:pStyle w:val="ListParagraph"/>
        <w:numPr>
          <w:ilvl w:val="0"/>
          <w:numId w:val="26"/>
        </w:numPr>
      </w:pPr>
      <w:r w:rsidRPr="00285645">
        <w:rPr>
          <w:rFonts w:cs="Arial"/>
          <w:shd w:val="clear" w:color="auto" w:fill="FFFFFF"/>
        </w:rPr>
        <w:t xml:space="preserve">Laidlaw T.M.; Cahill K.N. </w:t>
      </w:r>
      <w:r w:rsidRPr="00285645">
        <w:rPr>
          <w:rStyle w:val="A"/>
          <w:rFonts w:cs="Arial"/>
          <w:bCs/>
          <w:color w:val="auto"/>
          <w:u w:val="none"/>
          <w:shd w:val="clear" w:color="auto" w:fill="FFFFFF"/>
        </w:rPr>
        <w:t>Current Knowledge and Management of Hypersensitivity to Aspirin and NSAIDs.</w:t>
      </w:r>
      <w:r w:rsidRPr="00285645">
        <w:rPr>
          <w:rStyle w:val="A"/>
          <w:rFonts w:cs="Arial"/>
          <w:bCs/>
          <w:color w:val="auto"/>
          <w:shd w:val="clear" w:color="auto" w:fill="FFFFFF"/>
        </w:rPr>
        <w:t xml:space="preserve"> </w:t>
      </w:r>
      <w:r w:rsidRPr="00285645">
        <w:rPr>
          <w:rFonts w:cs="Arial"/>
          <w:shd w:val="clear" w:color="auto" w:fill="FFFFFF"/>
        </w:rPr>
        <w:t>Journal of Allergy and Clinical Immunology: In Practice;2017</w:t>
      </w:r>
      <w:r w:rsidR="00163CA9" w:rsidRPr="00285645">
        <w:rPr>
          <w:rFonts w:cs="Arial"/>
          <w:shd w:val="clear" w:color="auto" w:fill="FFFFFF"/>
        </w:rPr>
        <w:t xml:space="preserve"> </w:t>
      </w:r>
      <w:r w:rsidRPr="00285645">
        <w:rPr>
          <w:rFonts w:cs="Arial"/>
          <w:shd w:val="clear" w:color="auto" w:fill="FFFFFF"/>
        </w:rPr>
        <w:t>; 5 (3):537-545</w:t>
      </w:r>
    </w:p>
    <w:p w14:paraId="177A4DFF" w14:textId="77777777" w:rsidR="00285645" w:rsidRDefault="00C02365" w:rsidP="00285645">
      <w:pPr>
        <w:pStyle w:val="ListParagraph"/>
        <w:numPr>
          <w:ilvl w:val="0"/>
          <w:numId w:val="26"/>
        </w:numPr>
      </w:pPr>
      <w:proofErr w:type="spellStart"/>
      <w:r>
        <w:t>Szczeklik</w:t>
      </w:r>
      <w:proofErr w:type="spellEnd"/>
      <w:r>
        <w:t xml:space="preserve"> A, </w:t>
      </w:r>
      <w:proofErr w:type="spellStart"/>
      <w:r>
        <w:t>Nizankowska</w:t>
      </w:r>
      <w:proofErr w:type="spellEnd"/>
      <w:r>
        <w:t xml:space="preserve"> E.  Clinical features and diagnosis of aspirin induced asthma.  Thorax 2000; 55(</w:t>
      </w:r>
      <w:proofErr w:type="spellStart"/>
      <w:r>
        <w:t>Suppl</w:t>
      </w:r>
      <w:proofErr w:type="spellEnd"/>
      <w:r>
        <w:t xml:space="preserve"> 2): S42-S44.</w:t>
      </w:r>
    </w:p>
    <w:p w14:paraId="5AC1886C" w14:textId="77777777" w:rsidR="00285645" w:rsidRDefault="00C02365" w:rsidP="00285645">
      <w:pPr>
        <w:pStyle w:val="ListParagraph"/>
        <w:numPr>
          <w:ilvl w:val="0"/>
          <w:numId w:val="26"/>
        </w:numPr>
      </w:pPr>
      <w:proofErr w:type="spellStart"/>
      <w:r>
        <w:t>Morwood</w:t>
      </w:r>
      <w:proofErr w:type="spellEnd"/>
      <w:r>
        <w:t xml:space="preserve"> K, Gillis D, Smith W et al.  Aspirin-sensitive asthma. Intern Med J 2005: 35: 240-246.</w:t>
      </w:r>
    </w:p>
    <w:p w14:paraId="0FDCC1F2" w14:textId="77777777" w:rsidR="00285645" w:rsidRDefault="00C02365" w:rsidP="00285645">
      <w:pPr>
        <w:pStyle w:val="ListParagraph"/>
        <w:numPr>
          <w:ilvl w:val="0"/>
          <w:numId w:val="26"/>
        </w:numPr>
      </w:pPr>
      <w:r w:rsidRPr="00285645">
        <w:t xml:space="preserve">Pilar </w:t>
      </w:r>
      <w:proofErr w:type="spellStart"/>
      <w:r w:rsidRPr="00285645">
        <w:t>Berges-Gimeno</w:t>
      </w:r>
      <w:proofErr w:type="spellEnd"/>
      <w:r w:rsidRPr="00285645">
        <w:t xml:space="preserve"> M, Stevenson D </w:t>
      </w:r>
      <w:proofErr w:type="spellStart"/>
      <w:r w:rsidRPr="00285645">
        <w:t>D</w:t>
      </w:r>
      <w:proofErr w:type="spellEnd"/>
      <w:r w:rsidRPr="00285645">
        <w:t>.</w:t>
      </w:r>
      <w:r>
        <w:t xml:space="preserve">  Nonsteroidal anti-inflammatory drug-induced reactions and desensitization.  J Asthma 2004; 41(4): 375-384.</w:t>
      </w:r>
    </w:p>
    <w:p w14:paraId="4AD7AF80" w14:textId="77777777" w:rsidR="00285645" w:rsidRDefault="00C02365" w:rsidP="00285645">
      <w:pPr>
        <w:pStyle w:val="ListParagraph"/>
        <w:numPr>
          <w:ilvl w:val="0"/>
          <w:numId w:val="26"/>
        </w:numPr>
      </w:pPr>
      <w:proofErr w:type="spellStart"/>
      <w:r>
        <w:t>Namazy</w:t>
      </w:r>
      <w:proofErr w:type="spellEnd"/>
      <w:r>
        <w:t xml:space="preserve"> J A, Simon R A.  Sensitivity to nonsteroidal anti-inflammatory drugs. Ann Allergy Asthma </w:t>
      </w:r>
      <w:proofErr w:type="spellStart"/>
      <w:r>
        <w:t>Immunol</w:t>
      </w:r>
      <w:proofErr w:type="spellEnd"/>
      <w:r>
        <w:t xml:space="preserve"> 2002; 89: 542-550. </w:t>
      </w:r>
    </w:p>
    <w:p w14:paraId="64541C8B" w14:textId="77777777" w:rsidR="00285645" w:rsidRPr="00285645" w:rsidRDefault="00C02365" w:rsidP="00285645">
      <w:pPr>
        <w:pStyle w:val="ListParagraph"/>
        <w:numPr>
          <w:ilvl w:val="0"/>
          <w:numId w:val="26"/>
        </w:numPr>
      </w:pPr>
      <w:r w:rsidRPr="00285645">
        <w:rPr>
          <w:rFonts w:cs="Arial"/>
        </w:rPr>
        <w:t>Levy S, Volans G.  The use of analgesics in patients with asthma.  Drug Safety 2001; 24(11): 829-841.</w:t>
      </w:r>
    </w:p>
    <w:p w14:paraId="2AEBAA4F" w14:textId="77777777" w:rsidR="00285645" w:rsidRPr="00285645" w:rsidRDefault="00C02365" w:rsidP="00285645">
      <w:pPr>
        <w:pStyle w:val="ListParagraph"/>
        <w:numPr>
          <w:ilvl w:val="0"/>
          <w:numId w:val="26"/>
        </w:numPr>
      </w:pPr>
      <w:r w:rsidRPr="00285645">
        <w:rPr>
          <w:rFonts w:cs="Arial"/>
        </w:rPr>
        <w:t xml:space="preserve">Aronson J K, editor. </w:t>
      </w:r>
      <w:proofErr w:type="spellStart"/>
      <w:r w:rsidRPr="00285645">
        <w:rPr>
          <w:rFonts w:cs="Arial"/>
        </w:rPr>
        <w:t>Meyler’s</w:t>
      </w:r>
      <w:proofErr w:type="spellEnd"/>
      <w:r w:rsidRPr="00285645">
        <w:rPr>
          <w:rFonts w:cs="Arial"/>
        </w:rPr>
        <w:t xml:space="preserve"> Side Effects of Drugs. 16</w:t>
      </w:r>
      <w:r w:rsidRPr="00285645">
        <w:rPr>
          <w:rFonts w:cs="Arial"/>
          <w:vertAlign w:val="superscript"/>
        </w:rPr>
        <w:t>th</w:t>
      </w:r>
      <w:r w:rsidRPr="00285645">
        <w:rPr>
          <w:rFonts w:cs="Arial"/>
        </w:rPr>
        <w:t xml:space="preserve"> ed. Amsterdam: Elsevier; 2006, Volume 1 (p26), Volume 4 (p2560)</w:t>
      </w:r>
    </w:p>
    <w:p w14:paraId="09951EA0" w14:textId="77777777" w:rsidR="00285645" w:rsidRPr="00285645" w:rsidRDefault="00C02365" w:rsidP="00285645">
      <w:pPr>
        <w:pStyle w:val="ListParagraph"/>
        <w:numPr>
          <w:ilvl w:val="0"/>
          <w:numId w:val="26"/>
        </w:numPr>
      </w:pPr>
      <w:r w:rsidRPr="00285645">
        <w:rPr>
          <w:rFonts w:cs="Arial"/>
        </w:rPr>
        <w:t xml:space="preserve">Hamad </w:t>
      </w:r>
      <w:proofErr w:type="gramStart"/>
      <w:r w:rsidRPr="00285645">
        <w:rPr>
          <w:rFonts w:cs="Arial"/>
        </w:rPr>
        <w:t>A</w:t>
      </w:r>
      <w:proofErr w:type="gramEnd"/>
      <w:r w:rsidRPr="00285645">
        <w:rPr>
          <w:rFonts w:cs="Arial"/>
        </w:rPr>
        <w:t xml:space="preserve"> M, Sutcliffe A M, Knox A J.  Aspirin-induced asthma - clinical aspects, pathogenesis and management.  Drugs 2004; 64(21): 2417-2432.</w:t>
      </w:r>
    </w:p>
    <w:p w14:paraId="0F97D05A" w14:textId="77777777" w:rsidR="00285645" w:rsidRDefault="00AE6D7D" w:rsidP="00285645">
      <w:pPr>
        <w:pStyle w:val="ListParagraph"/>
        <w:numPr>
          <w:ilvl w:val="0"/>
          <w:numId w:val="26"/>
        </w:numPr>
      </w:pPr>
      <w:proofErr w:type="spellStart"/>
      <w:r>
        <w:t>Gollapudi</w:t>
      </w:r>
      <w:proofErr w:type="spellEnd"/>
      <w:r>
        <w:t xml:space="preserve"> R </w:t>
      </w:r>
      <w:proofErr w:type="spellStart"/>
      <w:r>
        <w:t>R</w:t>
      </w:r>
      <w:proofErr w:type="spellEnd"/>
      <w:r>
        <w:t xml:space="preserve">, </w:t>
      </w:r>
      <w:proofErr w:type="spellStart"/>
      <w:r>
        <w:t>Teirstein</w:t>
      </w:r>
      <w:proofErr w:type="spellEnd"/>
      <w:r>
        <w:t xml:space="preserve"> P S, Stevenson D </w:t>
      </w:r>
      <w:proofErr w:type="spellStart"/>
      <w:r>
        <w:t>D</w:t>
      </w:r>
      <w:proofErr w:type="spellEnd"/>
      <w:r>
        <w:t xml:space="preserve"> et al.  Aspirin sensitivity – Implications for patients with coronary artery disease.  JAMA 2004; 292 (24): 3017-3022.</w:t>
      </w:r>
    </w:p>
    <w:p w14:paraId="7DB72371" w14:textId="77777777" w:rsidR="00285645" w:rsidRPr="00285645" w:rsidRDefault="00C02365" w:rsidP="00285645">
      <w:pPr>
        <w:pStyle w:val="ListParagraph"/>
        <w:numPr>
          <w:ilvl w:val="0"/>
          <w:numId w:val="26"/>
        </w:numPr>
      </w:pPr>
      <w:r w:rsidRPr="00285645">
        <w:rPr>
          <w:rFonts w:eastAsiaTheme="minorHAnsi" w:cs="Arial"/>
        </w:rPr>
        <w:t xml:space="preserve">Joint Formulary Committee. </w:t>
      </w:r>
      <w:r w:rsidRPr="00285645">
        <w:rPr>
          <w:rFonts w:eastAsiaTheme="minorHAnsi" w:cs="Arial"/>
          <w:i/>
          <w:iCs/>
        </w:rPr>
        <w:t>British National Formulary</w:t>
      </w:r>
      <w:r w:rsidRPr="00285645">
        <w:rPr>
          <w:rFonts w:eastAsiaTheme="minorHAnsi" w:cs="Arial"/>
        </w:rPr>
        <w:t xml:space="preserve"> (online) London: BMJ Group and Pharmaceutical Press [Cited Accessed on 10 June 2019] Available from: </w:t>
      </w:r>
      <w:hyperlink r:id="rId11" w:history="1">
        <w:r w:rsidRPr="00285645">
          <w:rPr>
            <w:rStyle w:val="Hyperlink"/>
            <w:rFonts w:eastAsiaTheme="minorHAnsi" w:cs="Arial"/>
          </w:rPr>
          <w:t>http://www.medicinescomplete.com</w:t>
        </w:r>
      </w:hyperlink>
      <w:r w:rsidRPr="00285645">
        <w:rPr>
          <w:rFonts w:eastAsiaTheme="minorHAnsi" w:cs="Arial"/>
        </w:rPr>
        <w:t xml:space="preserve">  </w:t>
      </w:r>
    </w:p>
    <w:p w14:paraId="1B375F8F" w14:textId="77777777" w:rsidR="00285645" w:rsidRPr="00285645" w:rsidRDefault="002B74A6" w:rsidP="00285645">
      <w:pPr>
        <w:pStyle w:val="ListParagraph"/>
        <w:numPr>
          <w:ilvl w:val="0"/>
          <w:numId w:val="26"/>
        </w:numPr>
      </w:pPr>
      <w:r w:rsidRPr="00285645">
        <w:rPr>
          <w:rFonts w:cs="Arial"/>
        </w:rPr>
        <w:t xml:space="preserve">Morales D.R.; Guthrie B.; Santiago V.H. et al. </w:t>
      </w:r>
      <w:r w:rsidRPr="00285645">
        <w:rPr>
          <w:rFonts w:cs="Arial"/>
          <w:bCs/>
        </w:rPr>
        <w:t xml:space="preserve">Safety risks for patients with aspirin-exacerbated respiratory disease after acute exposure to selective non-steroidal anti-inflammatory drugs and COX-2 inhibitors: Meta-analysis of controlled clinical trials. </w:t>
      </w:r>
      <w:r w:rsidRPr="00285645">
        <w:rPr>
          <w:rFonts w:cs="Arial"/>
        </w:rPr>
        <w:t>Journal of Allergy and Clinical Immunology; 2014; 134 (1): 40</w:t>
      </w:r>
    </w:p>
    <w:p w14:paraId="5BE0F744" w14:textId="77777777" w:rsidR="00285645" w:rsidRPr="00285645" w:rsidRDefault="00C02365" w:rsidP="00285645">
      <w:pPr>
        <w:pStyle w:val="ListParagraph"/>
        <w:numPr>
          <w:ilvl w:val="0"/>
          <w:numId w:val="26"/>
        </w:numPr>
      </w:pPr>
      <w:r w:rsidRPr="00285645">
        <w:rPr>
          <w:rFonts w:cs="Arial"/>
        </w:rPr>
        <w:t xml:space="preserve">Stevenson D </w:t>
      </w:r>
      <w:proofErr w:type="spellStart"/>
      <w:r w:rsidRPr="00285645">
        <w:rPr>
          <w:rFonts w:cs="Arial"/>
        </w:rPr>
        <w:t>D</w:t>
      </w:r>
      <w:proofErr w:type="spellEnd"/>
      <w:r w:rsidRPr="00285645">
        <w:rPr>
          <w:rFonts w:cs="Arial"/>
        </w:rPr>
        <w:t xml:space="preserve">, </w:t>
      </w:r>
      <w:proofErr w:type="spellStart"/>
      <w:r w:rsidRPr="00285645">
        <w:rPr>
          <w:rFonts w:cs="Arial"/>
        </w:rPr>
        <w:t>Szczeklik</w:t>
      </w:r>
      <w:proofErr w:type="spellEnd"/>
      <w:r w:rsidRPr="00285645">
        <w:rPr>
          <w:rFonts w:cs="Arial"/>
        </w:rPr>
        <w:t xml:space="preserve"> A. Clinical and pathologic perspectives on aspirin sensitivity and asthma. J-Allergy-</w:t>
      </w:r>
      <w:proofErr w:type="spellStart"/>
      <w:r w:rsidRPr="00285645">
        <w:rPr>
          <w:rFonts w:cs="Arial"/>
        </w:rPr>
        <w:t>Clin</w:t>
      </w:r>
      <w:proofErr w:type="spellEnd"/>
      <w:r w:rsidRPr="00285645">
        <w:rPr>
          <w:rFonts w:cs="Arial"/>
        </w:rPr>
        <w:t>-</w:t>
      </w:r>
      <w:proofErr w:type="spellStart"/>
      <w:r w:rsidRPr="00285645">
        <w:rPr>
          <w:rFonts w:cs="Arial"/>
        </w:rPr>
        <w:t>Immunol</w:t>
      </w:r>
      <w:proofErr w:type="spellEnd"/>
      <w:r w:rsidRPr="00285645">
        <w:rPr>
          <w:rFonts w:cs="Arial"/>
        </w:rPr>
        <w:t xml:space="preserve"> 2006</w:t>
      </w:r>
      <w:proofErr w:type="gramStart"/>
      <w:r w:rsidRPr="00285645">
        <w:rPr>
          <w:rFonts w:cs="Arial"/>
        </w:rPr>
        <w:t>;118</w:t>
      </w:r>
      <w:proofErr w:type="gramEnd"/>
      <w:r w:rsidR="00DB5796" w:rsidRPr="00285645">
        <w:rPr>
          <w:rFonts w:cs="Arial"/>
        </w:rPr>
        <w:t xml:space="preserve"> </w:t>
      </w:r>
      <w:r w:rsidRPr="00285645">
        <w:rPr>
          <w:rFonts w:cs="Arial"/>
        </w:rPr>
        <w:t>(4): 773-86.</w:t>
      </w:r>
    </w:p>
    <w:p w14:paraId="47EB64F7" w14:textId="77777777" w:rsidR="00285645" w:rsidRDefault="00C02365" w:rsidP="00285645">
      <w:pPr>
        <w:pStyle w:val="ListParagraph"/>
        <w:numPr>
          <w:ilvl w:val="0"/>
          <w:numId w:val="26"/>
        </w:numPr>
      </w:pPr>
      <w:r>
        <w:t>Summary of Product Characteristics – Celebrex (celecoxib) 100mg and 200mg. Pharmacia Ltd</w:t>
      </w:r>
      <w:r w:rsidRPr="00285645">
        <w:t xml:space="preserve">. [cited 10 June 2019]. </w:t>
      </w:r>
      <w:r>
        <w:t xml:space="preserve">Accessed via </w:t>
      </w:r>
      <w:hyperlink r:id="rId12" w:history="1">
        <w:r w:rsidRPr="009D29EB">
          <w:rPr>
            <w:rStyle w:val="Hyperlink"/>
          </w:rPr>
          <w:t>https://www.medicines.org.uk/emc</w:t>
        </w:r>
      </w:hyperlink>
      <w:r>
        <w:t xml:space="preserve"> </w:t>
      </w:r>
    </w:p>
    <w:p w14:paraId="45F5BE3A" w14:textId="77777777" w:rsidR="00285645" w:rsidRDefault="00C02365" w:rsidP="00285645">
      <w:pPr>
        <w:pStyle w:val="ListParagraph"/>
        <w:numPr>
          <w:ilvl w:val="0"/>
          <w:numId w:val="26"/>
        </w:numPr>
      </w:pPr>
      <w:r>
        <w:t xml:space="preserve">Summary of Product Characteristics – </w:t>
      </w:r>
      <w:proofErr w:type="spellStart"/>
      <w:r>
        <w:t>Arcoxia</w:t>
      </w:r>
      <w:proofErr w:type="spellEnd"/>
      <w:r>
        <w:t xml:space="preserve"> (</w:t>
      </w:r>
      <w:proofErr w:type="spellStart"/>
      <w:r>
        <w:t>etoricoxib</w:t>
      </w:r>
      <w:proofErr w:type="spellEnd"/>
      <w:r>
        <w:t xml:space="preserve">) 30mg, 60mg, 90mg and 120mg Tablets. </w:t>
      </w:r>
      <w:r w:rsidRPr="00285645">
        <w:rPr>
          <w:rFonts w:cs="Arial"/>
        </w:rPr>
        <w:t>Merck Sharp and Dohme Ltd</w:t>
      </w:r>
      <w:r w:rsidRPr="00285645">
        <w:t xml:space="preserve"> [cited 10 June 2019]. Accessed </w:t>
      </w:r>
      <w:r>
        <w:t xml:space="preserve">via </w:t>
      </w:r>
      <w:hyperlink r:id="rId13" w:history="1">
        <w:r w:rsidRPr="009D29EB">
          <w:rPr>
            <w:rStyle w:val="Hyperlink"/>
          </w:rPr>
          <w:t>https://www.medicines.org.uk/emc</w:t>
        </w:r>
      </w:hyperlink>
      <w:r>
        <w:t xml:space="preserve"> .  </w:t>
      </w:r>
    </w:p>
    <w:p w14:paraId="31D7EC46" w14:textId="77777777" w:rsidR="00285645" w:rsidRPr="00285645" w:rsidRDefault="00C02365" w:rsidP="00285645">
      <w:pPr>
        <w:pStyle w:val="ListParagraph"/>
        <w:numPr>
          <w:ilvl w:val="0"/>
          <w:numId w:val="26"/>
        </w:numPr>
        <w:rPr>
          <w:rStyle w:val="Hyperlink"/>
          <w:color w:val="auto"/>
          <w:u w:val="none"/>
        </w:rPr>
      </w:pPr>
      <w:r>
        <w:t xml:space="preserve">Summary of Product Characteristics – </w:t>
      </w:r>
      <w:proofErr w:type="spellStart"/>
      <w:r>
        <w:t>Dynastat</w:t>
      </w:r>
      <w:proofErr w:type="spellEnd"/>
      <w:r>
        <w:t xml:space="preserve"> (</w:t>
      </w:r>
      <w:proofErr w:type="spellStart"/>
      <w:r>
        <w:t>parecoxib</w:t>
      </w:r>
      <w:proofErr w:type="spellEnd"/>
      <w:r>
        <w:t>) 40mg injection. Pfizer Ltd.</w:t>
      </w:r>
      <w:r w:rsidRPr="00285645">
        <w:t xml:space="preserve"> [cited 10 June 2019].</w:t>
      </w:r>
      <w:r>
        <w:t xml:space="preserve"> Accessed via </w:t>
      </w:r>
      <w:hyperlink r:id="rId14" w:history="1">
        <w:r w:rsidRPr="009D29EB">
          <w:rPr>
            <w:rStyle w:val="Hyperlink"/>
          </w:rPr>
          <w:t>https://www.medicines.org.uk/emc</w:t>
        </w:r>
      </w:hyperlink>
    </w:p>
    <w:p w14:paraId="690F4F86" w14:textId="77777777" w:rsidR="00285645" w:rsidRDefault="00C02365" w:rsidP="00285645">
      <w:pPr>
        <w:pStyle w:val="ListParagraph"/>
        <w:numPr>
          <w:ilvl w:val="0"/>
          <w:numId w:val="26"/>
        </w:numPr>
        <w:rPr>
          <w:rStyle w:val="Hyperlink"/>
          <w:color w:val="auto"/>
          <w:u w:val="none"/>
        </w:rPr>
      </w:pPr>
      <w:r>
        <w:t xml:space="preserve">Summary of Product Characteristics – </w:t>
      </w:r>
      <w:r w:rsidR="00AA5D17">
        <w:t xml:space="preserve">a) </w:t>
      </w:r>
      <w:r>
        <w:t xml:space="preserve">Meloxicam 7.5mg &amp; 15mg </w:t>
      </w:r>
      <w:proofErr w:type="spellStart"/>
      <w:r>
        <w:t>Orodispersible</w:t>
      </w:r>
      <w:proofErr w:type="spellEnd"/>
      <w:r>
        <w:t xml:space="preserve"> Tablets. </w:t>
      </w:r>
      <w:proofErr w:type="spellStart"/>
      <w:r>
        <w:t>Fontus</w:t>
      </w:r>
      <w:proofErr w:type="spellEnd"/>
      <w:r>
        <w:t xml:space="preserve"> Health Ltd.</w:t>
      </w:r>
      <w:r w:rsidRPr="00285645">
        <w:t xml:space="preserve"> [cited 08 July 2019].</w:t>
      </w:r>
      <w:r w:rsidR="00AA5D17" w:rsidRPr="00285645">
        <w:t xml:space="preserve"> </w:t>
      </w:r>
      <w:r>
        <w:t xml:space="preserve">Accessed via </w:t>
      </w:r>
      <w:hyperlink r:id="rId15" w:history="1">
        <w:r w:rsidRPr="009D29EB">
          <w:rPr>
            <w:rStyle w:val="Hyperlink"/>
          </w:rPr>
          <w:t>https://www.medicines.org.uk/emc</w:t>
        </w:r>
      </w:hyperlink>
      <w:r w:rsidR="00AA5D17">
        <w:rPr>
          <w:rStyle w:val="Hyperlink"/>
        </w:rPr>
        <w:t xml:space="preserve"> </w:t>
      </w:r>
      <w:r w:rsidR="00AA5D17" w:rsidRPr="00285645">
        <w:rPr>
          <w:rStyle w:val="Hyperlink"/>
          <w:color w:val="auto"/>
          <w:u w:val="none"/>
        </w:rPr>
        <w:t>b)</w:t>
      </w:r>
      <w:r w:rsidR="00F31A63" w:rsidRPr="00285645">
        <w:rPr>
          <w:rStyle w:val="Hyperlink"/>
          <w:color w:val="auto"/>
          <w:u w:val="none"/>
        </w:rPr>
        <w:t xml:space="preserve"> Meloxicam 7mg &amp; 15mg tablet. </w:t>
      </w:r>
      <w:proofErr w:type="spellStart"/>
      <w:r w:rsidR="00F31A63" w:rsidRPr="00285645">
        <w:rPr>
          <w:rStyle w:val="Hyperlink"/>
          <w:color w:val="auto"/>
          <w:u w:val="none"/>
        </w:rPr>
        <w:t>Teva</w:t>
      </w:r>
      <w:proofErr w:type="spellEnd"/>
      <w:r w:rsidR="00F31A63" w:rsidRPr="00285645">
        <w:rPr>
          <w:rStyle w:val="Hyperlink"/>
          <w:color w:val="auto"/>
          <w:u w:val="none"/>
        </w:rPr>
        <w:t xml:space="preserve"> UK Ltd. Last updated 11/08/2017</w:t>
      </w:r>
    </w:p>
    <w:p w14:paraId="4BF8498E" w14:textId="77777777" w:rsidR="00285645" w:rsidRDefault="00F62718" w:rsidP="00285645">
      <w:pPr>
        <w:pStyle w:val="ListParagraph"/>
        <w:numPr>
          <w:ilvl w:val="0"/>
          <w:numId w:val="26"/>
        </w:numPr>
      </w:pPr>
      <w:r w:rsidRPr="001D408B">
        <w:t xml:space="preserve">Summary of Product Characteristics – </w:t>
      </w:r>
      <w:proofErr w:type="spellStart"/>
      <w:r w:rsidRPr="001D408B">
        <w:t>Relifex</w:t>
      </w:r>
      <w:proofErr w:type="spellEnd"/>
      <w:r w:rsidRPr="001D408B">
        <w:t xml:space="preserve"> (</w:t>
      </w:r>
      <w:proofErr w:type="spellStart"/>
      <w:r w:rsidRPr="001D408B">
        <w:t>nabumetone</w:t>
      </w:r>
      <w:proofErr w:type="spellEnd"/>
      <w:r w:rsidRPr="001D408B">
        <w:t>) 500mg tablets. Mylan. [cited 08 July 2019] Accessed via</w:t>
      </w:r>
      <w:r w:rsidR="00B374D0">
        <w:t xml:space="preserve"> </w:t>
      </w:r>
      <w:hyperlink r:id="rId16" w:history="1">
        <w:r w:rsidR="00B374D0" w:rsidRPr="009D29EB">
          <w:rPr>
            <w:rStyle w:val="Hyperlink"/>
          </w:rPr>
          <w:t>https://www.medicines.org.uk/emc</w:t>
        </w:r>
      </w:hyperlink>
      <w:r w:rsidRPr="001D408B">
        <w:t>.</w:t>
      </w:r>
    </w:p>
    <w:p w14:paraId="7BEBE9C9" w14:textId="77777777" w:rsidR="00285645" w:rsidRPr="00285645" w:rsidRDefault="00F62718" w:rsidP="00285645">
      <w:pPr>
        <w:pStyle w:val="ListParagraph"/>
        <w:numPr>
          <w:ilvl w:val="0"/>
          <w:numId w:val="26"/>
        </w:numPr>
        <w:rPr>
          <w:rStyle w:val="Hyperlink"/>
          <w:color w:val="auto"/>
          <w:u w:val="none"/>
        </w:rPr>
      </w:pPr>
      <w:r w:rsidRPr="006C54A2">
        <w:t>Summary of Product Characteristics –</w:t>
      </w:r>
      <w:r w:rsidR="002D3BF0">
        <w:t xml:space="preserve"> </w:t>
      </w:r>
      <w:r w:rsidR="00073B2A">
        <w:t>a)</w:t>
      </w:r>
      <w:r w:rsidRPr="006C54A2">
        <w:t xml:space="preserve"> </w:t>
      </w:r>
      <w:proofErr w:type="spellStart"/>
      <w:r w:rsidRPr="006C54A2">
        <w:t>Lodine</w:t>
      </w:r>
      <w:proofErr w:type="spellEnd"/>
      <w:r w:rsidRPr="006C54A2">
        <w:t xml:space="preserve"> SR 600mg tabl</w:t>
      </w:r>
      <w:r w:rsidR="00073B2A">
        <w:t>ets (</w:t>
      </w:r>
      <w:proofErr w:type="spellStart"/>
      <w:r w:rsidR="00073B2A">
        <w:t>etodolac</w:t>
      </w:r>
      <w:proofErr w:type="spellEnd"/>
      <w:r w:rsidR="00073B2A">
        <w:t xml:space="preserve">) </w:t>
      </w:r>
      <w:proofErr w:type="spellStart"/>
      <w:r w:rsidR="00073B2A">
        <w:t>Almirall</w:t>
      </w:r>
      <w:proofErr w:type="spellEnd"/>
      <w:r w:rsidR="00073B2A">
        <w:t xml:space="preserve"> Limited, </w:t>
      </w:r>
      <w:r w:rsidRPr="006C54A2">
        <w:t xml:space="preserve">b) </w:t>
      </w:r>
      <w:proofErr w:type="spellStart"/>
      <w:r w:rsidRPr="006C54A2">
        <w:t>Eccoxolac</w:t>
      </w:r>
      <w:proofErr w:type="spellEnd"/>
      <w:r w:rsidRPr="006C54A2">
        <w:t xml:space="preserve"> 300mg capsules </w:t>
      </w:r>
      <w:r w:rsidR="00073B2A">
        <w:t>(</w:t>
      </w:r>
      <w:proofErr w:type="spellStart"/>
      <w:r w:rsidR="00073B2A">
        <w:t>etodolac</w:t>
      </w:r>
      <w:proofErr w:type="spellEnd"/>
      <w:r w:rsidR="00073B2A">
        <w:t xml:space="preserve">) </w:t>
      </w:r>
      <w:proofErr w:type="spellStart"/>
      <w:r w:rsidR="00073B2A">
        <w:t>Meda</w:t>
      </w:r>
      <w:proofErr w:type="spellEnd"/>
      <w:r w:rsidR="00073B2A">
        <w:t xml:space="preserve"> Pharmaceuticals, </w:t>
      </w:r>
      <w:r w:rsidRPr="006C54A2">
        <w:t xml:space="preserve">c) </w:t>
      </w:r>
      <w:proofErr w:type="spellStart"/>
      <w:r w:rsidRPr="006C54A2">
        <w:t>Etopan</w:t>
      </w:r>
      <w:proofErr w:type="spellEnd"/>
      <w:r w:rsidRPr="006C54A2">
        <w:t xml:space="preserve"> XL (</w:t>
      </w:r>
      <w:proofErr w:type="spellStart"/>
      <w:r w:rsidRPr="006C54A2">
        <w:t>etodolac</w:t>
      </w:r>
      <w:proofErr w:type="spellEnd"/>
      <w:r w:rsidRPr="006C54A2">
        <w:t xml:space="preserve">) 600mg </w:t>
      </w:r>
      <w:r w:rsidR="00073B2A">
        <w:t xml:space="preserve">film-coated prolonged release </w:t>
      </w:r>
      <w:r w:rsidRPr="006C54A2">
        <w:t xml:space="preserve">tablets. Ranbaxy (UK) Limited. Pharmaceuticals </w:t>
      </w:r>
      <w:r w:rsidRPr="00285645">
        <w:t>[cited 08 July 2019].</w:t>
      </w:r>
      <w:r>
        <w:t xml:space="preserve"> Accessed via </w:t>
      </w:r>
      <w:hyperlink r:id="rId17" w:history="1">
        <w:r w:rsidRPr="009D29EB">
          <w:rPr>
            <w:rStyle w:val="Hyperlink"/>
          </w:rPr>
          <w:t>https://www.medicines.org.uk/emc</w:t>
        </w:r>
      </w:hyperlink>
    </w:p>
    <w:p w14:paraId="2FD04514" w14:textId="77777777" w:rsidR="00285645" w:rsidRPr="00285645" w:rsidRDefault="00202C83" w:rsidP="00285645">
      <w:pPr>
        <w:pStyle w:val="ListParagraph"/>
        <w:numPr>
          <w:ilvl w:val="0"/>
          <w:numId w:val="26"/>
        </w:numPr>
      </w:pPr>
      <w:proofErr w:type="spellStart"/>
      <w:r w:rsidRPr="00285645">
        <w:rPr>
          <w:rFonts w:cs="Arial"/>
        </w:rPr>
        <w:t>Volkman</w:t>
      </w:r>
      <w:proofErr w:type="spellEnd"/>
      <w:r w:rsidRPr="00285645">
        <w:rPr>
          <w:rFonts w:cs="Arial"/>
        </w:rPr>
        <w:t xml:space="preserve"> J A, </w:t>
      </w:r>
      <w:proofErr w:type="spellStart"/>
      <w:r w:rsidRPr="00285645">
        <w:rPr>
          <w:rFonts w:cs="Arial"/>
        </w:rPr>
        <w:t>Pontikes</w:t>
      </w:r>
      <w:proofErr w:type="spellEnd"/>
      <w:r w:rsidRPr="00285645">
        <w:rPr>
          <w:rFonts w:cs="Arial"/>
        </w:rPr>
        <w:t xml:space="preserve"> P J.  Leukotriene modifiers to prevent aspirin-provoked respiratory reactions in asthmatics.  Ann </w:t>
      </w:r>
      <w:proofErr w:type="spellStart"/>
      <w:r w:rsidRPr="00285645">
        <w:rPr>
          <w:rFonts w:cs="Arial"/>
        </w:rPr>
        <w:t>Pharmacother</w:t>
      </w:r>
      <w:proofErr w:type="spellEnd"/>
      <w:r w:rsidRPr="00285645">
        <w:rPr>
          <w:rFonts w:cs="Arial"/>
        </w:rPr>
        <w:t xml:space="preserve"> 2002; 36: 1457-61.</w:t>
      </w:r>
    </w:p>
    <w:p w14:paraId="6F031ACB" w14:textId="77777777" w:rsidR="00285645" w:rsidRDefault="00202C83" w:rsidP="00285645">
      <w:pPr>
        <w:pStyle w:val="ListParagraph"/>
        <w:numPr>
          <w:ilvl w:val="0"/>
          <w:numId w:val="26"/>
        </w:numPr>
      </w:pPr>
      <w:r>
        <w:t>K</w:t>
      </w:r>
      <w:r w:rsidRPr="000D4522">
        <w:t>nowles S R</w:t>
      </w:r>
      <w:r>
        <w:t>, Drucker A M, Weber E A et al.</w:t>
      </w:r>
      <w:r w:rsidRPr="000D4522">
        <w:t xml:space="preserve">  Management options for patients with aspirin and nonsteroidal </w:t>
      </w:r>
      <w:proofErr w:type="spellStart"/>
      <w:r w:rsidRPr="000D4522">
        <w:t>antiinflammatory</w:t>
      </w:r>
      <w:proofErr w:type="spellEnd"/>
      <w:r w:rsidRPr="000D4522">
        <w:t xml:space="preserve"> drug sensitivity. Ann </w:t>
      </w:r>
      <w:proofErr w:type="spellStart"/>
      <w:r w:rsidRPr="000D4522">
        <w:t>Phar</w:t>
      </w:r>
      <w:r>
        <w:t>m</w:t>
      </w:r>
      <w:r w:rsidRPr="000D4522">
        <w:t>acother</w:t>
      </w:r>
      <w:proofErr w:type="spellEnd"/>
      <w:r w:rsidRPr="000D4522">
        <w:t xml:space="preserve"> 2007; 41: 1191-200</w:t>
      </w:r>
    </w:p>
    <w:p w14:paraId="5CEC5A6F" w14:textId="77777777" w:rsidR="00285645" w:rsidRDefault="004E7C90" w:rsidP="00285645">
      <w:pPr>
        <w:pStyle w:val="ListParagraph"/>
        <w:numPr>
          <w:ilvl w:val="0"/>
          <w:numId w:val="26"/>
        </w:numPr>
      </w:pPr>
      <w:r>
        <w:t>S</w:t>
      </w:r>
      <w:r w:rsidRPr="00977410">
        <w:t xml:space="preserve">ummary of Product Characteristics – </w:t>
      </w:r>
      <w:proofErr w:type="spellStart"/>
      <w:r w:rsidRPr="00285645">
        <w:rPr>
          <w:bCs/>
          <w:lang w:eastAsia="en-GB"/>
        </w:rPr>
        <w:t>Singulair</w:t>
      </w:r>
      <w:proofErr w:type="spellEnd"/>
      <w:r w:rsidRPr="00285645">
        <w:rPr>
          <w:bCs/>
          <w:lang w:eastAsia="en-GB"/>
        </w:rPr>
        <w:t xml:space="preserve"> (</w:t>
      </w:r>
      <w:proofErr w:type="spellStart"/>
      <w:r w:rsidRPr="00285645">
        <w:rPr>
          <w:bCs/>
          <w:lang w:eastAsia="en-GB"/>
        </w:rPr>
        <w:t>montelukast</w:t>
      </w:r>
      <w:proofErr w:type="spellEnd"/>
      <w:r w:rsidRPr="00285645">
        <w:rPr>
          <w:bCs/>
          <w:lang w:eastAsia="en-GB"/>
        </w:rPr>
        <w:t>) 10 mg Tablets/4 and 5 mg Paediatric Tablets/4mg paediatric granules</w:t>
      </w:r>
      <w:r>
        <w:t>.</w:t>
      </w:r>
      <w:r w:rsidRPr="00977410">
        <w:t xml:space="preserve"> M</w:t>
      </w:r>
      <w:r>
        <w:t xml:space="preserve">erck </w:t>
      </w:r>
      <w:r w:rsidRPr="00977410">
        <w:t>S</w:t>
      </w:r>
      <w:r>
        <w:t xml:space="preserve">harp and </w:t>
      </w:r>
      <w:r w:rsidRPr="00977410">
        <w:t>D</w:t>
      </w:r>
      <w:r>
        <w:t>ohme</w:t>
      </w:r>
      <w:r w:rsidRPr="00977410">
        <w:t xml:space="preserve"> Ltd. </w:t>
      </w:r>
      <w:r w:rsidR="00540D77" w:rsidRPr="00285645">
        <w:t>[cited 11 July 2019].</w:t>
      </w:r>
      <w:r w:rsidR="00540D77">
        <w:t xml:space="preserve"> </w:t>
      </w:r>
      <w:r w:rsidRPr="00977410">
        <w:t xml:space="preserve">Accessed via </w:t>
      </w:r>
      <w:hyperlink r:id="rId18" w:history="1">
        <w:r w:rsidR="00B374D0" w:rsidRPr="009D29EB">
          <w:rPr>
            <w:rStyle w:val="Hyperlink"/>
          </w:rPr>
          <w:t>https://www.medicines.org.uk/emc</w:t>
        </w:r>
      </w:hyperlink>
      <w:r>
        <w:t xml:space="preserve">.  </w:t>
      </w:r>
    </w:p>
    <w:p w14:paraId="0D6F9658" w14:textId="77777777" w:rsidR="00285645" w:rsidRPr="00285645" w:rsidRDefault="0091596A" w:rsidP="00285645">
      <w:pPr>
        <w:pStyle w:val="ListParagraph"/>
        <w:numPr>
          <w:ilvl w:val="0"/>
          <w:numId w:val="26"/>
        </w:numPr>
      </w:pPr>
      <w:r w:rsidRPr="00285645">
        <w:rPr>
          <w:rFonts w:cs="Arial"/>
          <w:color w:val="282828"/>
        </w:rPr>
        <w:t xml:space="preserve">Porcaro F.; Di Marco A.; </w:t>
      </w:r>
      <w:proofErr w:type="spellStart"/>
      <w:r w:rsidRPr="00285645">
        <w:rPr>
          <w:rFonts w:cs="Arial"/>
          <w:color w:val="282828"/>
        </w:rPr>
        <w:t>Cutrera</w:t>
      </w:r>
      <w:proofErr w:type="spellEnd"/>
      <w:r w:rsidRPr="00285645">
        <w:rPr>
          <w:rFonts w:cs="Arial"/>
          <w:color w:val="282828"/>
        </w:rPr>
        <w:t xml:space="preserve"> R</w:t>
      </w:r>
      <w:r w:rsidRPr="00285645">
        <w:rPr>
          <w:rFonts w:cs="Arial"/>
        </w:rPr>
        <w:t xml:space="preserve">. </w:t>
      </w:r>
      <w:proofErr w:type="spellStart"/>
      <w:r w:rsidRPr="00285645">
        <w:rPr>
          <w:rFonts w:cs="Arial"/>
        </w:rPr>
        <w:t>Omalizumab</w:t>
      </w:r>
      <w:proofErr w:type="spellEnd"/>
      <w:r w:rsidRPr="00285645">
        <w:rPr>
          <w:rFonts w:cs="Arial"/>
        </w:rPr>
        <w:t xml:space="preserve"> in patient with aspirin exacerbated respiratory disease and chronic idiopathic </w:t>
      </w:r>
      <w:proofErr w:type="spellStart"/>
      <w:r w:rsidRPr="00285645">
        <w:rPr>
          <w:rFonts w:cs="Arial"/>
        </w:rPr>
        <w:t>urticaria</w:t>
      </w:r>
      <w:proofErr w:type="spellEnd"/>
      <w:r w:rsidRPr="00285645">
        <w:rPr>
          <w:rFonts w:cs="Arial"/>
        </w:rPr>
        <w:t xml:space="preserve">. </w:t>
      </w:r>
      <w:proofErr w:type="spellStart"/>
      <w:r w:rsidRPr="00285645">
        <w:rPr>
          <w:rFonts w:cs="Arial"/>
        </w:rPr>
        <w:t>Pediatric</w:t>
      </w:r>
      <w:proofErr w:type="spellEnd"/>
      <w:r w:rsidRPr="00285645">
        <w:rPr>
          <w:rFonts w:cs="Arial"/>
        </w:rPr>
        <w:t xml:space="preserve"> Pulmonary. </w:t>
      </w:r>
      <w:r w:rsidRPr="00285645">
        <w:rPr>
          <w:rFonts w:cs="Arial"/>
          <w:color w:val="282828"/>
        </w:rPr>
        <w:t>May 2017; 52 (5):1-3</w:t>
      </w:r>
      <w:r w:rsidRPr="00285645">
        <w:rPr>
          <w:rFonts w:cs="Arial"/>
        </w:rPr>
        <w:t xml:space="preserve"> </w:t>
      </w:r>
    </w:p>
    <w:p w14:paraId="1D22A5D0" w14:textId="77777777" w:rsidR="00285645" w:rsidRPr="00285645" w:rsidRDefault="00031B38" w:rsidP="00285645">
      <w:pPr>
        <w:pStyle w:val="ListParagraph"/>
        <w:numPr>
          <w:ilvl w:val="0"/>
          <w:numId w:val="26"/>
        </w:numPr>
      </w:pPr>
      <w:proofErr w:type="spellStart"/>
      <w:r w:rsidRPr="00285645">
        <w:rPr>
          <w:rFonts w:cs="Arial"/>
          <w:bCs/>
        </w:rPr>
        <w:t>Sakalar</w:t>
      </w:r>
      <w:proofErr w:type="spellEnd"/>
      <w:r w:rsidRPr="00285645">
        <w:rPr>
          <w:rFonts w:cs="Arial"/>
          <w:bCs/>
        </w:rPr>
        <w:t xml:space="preserve"> E.G.; </w:t>
      </w:r>
      <w:proofErr w:type="spellStart"/>
      <w:r w:rsidRPr="00285645">
        <w:rPr>
          <w:rFonts w:cs="Arial"/>
          <w:bCs/>
        </w:rPr>
        <w:t>Muluk</w:t>
      </w:r>
      <w:proofErr w:type="spellEnd"/>
      <w:r w:rsidRPr="00285645">
        <w:rPr>
          <w:rFonts w:cs="Arial"/>
          <w:bCs/>
        </w:rPr>
        <w:t xml:space="preserve"> N.B.; </w:t>
      </w:r>
      <w:proofErr w:type="spellStart"/>
      <w:r w:rsidRPr="00285645">
        <w:rPr>
          <w:rFonts w:cs="Arial"/>
          <w:bCs/>
        </w:rPr>
        <w:t>Kar</w:t>
      </w:r>
      <w:proofErr w:type="spellEnd"/>
      <w:r w:rsidRPr="00285645">
        <w:rPr>
          <w:rFonts w:cs="Arial"/>
          <w:bCs/>
        </w:rPr>
        <w:t xml:space="preserve"> M. et al. Aspirin-exacerbated respiratory disease and current treatment modalities. European Archives of Oto-Rhino-Laryngology; Mar 2017; 274 (3):1291-1300</w:t>
      </w:r>
    </w:p>
    <w:p w14:paraId="03687DC7" w14:textId="77777777" w:rsidR="00285645" w:rsidRDefault="00B55F1F" w:rsidP="00285645">
      <w:pPr>
        <w:pStyle w:val="ListParagraph"/>
        <w:numPr>
          <w:ilvl w:val="0"/>
          <w:numId w:val="26"/>
        </w:numPr>
      </w:pPr>
      <w:proofErr w:type="spellStart"/>
      <w:r>
        <w:t>Aksu</w:t>
      </w:r>
      <w:proofErr w:type="spellEnd"/>
      <w:r>
        <w:t xml:space="preserve"> K, Kurt E.</w:t>
      </w:r>
      <w:r w:rsidR="00B3146B">
        <w:t xml:space="preserve"> Aspirin tolerance following </w:t>
      </w:r>
      <w:proofErr w:type="spellStart"/>
      <w:r w:rsidR="00B3146B">
        <w:t>omalizumab</w:t>
      </w:r>
      <w:proofErr w:type="spellEnd"/>
      <w:r w:rsidR="00B3146B">
        <w:t xml:space="preserve"> therapy in a patient with aspirin-exacerbated respiratory disease. </w:t>
      </w:r>
      <w:proofErr w:type="spellStart"/>
      <w:r w:rsidR="00B3146B">
        <w:t>Allergol</w:t>
      </w:r>
      <w:proofErr w:type="spellEnd"/>
      <w:r w:rsidR="00B3146B">
        <w:t xml:space="preserve"> </w:t>
      </w:r>
      <w:proofErr w:type="spellStart"/>
      <w:r w:rsidR="00B3146B">
        <w:t>Immunopathol</w:t>
      </w:r>
      <w:proofErr w:type="spellEnd"/>
      <w:r w:rsidR="00B3146B">
        <w:t xml:space="preserve"> (</w:t>
      </w:r>
      <w:proofErr w:type="spellStart"/>
      <w:r w:rsidR="00B3146B">
        <w:t>Madr</w:t>
      </w:r>
      <w:proofErr w:type="spellEnd"/>
      <w:r w:rsidR="00B3146B">
        <w:t>). 2013; 41(3):208-10</w:t>
      </w:r>
    </w:p>
    <w:p w14:paraId="41FB511B" w14:textId="77777777" w:rsidR="00285645" w:rsidRDefault="00B3146B" w:rsidP="00285645">
      <w:pPr>
        <w:pStyle w:val="ListParagraph"/>
        <w:numPr>
          <w:ilvl w:val="0"/>
          <w:numId w:val="26"/>
        </w:numPr>
      </w:pPr>
      <w:proofErr w:type="spellStart"/>
      <w:r>
        <w:t>Bo</w:t>
      </w:r>
      <w:r w:rsidR="00277A4E">
        <w:t>bolea</w:t>
      </w:r>
      <w:proofErr w:type="spellEnd"/>
      <w:r w:rsidR="00277A4E">
        <w:t xml:space="preserve"> I, </w:t>
      </w:r>
      <w:proofErr w:type="spellStart"/>
      <w:r w:rsidR="00277A4E">
        <w:t>Barranco</w:t>
      </w:r>
      <w:proofErr w:type="spellEnd"/>
      <w:r w:rsidR="00277A4E">
        <w:t xml:space="preserve"> P, </w:t>
      </w:r>
      <w:proofErr w:type="spellStart"/>
      <w:r w:rsidR="00277A4E">
        <w:t>Fiandor</w:t>
      </w:r>
      <w:proofErr w:type="spellEnd"/>
      <w:r w:rsidR="00277A4E">
        <w:t xml:space="preserve"> A </w:t>
      </w:r>
      <w:r>
        <w:t xml:space="preserve">et al. </w:t>
      </w:r>
      <w:proofErr w:type="spellStart"/>
      <w:r>
        <w:t>Omalizumab</w:t>
      </w:r>
      <w:proofErr w:type="spellEnd"/>
      <w:r>
        <w:t>: a potential new therapeutic approach for aspirin-exacerbated respiratory disease. J</w:t>
      </w:r>
      <w:r w:rsidR="0024148A">
        <w:t>ournal</w:t>
      </w:r>
      <w:r>
        <w:t xml:space="preserve"> Investig</w:t>
      </w:r>
      <w:r w:rsidR="0024148A">
        <w:t>ational</w:t>
      </w:r>
      <w:r>
        <w:t xml:space="preserve"> </w:t>
      </w:r>
      <w:proofErr w:type="spellStart"/>
      <w:r>
        <w:t>Allergol</w:t>
      </w:r>
      <w:r w:rsidR="00F57BAD">
        <w:t>ogy</w:t>
      </w:r>
      <w:proofErr w:type="spellEnd"/>
      <w:r>
        <w:t xml:space="preserve"> Clin</w:t>
      </w:r>
      <w:r w:rsidR="0024148A">
        <w:t>ical</w:t>
      </w:r>
      <w:r>
        <w:t xml:space="preserve"> Immunol</w:t>
      </w:r>
      <w:r w:rsidR="0024148A">
        <w:t>ogy</w:t>
      </w:r>
      <w:r>
        <w:t xml:space="preserve">. </w:t>
      </w:r>
      <w:r w:rsidRPr="00285645">
        <w:t>2010;</w:t>
      </w:r>
      <w:r w:rsidR="00F57BAD" w:rsidRPr="00285645">
        <w:t xml:space="preserve"> </w:t>
      </w:r>
      <w:r w:rsidRPr="00285645">
        <w:t xml:space="preserve">20(5):448-9. </w:t>
      </w:r>
    </w:p>
    <w:p w14:paraId="0D4A541A" w14:textId="77777777" w:rsidR="00285645" w:rsidRPr="00285645" w:rsidRDefault="00511075" w:rsidP="00285645">
      <w:pPr>
        <w:pStyle w:val="ListParagraph"/>
        <w:numPr>
          <w:ilvl w:val="0"/>
          <w:numId w:val="26"/>
        </w:numPr>
      </w:pPr>
      <w:hyperlink r:id="rId19" w:history="1">
        <w:r w:rsidR="000B05BA" w:rsidRPr="00285645">
          <w:rPr>
            <w:rFonts w:eastAsiaTheme="minorHAnsi" w:cs="Arial"/>
          </w:rPr>
          <w:t xml:space="preserve">Bergmann KC, </w:t>
        </w:r>
        <w:proofErr w:type="spellStart"/>
        <w:r w:rsidR="000B05BA" w:rsidRPr="00285645">
          <w:rPr>
            <w:rFonts w:eastAsiaTheme="minorHAnsi" w:cs="Arial"/>
          </w:rPr>
          <w:t>Zuberbier</w:t>
        </w:r>
        <w:proofErr w:type="spellEnd"/>
        <w:r w:rsidR="000B05BA" w:rsidRPr="00285645">
          <w:rPr>
            <w:rFonts w:eastAsiaTheme="minorHAnsi" w:cs="Arial"/>
          </w:rPr>
          <w:t xml:space="preserve"> T, Church MK. </w:t>
        </w:r>
      </w:hyperlink>
      <w:proofErr w:type="spellStart"/>
      <w:r w:rsidR="000B05BA" w:rsidRPr="00285645">
        <w:rPr>
          <w:rFonts w:eastAsiaTheme="minorHAnsi" w:cs="Arial"/>
        </w:rPr>
        <w:t>Omalizumab</w:t>
      </w:r>
      <w:proofErr w:type="spellEnd"/>
      <w:r w:rsidR="000B05BA" w:rsidRPr="00285645">
        <w:rPr>
          <w:rFonts w:eastAsiaTheme="minorHAnsi" w:cs="Arial"/>
        </w:rPr>
        <w:t xml:space="preserve"> in the treatment of aspirin-exacerbated respiratory disease. The Journal of Allergy and Clinical Immunology: In Practice. 2015</w:t>
      </w:r>
      <w:proofErr w:type="gramStart"/>
      <w:r w:rsidR="000B05BA" w:rsidRPr="00285645">
        <w:rPr>
          <w:rFonts w:eastAsiaTheme="minorHAnsi" w:cs="Arial"/>
        </w:rPr>
        <w:t>;3</w:t>
      </w:r>
      <w:proofErr w:type="gramEnd"/>
      <w:r w:rsidR="000B05BA" w:rsidRPr="00285645">
        <w:rPr>
          <w:rFonts w:eastAsiaTheme="minorHAnsi" w:cs="Arial"/>
        </w:rPr>
        <w:t>(3):459-60.</w:t>
      </w:r>
    </w:p>
    <w:p w14:paraId="70443BAC" w14:textId="77777777" w:rsidR="00285645" w:rsidRPr="00285645" w:rsidRDefault="008D2CB1" w:rsidP="00285645">
      <w:pPr>
        <w:pStyle w:val="ListParagraph"/>
        <w:numPr>
          <w:ilvl w:val="0"/>
          <w:numId w:val="26"/>
        </w:numPr>
      </w:pPr>
      <w:r w:rsidRPr="00285645">
        <w:rPr>
          <w:rFonts w:cs="Arial"/>
        </w:rPr>
        <w:t xml:space="preserve">Porcaro F.; Di Marco A.; </w:t>
      </w:r>
      <w:proofErr w:type="spellStart"/>
      <w:r w:rsidRPr="00285645">
        <w:rPr>
          <w:rFonts w:cs="Arial"/>
        </w:rPr>
        <w:t>Cutrera</w:t>
      </w:r>
      <w:proofErr w:type="spellEnd"/>
      <w:r w:rsidRPr="00285645">
        <w:rPr>
          <w:rFonts w:cs="Arial"/>
        </w:rPr>
        <w:t xml:space="preserve"> R. </w:t>
      </w:r>
      <w:proofErr w:type="spellStart"/>
      <w:r w:rsidRPr="00285645">
        <w:rPr>
          <w:rFonts w:cs="Arial"/>
          <w:bCs/>
        </w:rPr>
        <w:t>Omalizumab</w:t>
      </w:r>
      <w:proofErr w:type="spellEnd"/>
      <w:r w:rsidRPr="00285645">
        <w:rPr>
          <w:rFonts w:cs="Arial"/>
          <w:bCs/>
        </w:rPr>
        <w:t xml:space="preserve"> in patient with aspirin exacerbated respiratory disease and chronic idiopathic urticarial.</w:t>
      </w:r>
      <w:r w:rsidRPr="00285645">
        <w:rPr>
          <w:rFonts w:cs="Arial"/>
          <w:b/>
          <w:bCs/>
        </w:rPr>
        <w:t xml:space="preserve"> </w:t>
      </w:r>
      <w:proofErr w:type="spellStart"/>
      <w:r w:rsidRPr="00285645">
        <w:rPr>
          <w:rFonts w:cs="Arial"/>
        </w:rPr>
        <w:t>Pediatric</w:t>
      </w:r>
      <w:proofErr w:type="spellEnd"/>
      <w:r w:rsidRPr="00285645">
        <w:rPr>
          <w:rFonts w:cs="Arial"/>
        </w:rPr>
        <w:t xml:space="preserve"> Pulmonology 2017; 52 (5): 1-3</w:t>
      </w:r>
    </w:p>
    <w:p w14:paraId="76EB43AB" w14:textId="04B23218" w:rsidR="00526C92" w:rsidRDefault="00511075" w:rsidP="00285645">
      <w:pPr>
        <w:pStyle w:val="ListParagraph"/>
        <w:numPr>
          <w:ilvl w:val="0"/>
          <w:numId w:val="26"/>
        </w:numPr>
      </w:pPr>
      <w:hyperlink r:id="rId20" w:history="1">
        <w:proofErr w:type="spellStart"/>
        <w:r w:rsidR="00526C92" w:rsidRPr="00526C92">
          <w:t>Gevaert</w:t>
        </w:r>
        <w:proofErr w:type="spellEnd"/>
        <w:r w:rsidR="00526C92" w:rsidRPr="00526C92">
          <w:t xml:space="preserve"> P, Van </w:t>
        </w:r>
        <w:proofErr w:type="spellStart"/>
        <w:r w:rsidR="00526C92" w:rsidRPr="00526C92">
          <w:t>Bruaene</w:t>
        </w:r>
        <w:proofErr w:type="spellEnd"/>
        <w:r w:rsidR="00526C92" w:rsidRPr="00526C92">
          <w:t xml:space="preserve"> N, </w:t>
        </w:r>
        <w:proofErr w:type="spellStart"/>
        <w:r w:rsidR="00526C92" w:rsidRPr="00526C92">
          <w:t>Cattaert</w:t>
        </w:r>
        <w:proofErr w:type="spellEnd"/>
        <w:r w:rsidR="00526C92" w:rsidRPr="00526C92">
          <w:t xml:space="preserve"> T et al. </w:t>
        </w:r>
      </w:hyperlink>
      <w:proofErr w:type="spellStart"/>
      <w:r w:rsidR="00526C92" w:rsidRPr="00526C92">
        <w:t>Mepolizumab</w:t>
      </w:r>
      <w:proofErr w:type="spellEnd"/>
      <w:r w:rsidR="00526C92" w:rsidRPr="00526C92">
        <w:t xml:space="preserve">, a humanized anti-IL-5 </w:t>
      </w:r>
      <w:proofErr w:type="spellStart"/>
      <w:r w:rsidR="00526C92" w:rsidRPr="00526C92">
        <w:t>mAb</w:t>
      </w:r>
      <w:proofErr w:type="spellEnd"/>
      <w:r w:rsidR="00526C92" w:rsidRPr="00526C92">
        <w:t xml:space="preserve">, as a treatment option for severe nasal polyposis. </w:t>
      </w:r>
      <w:r w:rsidR="00526C92">
        <w:t xml:space="preserve">J Allergy </w:t>
      </w:r>
      <w:proofErr w:type="spellStart"/>
      <w:r w:rsidR="00526C92">
        <w:t>Clin</w:t>
      </w:r>
      <w:proofErr w:type="spellEnd"/>
      <w:r w:rsidR="00526C92">
        <w:t xml:space="preserve"> </w:t>
      </w:r>
      <w:proofErr w:type="spellStart"/>
      <w:r w:rsidR="00526C92">
        <w:t>Immunol</w:t>
      </w:r>
      <w:proofErr w:type="spellEnd"/>
      <w:r w:rsidR="00526C92">
        <w:t>. 2011</w:t>
      </w:r>
      <w:proofErr w:type="gramStart"/>
      <w:r w:rsidR="00526C92" w:rsidRPr="00526C92">
        <w:t>;128</w:t>
      </w:r>
      <w:proofErr w:type="gramEnd"/>
      <w:r w:rsidR="00526C92">
        <w:t xml:space="preserve"> </w:t>
      </w:r>
      <w:r w:rsidR="00526C92" w:rsidRPr="00526C92">
        <w:t>(5):989-95.</w:t>
      </w:r>
      <w:r w:rsidR="00526C92">
        <w:t xml:space="preserve"> </w:t>
      </w:r>
      <w:proofErr w:type="gramStart"/>
      <w:r w:rsidR="00526C92" w:rsidRPr="00526C92">
        <w:t>e1-8</w:t>
      </w:r>
      <w:proofErr w:type="gramEnd"/>
      <w:r w:rsidR="00526C92" w:rsidRPr="00526C92">
        <w:t xml:space="preserve">. </w:t>
      </w:r>
    </w:p>
    <w:p w14:paraId="4F33B621" w14:textId="6BD05016" w:rsidR="00044035" w:rsidRDefault="00044035">
      <w:r>
        <w:br w:type="page"/>
      </w:r>
    </w:p>
    <w:p w14:paraId="40AEC289" w14:textId="77777777" w:rsidR="00427F92" w:rsidRPr="00B1695F" w:rsidRDefault="00427F92" w:rsidP="00A34595">
      <w:pPr>
        <w:pStyle w:val="Heading2"/>
      </w:pPr>
      <w:r w:rsidRPr="00B00B12">
        <w:t xml:space="preserve">Quality Assurance </w:t>
      </w:r>
    </w:p>
    <w:p w14:paraId="0B69DE3C" w14:textId="77777777" w:rsidR="00427F92" w:rsidRPr="00044035" w:rsidRDefault="00427F92" w:rsidP="00A34595">
      <w:pPr>
        <w:pStyle w:val="Heading3"/>
        <w:spacing w:line="240" w:lineRule="auto"/>
        <w:rPr>
          <w:sz w:val="18"/>
          <w:szCs w:val="18"/>
          <w:lang w:val="en-US"/>
        </w:rPr>
      </w:pPr>
      <w:r w:rsidRPr="00044035">
        <w:rPr>
          <w:sz w:val="18"/>
          <w:szCs w:val="18"/>
          <w:lang w:val="en-US"/>
        </w:rPr>
        <w:t>Prepared by</w:t>
      </w:r>
    </w:p>
    <w:p w14:paraId="32678E5F" w14:textId="58985D2D" w:rsidR="00155C6D" w:rsidRPr="00044035" w:rsidRDefault="005010C1" w:rsidP="00A34595">
      <w:pPr>
        <w:autoSpaceDE w:val="0"/>
        <w:autoSpaceDN w:val="0"/>
        <w:adjustRightInd w:val="0"/>
        <w:spacing w:line="240" w:lineRule="auto"/>
        <w:rPr>
          <w:sz w:val="18"/>
          <w:szCs w:val="18"/>
        </w:rPr>
      </w:pPr>
      <w:proofErr w:type="spellStart"/>
      <w:r w:rsidRPr="00044035">
        <w:rPr>
          <w:color w:val="000000"/>
          <w:sz w:val="18"/>
          <w:szCs w:val="18"/>
        </w:rPr>
        <w:t>Satpal</w:t>
      </w:r>
      <w:proofErr w:type="spellEnd"/>
      <w:r w:rsidRPr="00044035">
        <w:rPr>
          <w:color w:val="000000"/>
          <w:sz w:val="18"/>
          <w:szCs w:val="18"/>
        </w:rPr>
        <w:t xml:space="preserve"> </w:t>
      </w:r>
      <w:proofErr w:type="spellStart"/>
      <w:r w:rsidRPr="00044035">
        <w:rPr>
          <w:color w:val="000000"/>
          <w:sz w:val="18"/>
          <w:szCs w:val="18"/>
        </w:rPr>
        <w:t>Soor</w:t>
      </w:r>
      <w:proofErr w:type="spellEnd"/>
      <w:r w:rsidRPr="00044035">
        <w:rPr>
          <w:color w:val="000000"/>
          <w:sz w:val="18"/>
          <w:szCs w:val="18"/>
        </w:rPr>
        <w:t>,</w:t>
      </w:r>
      <w:r w:rsidR="00CF7BAF" w:rsidRPr="00044035">
        <w:rPr>
          <w:color w:val="000000"/>
          <w:sz w:val="18"/>
          <w:szCs w:val="18"/>
        </w:rPr>
        <w:t xml:space="preserve"> </w:t>
      </w:r>
      <w:r w:rsidR="00CF7BAF" w:rsidRPr="00044035">
        <w:rPr>
          <w:color w:val="000000"/>
          <w:sz w:val="18"/>
          <w:szCs w:val="18"/>
        </w:rPr>
        <w:t>London and South-East</w:t>
      </w:r>
      <w:r w:rsidRPr="00044035">
        <w:rPr>
          <w:color w:val="000000"/>
          <w:sz w:val="18"/>
          <w:szCs w:val="18"/>
        </w:rPr>
        <w:t xml:space="preserve"> </w:t>
      </w:r>
      <w:r w:rsidR="00155C6D" w:rsidRPr="00044035">
        <w:rPr>
          <w:color w:val="000000"/>
          <w:sz w:val="18"/>
          <w:szCs w:val="18"/>
        </w:rPr>
        <w:t xml:space="preserve">Regional Medicines Information, </w:t>
      </w:r>
      <w:r w:rsidR="00155C6D" w:rsidRPr="00044035">
        <w:rPr>
          <w:sz w:val="18"/>
          <w:szCs w:val="18"/>
        </w:rPr>
        <w:t>(May 2008)</w:t>
      </w:r>
    </w:p>
    <w:p w14:paraId="1C06829A" w14:textId="1382E07F" w:rsidR="00155C6D" w:rsidRPr="00044035" w:rsidRDefault="00155C6D" w:rsidP="00155C6D">
      <w:pPr>
        <w:pStyle w:val="Heading3"/>
        <w:spacing w:line="240" w:lineRule="auto"/>
        <w:rPr>
          <w:sz w:val="18"/>
          <w:szCs w:val="18"/>
          <w:lang w:val="en-US"/>
        </w:rPr>
      </w:pPr>
      <w:r w:rsidRPr="00044035">
        <w:rPr>
          <w:sz w:val="18"/>
          <w:szCs w:val="18"/>
          <w:lang w:val="en-US"/>
        </w:rPr>
        <w:t>Updated by</w:t>
      </w:r>
    </w:p>
    <w:p w14:paraId="63A56F41" w14:textId="1C007515" w:rsidR="00155C6D" w:rsidRPr="00044035" w:rsidRDefault="00155C6D" w:rsidP="00155C6D">
      <w:pPr>
        <w:rPr>
          <w:rFonts w:cs="Arial"/>
          <w:sz w:val="18"/>
          <w:szCs w:val="18"/>
        </w:rPr>
      </w:pPr>
      <w:r w:rsidRPr="00044035">
        <w:rPr>
          <w:rFonts w:cs="Arial"/>
          <w:sz w:val="18"/>
          <w:szCs w:val="18"/>
        </w:rPr>
        <w:t xml:space="preserve">Hina Radia, </w:t>
      </w:r>
      <w:r w:rsidR="00CF7BAF" w:rsidRPr="00044035">
        <w:rPr>
          <w:color w:val="000000"/>
          <w:sz w:val="18"/>
          <w:szCs w:val="18"/>
        </w:rPr>
        <w:t>London and South-</w:t>
      </w:r>
      <w:proofErr w:type="spellStart"/>
      <w:r w:rsidR="00CF7BAF" w:rsidRPr="00044035">
        <w:rPr>
          <w:color w:val="000000"/>
          <w:sz w:val="18"/>
          <w:szCs w:val="18"/>
        </w:rPr>
        <w:t>Eas</w:t>
      </w:r>
      <w:proofErr w:type="spellEnd"/>
      <w:r w:rsidR="005010C1" w:rsidRPr="00044035">
        <w:rPr>
          <w:color w:val="000000"/>
          <w:sz w:val="18"/>
          <w:szCs w:val="18"/>
        </w:rPr>
        <w:t xml:space="preserve"> </w:t>
      </w:r>
      <w:proofErr w:type="spellStart"/>
      <w:r w:rsidR="00CF7BAF" w:rsidRPr="00044035">
        <w:rPr>
          <w:color w:val="000000"/>
          <w:sz w:val="18"/>
          <w:szCs w:val="18"/>
        </w:rPr>
        <w:t>tRegional</w:t>
      </w:r>
      <w:proofErr w:type="spellEnd"/>
      <w:r w:rsidR="00CF7BAF" w:rsidRPr="00044035">
        <w:rPr>
          <w:color w:val="000000"/>
          <w:sz w:val="18"/>
          <w:szCs w:val="18"/>
        </w:rPr>
        <w:t xml:space="preserve"> Medicines Information</w:t>
      </w:r>
      <w:r w:rsidR="00CF7BAF" w:rsidRPr="00044035" w:rsidDel="00CF7BAF">
        <w:rPr>
          <w:rFonts w:cs="Arial"/>
          <w:sz w:val="18"/>
          <w:szCs w:val="18"/>
        </w:rPr>
        <w:t xml:space="preserve"> </w:t>
      </w:r>
      <w:r w:rsidRPr="00044035">
        <w:rPr>
          <w:sz w:val="18"/>
          <w:szCs w:val="18"/>
        </w:rPr>
        <w:t>(</w:t>
      </w:r>
      <w:r w:rsidRPr="00044035">
        <w:rPr>
          <w:rFonts w:cs="Arial"/>
          <w:sz w:val="18"/>
          <w:szCs w:val="18"/>
        </w:rPr>
        <w:t>October 2012)</w:t>
      </w:r>
    </w:p>
    <w:p w14:paraId="0DEB9412" w14:textId="77777777" w:rsidR="00285645" w:rsidRPr="00044035" w:rsidRDefault="00285645" w:rsidP="00285645">
      <w:pPr>
        <w:pStyle w:val="Heading3"/>
        <w:spacing w:line="240" w:lineRule="auto"/>
        <w:rPr>
          <w:sz w:val="18"/>
          <w:szCs w:val="18"/>
          <w:lang w:val="en-US"/>
        </w:rPr>
      </w:pPr>
      <w:r w:rsidRPr="00044035">
        <w:rPr>
          <w:sz w:val="18"/>
          <w:szCs w:val="18"/>
          <w:lang w:val="en-US"/>
        </w:rPr>
        <w:t>Updated by</w:t>
      </w:r>
    </w:p>
    <w:p w14:paraId="513D1D61" w14:textId="08576669" w:rsidR="007803B6" w:rsidRPr="00044035" w:rsidRDefault="00645B83" w:rsidP="00A34595">
      <w:pPr>
        <w:autoSpaceDE w:val="0"/>
        <w:autoSpaceDN w:val="0"/>
        <w:adjustRightInd w:val="0"/>
        <w:spacing w:line="240" w:lineRule="auto"/>
        <w:rPr>
          <w:color w:val="000000"/>
          <w:sz w:val="18"/>
          <w:szCs w:val="18"/>
        </w:rPr>
      </w:pPr>
      <w:r w:rsidRPr="00044035">
        <w:rPr>
          <w:sz w:val="18"/>
          <w:szCs w:val="18"/>
          <w:lang w:val="en-US"/>
        </w:rPr>
        <w:t>Cherry Chung</w:t>
      </w:r>
      <w:r w:rsidR="007803B6" w:rsidRPr="00044035">
        <w:rPr>
          <w:sz w:val="18"/>
          <w:szCs w:val="18"/>
          <w:lang w:val="en-US"/>
        </w:rPr>
        <w:t xml:space="preserve">, </w:t>
      </w:r>
      <w:r w:rsidR="00CF7BAF" w:rsidRPr="00044035">
        <w:rPr>
          <w:color w:val="000000"/>
          <w:sz w:val="18"/>
          <w:szCs w:val="18"/>
        </w:rPr>
        <w:t>London and South-East</w:t>
      </w:r>
      <w:r w:rsidR="005010C1" w:rsidRPr="00044035">
        <w:rPr>
          <w:color w:val="000000"/>
          <w:sz w:val="18"/>
          <w:szCs w:val="18"/>
        </w:rPr>
        <w:t xml:space="preserve"> </w:t>
      </w:r>
      <w:r w:rsidR="00CF7BAF" w:rsidRPr="00044035">
        <w:rPr>
          <w:color w:val="000000"/>
          <w:sz w:val="18"/>
          <w:szCs w:val="18"/>
        </w:rPr>
        <w:t>Regional Medicines Information</w:t>
      </w:r>
      <w:r w:rsidR="00CF7BAF" w:rsidRPr="00044035" w:rsidDel="00CF7BAF">
        <w:rPr>
          <w:rFonts w:cs="Arial"/>
          <w:sz w:val="18"/>
          <w:szCs w:val="18"/>
        </w:rPr>
        <w:t xml:space="preserve"> </w:t>
      </w:r>
      <w:r w:rsidR="00155C6D" w:rsidRPr="00044035">
        <w:rPr>
          <w:color w:val="000000"/>
          <w:sz w:val="18"/>
          <w:szCs w:val="18"/>
        </w:rPr>
        <w:t>(May 2020)</w:t>
      </w:r>
      <w:r w:rsidR="007803B6" w:rsidRPr="00044035">
        <w:rPr>
          <w:sz w:val="18"/>
          <w:szCs w:val="18"/>
        </w:rPr>
        <w:t xml:space="preserve"> </w:t>
      </w:r>
    </w:p>
    <w:p w14:paraId="6C18A087" w14:textId="309CE94E" w:rsidR="00427F92" w:rsidRPr="00044035" w:rsidRDefault="00427F92" w:rsidP="00A34595">
      <w:pPr>
        <w:pStyle w:val="Heading3"/>
        <w:spacing w:line="240" w:lineRule="auto"/>
        <w:rPr>
          <w:sz w:val="18"/>
          <w:szCs w:val="18"/>
          <w:lang w:val="en-US"/>
        </w:rPr>
      </w:pPr>
      <w:r w:rsidRPr="00044035">
        <w:rPr>
          <w:sz w:val="18"/>
          <w:szCs w:val="18"/>
          <w:lang w:val="en-US"/>
        </w:rPr>
        <w:t>Date Prepared</w:t>
      </w:r>
    </w:p>
    <w:p w14:paraId="07D35CBF" w14:textId="5B47DD42" w:rsidR="00427F92" w:rsidRPr="00044035" w:rsidRDefault="00F30706" w:rsidP="00A34595">
      <w:pPr>
        <w:spacing w:line="240" w:lineRule="auto"/>
        <w:rPr>
          <w:sz w:val="18"/>
          <w:szCs w:val="18"/>
          <w:lang w:val="en-US"/>
        </w:rPr>
      </w:pPr>
      <w:r w:rsidRPr="00044035">
        <w:rPr>
          <w:sz w:val="18"/>
          <w:szCs w:val="18"/>
          <w:lang w:val="en-US"/>
        </w:rPr>
        <w:t>30</w:t>
      </w:r>
      <w:r w:rsidRPr="00044035">
        <w:rPr>
          <w:sz w:val="18"/>
          <w:szCs w:val="18"/>
          <w:vertAlign w:val="superscript"/>
          <w:lang w:val="en-US"/>
        </w:rPr>
        <w:t>th</w:t>
      </w:r>
      <w:r w:rsidRPr="00044035">
        <w:rPr>
          <w:sz w:val="18"/>
          <w:szCs w:val="18"/>
          <w:lang w:val="en-US"/>
        </w:rPr>
        <w:t xml:space="preserve"> April 2020</w:t>
      </w:r>
    </w:p>
    <w:p w14:paraId="04BD9FB0" w14:textId="77777777" w:rsidR="005010C1" w:rsidRPr="00044035" w:rsidRDefault="005010C1" w:rsidP="00CF7BAF">
      <w:pPr>
        <w:spacing w:after="0" w:line="240" w:lineRule="auto"/>
        <w:rPr>
          <w:rStyle w:val="Heading3Char"/>
          <w:rFonts w:eastAsia="Calibri"/>
          <w:sz w:val="18"/>
          <w:szCs w:val="18"/>
        </w:rPr>
      </w:pPr>
      <w:r w:rsidRPr="00044035">
        <w:rPr>
          <w:rStyle w:val="Heading3Char"/>
          <w:rFonts w:eastAsia="Calibri"/>
          <w:sz w:val="18"/>
          <w:szCs w:val="18"/>
        </w:rPr>
        <w:lastRenderedPageBreak/>
        <w:t>Checked by</w:t>
      </w:r>
    </w:p>
    <w:p w14:paraId="5B133780" w14:textId="77777777" w:rsidR="00285645" w:rsidRPr="00044035" w:rsidRDefault="005010C1" w:rsidP="00CF7BAF">
      <w:pPr>
        <w:spacing w:after="0" w:line="240" w:lineRule="auto"/>
        <w:rPr>
          <w:sz w:val="18"/>
          <w:szCs w:val="18"/>
        </w:rPr>
      </w:pPr>
      <w:r w:rsidRPr="00044035">
        <w:rPr>
          <w:rStyle w:val="Heading3Char"/>
          <w:rFonts w:eastAsia="Calibri"/>
          <w:b w:val="0"/>
          <w:color w:val="auto"/>
          <w:sz w:val="18"/>
          <w:szCs w:val="18"/>
        </w:rPr>
        <w:t xml:space="preserve">Yuet Wan, </w:t>
      </w:r>
      <w:r w:rsidRPr="00044035">
        <w:rPr>
          <w:color w:val="000000"/>
          <w:sz w:val="18"/>
          <w:szCs w:val="18"/>
        </w:rPr>
        <w:t>London and South-East</w:t>
      </w:r>
      <w:r w:rsidRPr="00044035">
        <w:rPr>
          <w:color w:val="000000"/>
          <w:sz w:val="18"/>
          <w:szCs w:val="18"/>
        </w:rPr>
        <w:t xml:space="preserve"> </w:t>
      </w:r>
      <w:r w:rsidRPr="00044035">
        <w:rPr>
          <w:color w:val="000000"/>
          <w:sz w:val="18"/>
          <w:szCs w:val="18"/>
        </w:rPr>
        <w:t>Regional Medicines Information</w:t>
      </w:r>
      <w:r w:rsidRPr="00044035">
        <w:rPr>
          <w:sz w:val="18"/>
          <w:szCs w:val="18"/>
        </w:rPr>
        <w:t xml:space="preserve"> </w:t>
      </w:r>
    </w:p>
    <w:p w14:paraId="1D70F1AA" w14:textId="72250C32" w:rsidR="005010C1" w:rsidRPr="00044035" w:rsidRDefault="005010C1" w:rsidP="00CF7BAF">
      <w:pPr>
        <w:spacing w:after="0" w:line="240" w:lineRule="auto"/>
        <w:rPr>
          <w:rStyle w:val="Heading3Char"/>
          <w:rFonts w:eastAsia="Calibri"/>
          <w:sz w:val="18"/>
          <w:szCs w:val="18"/>
        </w:rPr>
      </w:pPr>
    </w:p>
    <w:p w14:paraId="5C269B38" w14:textId="79A3D6B6" w:rsidR="005010C1" w:rsidRPr="00044035" w:rsidRDefault="005010C1" w:rsidP="00CF7BAF">
      <w:pPr>
        <w:spacing w:after="0" w:line="240" w:lineRule="auto"/>
        <w:rPr>
          <w:rStyle w:val="Heading3Char"/>
          <w:rFonts w:eastAsia="Calibri"/>
          <w:sz w:val="18"/>
          <w:szCs w:val="18"/>
        </w:rPr>
      </w:pPr>
      <w:r w:rsidRPr="00044035">
        <w:rPr>
          <w:rStyle w:val="Heading3Char"/>
          <w:rFonts w:eastAsia="Calibri"/>
          <w:sz w:val="18"/>
          <w:szCs w:val="18"/>
        </w:rPr>
        <w:t>Date of check</w:t>
      </w:r>
    </w:p>
    <w:p w14:paraId="75C0E9C6" w14:textId="54D7A0FC" w:rsidR="00427F92" w:rsidRPr="00044035" w:rsidRDefault="00CF7BAF" w:rsidP="00A34595">
      <w:pPr>
        <w:spacing w:line="240" w:lineRule="auto"/>
        <w:rPr>
          <w:sz w:val="18"/>
          <w:szCs w:val="18"/>
          <w:lang w:val="en-US"/>
        </w:rPr>
      </w:pPr>
      <w:r w:rsidRPr="00044035">
        <w:rPr>
          <w:sz w:val="18"/>
          <w:szCs w:val="18"/>
          <w:lang w:val="en-US"/>
        </w:rPr>
        <w:t>09 June 2020</w:t>
      </w:r>
    </w:p>
    <w:p w14:paraId="04D549CB" w14:textId="24BAD858" w:rsidR="00427F92" w:rsidRDefault="00427F92" w:rsidP="00A34595">
      <w:pPr>
        <w:pStyle w:val="Heading3"/>
        <w:spacing w:line="240" w:lineRule="auto"/>
        <w:rPr>
          <w:lang w:val="en-US"/>
        </w:rPr>
      </w:pPr>
      <w:r w:rsidRPr="00B00B12">
        <w:rPr>
          <w:lang w:val="en-US"/>
        </w:rPr>
        <w:t>Search strategy</w:t>
      </w:r>
      <w:r w:rsidR="00F30706">
        <w:rPr>
          <w:lang w:val="en-US"/>
        </w:rPr>
        <w:t xml:space="preserve"> 2020</w:t>
      </w:r>
    </w:p>
    <w:p w14:paraId="23A81B53" w14:textId="531C513D" w:rsidR="008F65BC" w:rsidRPr="00044035" w:rsidRDefault="008F65BC" w:rsidP="008F65BC">
      <w:pPr>
        <w:pStyle w:val="ListParagraph"/>
        <w:numPr>
          <w:ilvl w:val="0"/>
          <w:numId w:val="13"/>
        </w:numPr>
        <w:spacing w:after="0"/>
        <w:ind w:left="714" w:hanging="357"/>
        <w:jc w:val="both"/>
        <w:rPr>
          <w:rFonts w:cs="Arial"/>
          <w:sz w:val="18"/>
          <w:szCs w:val="18"/>
        </w:rPr>
      </w:pPr>
      <w:r w:rsidRPr="00044035">
        <w:rPr>
          <w:rFonts w:cs="Arial"/>
          <w:sz w:val="18"/>
          <w:szCs w:val="18"/>
        </w:rPr>
        <w:t xml:space="preserve">Joint Formulary Committee. </w:t>
      </w:r>
      <w:r w:rsidRPr="00044035">
        <w:rPr>
          <w:rStyle w:val="Emphasis"/>
          <w:rFonts w:cs="Arial"/>
          <w:sz w:val="18"/>
          <w:szCs w:val="18"/>
        </w:rPr>
        <w:t>British National Formulary</w:t>
      </w:r>
      <w:r w:rsidRPr="00044035">
        <w:rPr>
          <w:rFonts w:cs="Arial"/>
          <w:sz w:val="18"/>
          <w:szCs w:val="18"/>
        </w:rPr>
        <w:t xml:space="preserve"> (online) London: BMJ Group and Pharmaceutical Press &lt;http://www.medicinescomplete.com&gt; accessed on 10.06.2019</w:t>
      </w:r>
    </w:p>
    <w:p w14:paraId="61DD8185" w14:textId="73D98C72" w:rsidR="008F65BC" w:rsidRPr="00044035" w:rsidRDefault="008F65BC" w:rsidP="008F65BC">
      <w:pPr>
        <w:pStyle w:val="ListParagraph"/>
        <w:numPr>
          <w:ilvl w:val="0"/>
          <w:numId w:val="13"/>
        </w:numPr>
        <w:spacing w:after="0"/>
        <w:ind w:left="714" w:hanging="357"/>
        <w:jc w:val="both"/>
        <w:rPr>
          <w:rFonts w:cs="Arial"/>
          <w:sz w:val="18"/>
          <w:szCs w:val="18"/>
        </w:rPr>
      </w:pPr>
      <w:r w:rsidRPr="00044035">
        <w:rPr>
          <w:rFonts w:cs="Arial"/>
          <w:sz w:val="18"/>
          <w:szCs w:val="18"/>
        </w:rPr>
        <w:t>Martindale: the complete drug reference accessed via Medicines Complete (</w:t>
      </w:r>
      <w:hyperlink r:id="rId21" w:history="1">
        <w:r w:rsidRPr="00044035">
          <w:rPr>
            <w:rStyle w:val="Hyperlink"/>
            <w:rFonts w:cs="Arial"/>
            <w:sz w:val="18"/>
            <w:szCs w:val="18"/>
          </w:rPr>
          <w:t>https://www.medicinescomplete.com/mc/index.htm</w:t>
        </w:r>
      </w:hyperlink>
      <w:r w:rsidRPr="00044035">
        <w:rPr>
          <w:rFonts w:cs="Arial"/>
          <w:sz w:val="18"/>
          <w:szCs w:val="18"/>
        </w:rPr>
        <w:t>) accessed on 31.05.2019</w:t>
      </w:r>
    </w:p>
    <w:p w14:paraId="553B028E" w14:textId="29A28631" w:rsidR="008F65BC" w:rsidRPr="00044035" w:rsidRDefault="008F65BC" w:rsidP="008F65BC">
      <w:pPr>
        <w:pStyle w:val="ListParagraph"/>
        <w:numPr>
          <w:ilvl w:val="0"/>
          <w:numId w:val="13"/>
        </w:numPr>
        <w:spacing w:after="0"/>
        <w:ind w:left="714" w:hanging="357"/>
        <w:jc w:val="both"/>
        <w:rPr>
          <w:rFonts w:cs="Arial"/>
          <w:sz w:val="18"/>
          <w:szCs w:val="18"/>
        </w:rPr>
      </w:pPr>
      <w:r w:rsidRPr="00044035">
        <w:rPr>
          <w:rFonts w:cs="Arial"/>
          <w:sz w:val="18"/>
          <w:szCs w:val="18"/>
        </w:rPr>
        <w:t xml:space="preserve">MICROMEDEX </w:t>
      </w:r>
      <w:r w:rsidRPr="00044035">
        <w:rPr>
          <w:rFonts w:cs="Arial"/>
          <w:color w:val="000000"/>
          <w:sz w:val="18"/>
          <w:szCs w:val="18"/>
        </w:rPr>
        <w:t xml:space="preserve">(electronic version). </w:t>
      </w:r>
      <w:proofErr w:type="spellStart"/>
      <w:r w:rsidRPr="00044035">
        <w:rPr>
          <w:rFonts w:cs="Arial"/>
          <w:color w:val="000000"/>
          <w:sz w:val="18"/>
          <w:szCs w:val="18"/>
        </w:rPr>
        <w:t>Truven</w:t>
      </w:r>
      <w:proofErr w:type="spellEnd"/>
      <w:r w:rsidRPr="00044035">
        <w:rPr>
          <w:rFonts w:cs="Arial"/>
          <w:color w:val="000000"/>
          <w:sz w:val="18"/>
          <w:szCs w:val="18"/>
        </w:rPr>
        <w:t xml:space="preserve"> Health Analytics, Greenwood Village, Colorado, USA. Available at: </w:t>
      </w:r>
      <w:hyperlink r:id="rId22" w:history="1">
        <w:r w:rsidRPr="00044035">
          <w:rPr>
            <w:rStyle w:val="Hyperlink"/>
            <w:rFonts w:cs="Arial"/>
            <w:sz w:val="18"/>
            <w:szCs w:val="18"/>
          </w:rPr>
          <w:t>http://www.micromedexsolutions.com/</w:t>
        </w:r>
      </w:hyperlink>
      <w:r w:rsidRPr="00044035">
        <w:rPr>
          <w:rFonts w:cs="Arial"/>
          <w:color w:val="000000"/>
          <w:sz w:val="18"/>
          <w:szCs w:val="18"/>
        </w:rPr>
        <w:t>. Accessed 14.06.2019</w:t>
      </w:r>
    </w:p>
    <w:p w14:paraId="11094471" w14:textId="77777777" w:rsidR="008F65BC" w:rsidRPr="00044035" w:rsidRDefault="008F65BC" w:rsidP="008F65BC">
      <w:pPr>
        <w:numPr>
          <w:ilvl w:val="0"/>
          <w:numId w:val="13"/>
        </w:numPr>
        <w:spacing w:after="0" w:line="240" w:lineRule="auto"/>
        <w:ind w:left="714" w:hanging="357"/>
        <w:rPr>
          <w:rFonts w:cs="Arial"/>
          <w:sz w:val="18"/>
          <w:szCs w:val="18"/>
        </w:rPr>
      </w:pPr>
      <w:r w:rsidRPr="00044035">
        <w:rPr>
          <w:rFonts w:cs="Arial"/>
          <w:sz w:val="18"/>
          <w:szCs w:val="18"/>
        </w:rPr>
        <w:t xml:space="preserve">Goodman Gilman A, Hardman J G and </w:t>
      </w:r>
      <w:proofErr w:type="spellStart"/>
      <w:r w:rsidRPr="00044035">
        <w:rPr>
          <w:rFonts w:cs="Arial"/>
          <w:sz w:val="18"/>
          <w:szCs w:val="18"/>
        </w:rPr>
        <w:t>Limbird</w:t>
      </w:r>
      <w:proofErr w:type="spellEnd"/>
      <w:r w:rsidRPr="00044035">
        <w:rPr>
          <w:rFonts w:cs="Arial"/>
          <w:sz w:val="18"/>
          <w:szCs w:val="18"/>
        </w:rPr>
        <w:t xml:space="preserve"> L E, editors.  Goodman and </w:t>
      </w:r>
      <w:proofErr w:type="gramStart"/>
      <w:r w:rsidRPr="00044035">
        <w:rPr>
          <w:rFonts w:cs="Arial"/>
          <w:sz w:val="18"/>
          <w:szCs w:val="18"/>
        </w:rPr>
        <w:t>Gilman’s  -</w:t>
      </w:r>
      <w:proofErr w:type="gramEnd"/>
      <w:r w:rsidRPr="00044035">
        <w:rPr>
          <w:rFonts w:cs="Arial"/>
          <w:sz w:val="18"/>
          <w:szCs w:val="18"/>
        </w:rPr>
        <w:t xml:space="preserve"> The pharmacological basis of therapeutics. 12</w:t>
      </w:r>
      <w:r w:rsidRPr="00044035">
        <w:rPr>
          <w:rFonts w:cs="Arial"/>
          <w:sz w:val="18"/>
          <w:szCs w:val="18"/>
          <w:vertAlign w:val="superscript"/>
        </w:rPr>
        <w:t>th</w:t>
      </w:r>
      <w:r w:rsidRPr="00044035">
        <w:rPr>
          <w:rFonts w:cs="Arial"/>
          <w:sz w:val="18"/>
          <w:szCs w:val="18"/>
        </w:rPr>
        <w:t xml:space="preserve"> edition.  USA: McGraw-Hill Medical; 2011</w:t>
      </w:r>
    </w:p>
    <w:p w14:paraId="5AB296C1" w14:textId="77777777" w:rsidR="008F65BC" w:rsidRPr="00044035" w:rsidRDefault="008F65BC" w:rsidP="008F65BC">
      <w:pPr>
        <w:numPr>
          <w:ilvl w:val="0"/>
          <w:numId w:val="13"/>
        </w:numPr>
        <w:spacing w:after="0" w:line="240" w:lineRule="auto"/>
        <w:ind w:left="714" w:hanging="357"/>
        <w:rPr>
          <w:rFonts w:cs="Arial"/>
          <w:sz w:val="18"/>
          <w:szCs w:val="18"/>
        </w:rPr>
      </w:pPr>
      <w:r w:rsidRPr="00044035">
        <w:rPr>
          <w:rFonts w:cs="Arial"/>
          <w:color w:val="000000"/>
          <w:sz w:val="18"/>
          <w:szCs w:val="18"/>
        </w:rPr>
        <w:t xml:space="preserve">Electronic Medicines Compendium (accessed via </w:t>
      </w:r>
      <w:r w:rsidRPr="00044035">
        <w:rPr>
          <w:rFonts w:cs="Arial"/>
          <w:sz w:val="18"/>
          <w:szCs w:val="18"/>
        </w:rPr>
        <w:t xml:space="preserve"> </w:t>
      </w:r>
      <w:hyperlink r:id="rId23" w:history="1">
        <w:r w:rsidRPr="00044035">
          <w:rPr>
            <w:rStyle w:val="Hyperlink"/>
            <w:rFonts w:cs="Arial"/>
            <w:sz w:val="18"/>
            <w:szCs w:val="18"/>
          </w:rPr>
          <w:t>https://www.medicines.org.uk/emc</w:t>
        </w:r>
      </w:hyperlink>
      <w:r w:rsidRPr="00044035">
        <w:rPr>
          <w:rFonts w:cs="Arial"/>
          <w:sz w:val="18"/>
          <w:szCs w:val="18"/>
        </w:rPr>
        <w:t xml:space="preserve"> </w:t>
      </w:r>
      <w:r w:rsidRPr="00044035">
        <w:rPr>
          <w:rFonts w:cs="Arial"/>
          <w:color w:val="000000"/>
          <w:sz w:val="18"/>
          <w:szCs w:val="18"/>
        </w:rPr>
        <w:t>)</w:t>
      </w:r>
    </w:p>
    <w:p w14:paraId="7845EC55" w14:textId="77777777" w:rsidR="008F65BC" w:rsidRPr="00044035" w:rsidRDefault="008F65BC" w:rsidP="008F65BC">
      <w:pPr>
        <w:numPr>
          <w:ilvl w:val="0"/>
          <w:numId w:val="13"/>
        </w:numPr>
        <w:spacing w:after="0" w:line="240" w:lineRule="auto"/>
        <w:ind w:left="714" w:hanging="357"/>
        <w:rPr>
          <w:rFonts w:cs="Arial"/>
          <w:sz w:val="18"/>
          <w:szCs w:val="18"/>
        </w:rPr>
      </w:pPr>
      <w:r w:rsidRPr="00044035">
        <w:rPr>
          <w:rFonts w:cs="Arial"/>
          <w:bCs/>
          <w:sz w:val="18"/>
          <w:szCs w:val="18"/>
        </w:rPr>
        <w:t xml:space="preserve">Cochrane Library </w:t>
      </w:r>
      <w:r w:rsidRPr="00044035">
        <w:rPr>
          <w:rFonts w:cs="Arial"/>
          <w:spacing w:val="-3"/>
          <w:sz w:val="18"/>
          <w:szCs w:val="18"/>
        </w:rPr>
        <w:t>(accessed via</w:t>
      </w:r>
      <w:r w:rsidRPr="00044035">
        <w:rPr>
          <w:rFonts w:cs="Arial"/>
          <w:sz w:val="18"/>
          <w:szCs w:val="18"/>
        </w:rPr>
        <w:t xml:space="preserve"> </w:t>
      </w:r>
      <w:hyperlink r:id="rId24" w:history="1">
        <w:r w:rsidRPr="00044035">
          <w:rPr>
            <w:rStyle w:val="Hyperlink"/>
            <w:rFonts w:cs="Arial"/>
            <w:spacing w:val="-3"/>
            <w:sz w:val="18"/>
            <w:szCs w:val="18"/>
          </w:rPr>
          <w:t>https://www.cochranelibrary.com/search?cookiesEnabled</w:t>
        </w:r>
      </w:hyperlink>
      <w:r w:rsidRPr="00044035">
        <w:rPr>
          <w:rFonts w:cs="Arial"/>
          <w:spacing w:val="-3"/>
          <w:sz w:val="18"/>
          <w:szCs w:val="18"/>
        </w:rPr>
        <w:t xml:space="preserve"> )</w:t>
      </w:r>
    </w:p>
    <w:p w14:paraId="0946823C" w14:textId="77777777" w:rsidR="008F65BC" w:rsidRPr="00044035" w:rsidRDefault="00427F92" w:rsidP="008F65BC">
      <w:pPr>
        <w:numPr>
          <w:ilvl w:val="0"/>
          <w:numId w:val="13"/>
        </w:numPr>
        <w:spacing w:after="0" w:line="240" w:lineRule="auto"/>
        <w:ind w:left="714" w:hanging="357"/>
        <w:rPr>
          <w:rFonts w:cs="Arial"/>
          <w:sz w:val="18"/>
          <w:szCs w:val="18"/>
        </w:rPr>
      </w:pPr>
      <w:proofErr w:type="spellStart"/>
      <w:r w:rsidRPr="00044035">
        <w:rPr>
          <w:rFonts w:cs="Arial"/>
          <w:sz w:val="18"/>
          <w:szCs w:val="18"/>
          <w:lang w:val="en-US"/>
        </w:rPr>
        <w:t>Embase</w:t>
      </w:r>
      <w:proofErr w:type="spellEnd"/>
      <w:r w:rsidRPr="00044035">
        <w:rPr>
          <w:rFonts w:cs="Arial"/>
          <w:sz w:val="18"/>
          <w:szCs w:val="18"/>
          <w:lang w:val="en-US"/>
        </w:rPr>
        <w:t xml:space="preserve"> (“</w:t>
      </w:r>
      <w:r w:rsidR="008F65BC" w:rsidRPr="00044035">
        <w:rPr>
          <w:rFonts w:eastAsiaTheme="minorHAnsi" w:cs="Arial"/>
          <w:color w:val="282828"/>
          <w:sz w:val="18"/>
          <w:szCs w:val="18"/>
        </w:rPr>
        <w:t>"</w:t>
      </w:r>
      <w:proofErr w:type="spellStart"/>
      <w:r w:rsidR="008F65BC" w:rsidRPr="00044035">
        <w:rPr>
          <w:rFonts w:eastAsiaTheme="minorHAnsi" w:cs="Arial"/>
          <w:color w:val="282828"/>
          <w:sz w:val="18"/>
          <w:szCs w:val="18"/>
        </w:rPr>
        <w:t>nonsteroid</w:t>
      </w:r>
      <w:proofErr w:type="spellEnd"/>
      <w:r w:rsidR="008F65BC" w:rsidRPr="00044035">
        <w:rPr>
          <w:rFonts w:eastAsiaTheme="minorHAnsi" w:cs="Arial"/>
          <w:color w:val="282828"/>
          <w:sz w:val="18"/>
          <w:szCs w:val="18"/>
        </w:rPr>
        <w:t xml:space="preserve"> </w:t>
      </w:r>
      <w:proofErr w:type="spellStart"/>
      <w:r w:rsidR="008F65BC" w:rsidRPr="00044035">
        <w:rPr>
          <w:rFonts w:eastAsiaTheme="minorHAnsi" w:cs="Arial"/>
          <w:color w:val="282828"/>
          <w:sz w:val="18"/>
          <w:szCs w:val="18"/>
        </w:rPr>
        <w:t>antiinflammatory</w:t>
      </w:r>
      <w:proofErr w:type="spellEnd"/>
      <w:r w:rsidR="008F65BC" w:rsidRPr="00044035">
        <w:rPr>
          <w:rFonts w:eastAsiaTheme="minorHAnsi" w:cs="Arial"/>
          <w:color w:val="282828"/>
          <w:sz w:val="18"/>
          <w:szCs w:val="18"/>
        </w:rPr>
        <w:t xml:space="preserve"> agent"/ AND *"aspirin  exacerbated respiratory disease"/</w:t>
      </w:r>
      <w:r w:rsidRPr="00044035">
        <w:rPr>
          <w:rFonts w:cs="Arial"/>
          <w:sz w:val="18"/>
          <w:szCs w:val="18"/>
          <w:lang w:val="en-US"/>
        </w:rPr>
        <w:t>”)</w:t>
      </w:r>
    </w:p>
    <w:p w14:paraId="37D01749" w14:textId="70FEFCA7" w:rsidR="00427F92" w:rsidRPr="00044035" w:rsidRDefault="00427F92" w:rsidP="008F65BC">
      <w:pPr>
        <w:numPr>
          <w:ilvl w:val="0"/>
          <w:numId w:val="13"/>
        </w:numPr>
        <w:spacing w:after="0" w:line="240" w:lineRule="auto"/>
        <w:ind w:left="714" w:hanging="357"/>
        <w:rPr>
          <w:rFonts w:cs="Arial"/>
          <w:sz w:val="18"/>
          <w:szCs w:val="18"/>
        </w:rPr>
      </w:pPr>
      <w:r w:rsidRPr="00044035">
        <w:rPr>
          <w:rFonts w:cs="Arial"/>
          <w:sz w:val="18"/>
          <w:szCs w:val="18"/>
          <w:lang w:val="en-US"/>
        </w:rPr>
        <w:t>Medline (“</w:t>
      </w:r>
      <w:r w:rsidR="00645B83" w:rsidRPr="00044035">
        <w:rPr>
          <w:rFonts w:eastAsiaTheme="minorHAnsi" w:cs="Arial"/>
          <w:bCs/>
          <w:sz w:val="18"/>
          <w:szCs w:val="18"/>
        </w:rPr>
        <w:t>anti-inflammatory agents, non-steroidal"/ and "asthma, aspirin-induced”</w:t>
      </w:r>
      <w:r w:rsidR="00645B83" w:rsidRPr="00044035">
        <w:rPr>
          <w:rFonts w:cs="Arial"/>
          <w:sz w:val="18"/>
          <w:szCs w:val="18"/>
          <w:lang w:val="en-US"/>
        </w:rPr>
        <w:t>)</w:t>
      </w:r>
    </w:p>
    <w:p w14:paraId="77908BA3" w14:textId="77777777" w:rsidR="00BD010E" w:rsidRPr="00044035" w:rsidRDefault="00BD010E" w:rsidP="00BD010E">
      <w:pPr>
        <w:spacing w:after="0" w:line="240" w:lineRule="auto"/>
        <w:ind w:left="357"/>
        <w:rPr>
          <w:rFonts w:cs="Arial"/>
          <w:sz w:val="12"/>
          <w:szCs w:val="12"/>
        </w:rPr>
      </w:pPr>
    </w:p>
    <w:p w14:paraId="537B058C" w14:textId="77777777" w:rsidR="00BD010E" w:rsidRPr="00044035" w:rsidRDefault="00BD010E" w:rsidP="00044035">
      <w:pPr>
        <w:spacing w:after="0" w:line="240" w:lineRule="auto"/>
        <w:jc w:val="center"/>
        <w:rPr>
          <w:rFonts w:cs="Arial"/>
          <w:b/>
          <w:sz w:val="18"/>
          <w:szCs w:val="18"/>
        </w:rPr>
      </w:pPr>
      <w:r w:rsidRPr="00044035">
        <w:rPr>
          <w:rFonts w:cs="Arial"/>
          <w:b/>
          <w:sz w:val="18"/>
          <w:szCs w:val="18"/>
        </w:rPr>
        <w:t>Low quality studies were removed since the last update and replaced by a recent meta-analysis.</w:t>
      </w:r>
    </w:p>
    <w:p w14:paraId="63202244" w14:textId="02F1FD83" w:rsidR="005010C1" w:rsidRDefault="005010C1" w:rsidP="005010C1">
      <w:pPr>
        <w:pStyle w:val="Heading3"/>
        <w:spacing w:line="240" w:lineRule="auto"/>
        <w:rPr>
          <w:lang w:val="en-US"/>
        </w:rPr>
      </w:pPr>
      <w:r w:rsidRPr="00B00B12">
        <w:rPr>
          <w:lang w:val="en-US"/>
        </w:rPr>
        <w:t>Search strategy</w:t>
      </w:r>
      <w:r>
        <w:rPr>
          <w:lang w:val="en-US"/>
        </w:rPr>
        <w:t xml:space="preserve"> Oct 2012</w:t>
      </w:r>
    </w:p>
    <w:p w14:paraId="27F166C9" w14:textId="7888DA8C" w:rsidR="00823E91" w:rsidRPr="00044035" w:rsidRDefault="00823E91" w:rsidP="005010C1">
      <w:pPr>
        <w:pStyle w:val="ListParagraph"/>
        <w:numPr>
          <w:ilvl w:val="0"/>
          <w:numId w:val="22"/>
        </w:numPr>
        <w:spacing w:after="0" w:line="240" w:lineRule="auto"/>
        <w:rPr>
          <w:sz w:val="18"/>
          <w:szCs w:val="18"/>
        </w:rPr>
      </w:pPr>
      <w:r w:rsidRPr="00044035">
        <w:rPr>
          <w:sz w:val="18"/>
          <w:szCs w:val="18"/>
        </w:rPr>
        <w:t>British National Formulary. 63</w:t>
      </w:r>
      <w:r w:rsidRPr="00044035">
        <w:rPr>
          <w:sz w:val="18"/>
          <w:szCs w:val="18"/>
          <w:vertAlign w:val="superscript"/>
        </w:rPr>
        <w:t>rd</w:t>
      </w:r>
      <w:r w:rsidRPr="00044035">
        <w:rPr>
          <w:sz w:val="18"/>
          <w:szCs w:val="18"/>
        </w:rPr>
        <w:t xml:space="preserve"> ed. London: British Medical Association and Royal Pharmaceutical Society; March 2012</w:t>
      </w:r>
    </w:p>
    <w:p w14:paraId="7300E7E9" w14:textId="77777777" w:rsidR="00823E91" w:rsidRPr="00044035" w:rsidRDefault="00823E91" w:rsidP="005010C1">
      <w:pPr>
        <w:pStyle w:val="ListParagraph"/>
        <w:numPr>
          <w:ilvl w:val="0"/>
          <w:numId w:val="22"/>
        </w:numPr>
        <w:rPr>
          <w:color w:val="FF0000"/>
          <w:sz w:val="18"/>
          <w:szCs w:val="18"/>
        </w:rPr>
      </w:pPr>
      <w:r w:rsidRPr="00044035">
        <w:rPr>
          <w:sz w:val="18"/>
          <w:szCs w:val="18"/>
        </w:rPr>
        <w:t>Martindale: the complete drug reference accessed via Medicines Complete October 2012 (</w:t>
      </w:r>
      <w:hyperlink r:id="rId25" w:history="1">
        <w:r w:rsidRPr="00044035">
          <w:rPr>
            <w:rStyle w:val="Hyperlink"/>
            <w:rFonts w:cs="Arial"/>
            <w:sz w:val="18"/>
            <w:szCs w:val="18"/>
          </w:rPr>
          <w:t>https://www.medicinescomplete.com/mc/index.htm</w:t>
        </w:r>
      </w:hyperlink>
      <w:r w:rsidRPr="00044035">
        <w:rPr>
          <w:sz w:val="18"/>
          <w:szCs w:val="18"/>
        </w:rPr>
        <w:t>)</w:t>
      </w:r>
    </w:p>
    <w:p w14:paraId="04CDCD02" w14:textId="77777777" w:rsidR="00823E91" w:rsidRPr="00044035" w:rsidRDefault="00823E91" w:rsidP="005010C1">
      <w:pPr>
        <w:pStyle w:val="ListParagraph"/>
        <w:numPr>
          <w:ilvl w:val="0"/>
          <w:numId w:val="22"/>
        </w:numPr>
        <w:rPr>
          <w:sz w:val="18"/>
          <w:szCs w:val="18"/>
        </w:rPr>
      </w:pPr>
      <w:r w:rsidRPr="00044035">
        <w:rPr>
          <w:sz w:val="18"/>
          <w:szCs w:val="18"/>
        </w:rPr>
        <w:t>AHFS Drug Information (</w:t>
      </w:r>
      <w:r w:rsidRPr="00044035">
        <w:rPr>
          <w:color w:val="000000"/>
          <w:sz w:val="18"/>
          <w:szCs w:val="18"/>
          <w:lang w:val="en"/>
        </w:rPr>
        <w:t xml:space="preserve">American Society of Health-System Pharmacists) </w:t>
      </w:r>
      <w:r w:rsidRPr="00044035">
        <w:rPr>
          <w:sz w:val="18"/>
          <w:szCs w:val="18"/>
        </w:rPr>
        <w:t>accessed via Medicines Complete October 2012 (</w:t>
      </w:r>
      <w:hyperlink r:id="rId26" w:history="1">
        <w:r w:rsidRPr="00044035">
          <w:rPr>
            <w:rStyle w:val="Hyperlink"/>
            <w:rFonts w:cs="Arial"/>
            <w:sz w:val="18"/>
            <w:szCs w:val="18"/>
          </w:rPr>
          <w:t>https://www.medicinescomplete.com/mc/index.htm</w:t>
        </w:r>
      </w:hyperlink>
      <w:r w:rsidRPr="00044035">
        <w:rPr>
          <w:sz w:val="18"/>
          <w:szCs w:val="18"/>
        </w:rPr>
        <w:t>)</w:t>
      </w:r>
    </w:p>
    <w:p w14:paraId="663E86D6" w14:textId="77777777" w:rsidR="00823E91" w:rsidRPr="00044035" w:rsidRDefault="00823E91" w:rsidP="005010C1">
      <w:pPr>
        <w:pStyle w:val="ListParagraph"/>
        <w:numPr>
          <w:ilvl w:val="0"/>
          <w:numId w:val="22"/>
        </w:numPr>
        <w:rPr>
          <w:sz w:val="18"/>
          <w:szCs w:val="18"/>
        </w:rPr>
      </w:pPr>
      <w:r w:rsidRPr="00044035">
        <w:rPr>
          <w:sz w:val="18"/>
          <w:szCs w:val="18"/>
        </w:rPr>
        <w:t xml:space="preserve">MICROMEDEX Healthcare Series (accessed 5 October 2012) </w:t>
      </w:r>
    </w:p>
    <w:p w14:paraId="07C7BA07" w14:textId="77777777" w:rsidR="00823E91" w:rsidRPr="00044035" w:rsidRDefault="00823E91" w:rsidP="005010C1">
      <w:pPr>
        <w:pStyle w:val="ListParagraph"/>
        <w:numPr>
          <w:ilvl w:val="0"/>
          <w:numId w:val="22"/>
        </w:numPr>
        <w:rPr>
          <w:sz w:val="18"/>
          <w:szCs w:val="18"/>
        </w:rPr>
      </w:pPr>
      <w:r w:rsidRPr="00044035">
        <w:rPr>
          <w:sz w:val="18"/>
          <w:szCs w:val="18"/>
        </w:rPr>
        <w:t>Goodman and Gilman’s. The pharmacological basis of therapeutics. 10</w:t>
      </w:r>
      <w:r w:rsidRPr="00044035">
        <w:rPr>
          <w:sz w:val="18"/>
          <w:szCs w:val="18"/>
          <w:vertAlign w:val="superscript"/>
        </w:rPr>
        <w:t>th</w:t>
      </w:r>
      <w:r w:rsidRPr="00044035">
        <w:rPr>
          <w:sz w:val="18"/>
          <w:szCs w:val="18"/>
        </w:rPr>
        <w:t xml:space="preserve"> edition. USA: McGraw-Hill Companies; 2001.</w:t>
      </w:r>
    </w:p>
    <w:p w14:paraId="143862CE" w14:textId="77777777" w:rsidR="00823E91" w:rsidRPr="00044035" w:rsidRDefault="00823E91" w:rsidP="005010C1">
      <w:pPr>
        <w:pStyle w:val="ListParagraph"/>
        <w:numPr>
          <w:ilvl w:val="0"/>
          <w:numId w:val="22"/>
        </w:numPr>
        <w:rPr>
          <w:sz w:val="18"/>
          <w:szCs w:val="18"/>
        </w:rPr>
      </w:pPr>
      <w:proofErr w:type="spellStart"/>
      <w:r w:rsidRPr="00044035">
        <w:rPr>
          <w:sz w:val="18"/>
          <w:szCs w:val="18"/>
        </w:rPr>
        <w:t>Meyler’s</w:t>
      </w:r>
      <w:proofErr w:type="spellEnd"/>
      <w:r w:rsidRPr="00044035">
        <w:rPr>
          <w:sz w:val="18"/>
          <w:szCs w:val="18"/>
        </w:rPr>
        <w:t xml:space="preserve"> Side Effects of Drugs. 15</w:t>
      </w:r>
      <w:r w:rsidRPr="00044035">
        <w:rPr>
          <w:sz w:val="18"/>
          <w:szCs w:val="18"/>
          <w:vertAlign w:val="superscript"/>
        </w:rPr>
        <w:t>th</w:t>
      </w:r>
      <w:r w:rsidRPr="00044035">
        <w:rPr>
          <w:sz w:val="18"/>
          <w:szCs w:val="18"/>
        </w:rPr>
        <w:t xml:space="preserve"> ed. Amsterdam: Elsevier; 2006.</w:t>
      </w:r>
    </w:p>
    <w:p w14:paraId="52333E85" w14:textId="77777777" w:rsidR="00823E91" w:rsidRPr="00044035" w:rsidRDefault="00823E91" w:rsidP="005010C1">
      <w:pPr>
        <w:pStyle w:val="ListParagraph"/>
        <w:numPr>
          <w:ilvl w:val="0"/>
          <w:numId w:val="22"/>
        </w:numPr>
        <w:rPr>
          <w:sz w:val="18"/>
          <w:szCs w:val="18"/>
        </w:rPr>
      </w:pPr>
      <w:r w:rsidRPr="00044035">
        <w:rPr>
          <w:sz w:val="18"/>
          <w:szCs w:val="18"/>
        </w:rPr>
        <w:t>Oxford textbook of medicine.  4</w:t>
      </w:r>
      <w:r w:rsidRPr="00044035">
        <w:rPr>
          <w:sz w:val="18"/>
          <w:szCs w:val="18"/>
          <w:vertAlign w:val="superscript"/>
        </w:rPr>
        <w:t>th</w:t>
      </w:r>
      <w:r w:rsidRPr="00044035">
        <w:rPr>
          <w:sz w:val="18"/>
          <w:szCs w:val="18"/>
        </w:rPr>
        <w:t xml:space="preserve"> ed. Oxford: Oxford University Press; 2003.  </w:t>
      </w:r>
    </w:p>
    <w:p w14:paraId="514FD079" w14:textId="77777777" w:rsidR="00044035" w:rsidRDefault="00823E91" w:rsidP="00044035">
      <w:pPr>
        <w:pStyle w:val="ListParagraph"/>
        <w:numPr>
          <w:ilvl w:val="0"/>
          <w:numId w:val="22"/>
        </w:numPr>
        <w:rPr>
          <w:color w:val="000000"/>
          <w:sz w:val="18"/>
          <w:szCs w:val="18"/>
        </w:rPr>
      </w:pPr>
      <w:r w:rsidRPr="00044035">
        <w:rPr>
          <w:color w:val="000000"/>
          <w:sz w:val="18"/>
          <w:szCs w:val="18"/>
        </w:rPr>
        <w:t xml:space="preserve">National electronic Library for Medicines accessed via </w:t>
      </w:r>
      <w:hyperlink r:id="rId27" w:history="1">
        <w:r w:rsidRPr="00044035">
          <w:rPr>
            <w:rStyle w:val="Hyperlink"/>
            <w:rFonts w:cs="Arial"/>
            <w:sz w:val="18"/>
            <w:szCs w:val="18"/>
          </w:rPr>
          <w:t>http://www.nelm.nhs.uk/en/</w:t>
        </w:r>
      </w:hyperlink>
      <w:r w:rsidR="00285645" w:rsidRPr="00044035">
        <w:rPr>
          <w:color w:val="000000"/>
          <w:sz w:val="18"/>
          <w:szCs w:val="18"/>
        </w:rPr>
        <w:t xml:space="preserve">: </w:t>
      </w:r>
      <w:r w:rsidRPr="00044035">
        <w:rPr>
          <w:color w:val="000000"/>
          <w:sz w:val="18"/>
          <w:szCs w:val="18"/>
        </w:rPr>
        <w:t>(Search strategy: 1) NSAID 2) Asthma)</w:t>
      </w:r>
    </w:p>
    <w:p w14:paraId="1B5BF76F" w14:textId="77777777" w:rsidR="00044035" w:rsidRPr="00044035" w:rsidRDefault="00823E91" w:rsidP="00044035">
      <w:pPr>
        <w:pStyle w:val="ListParagraph"/>
        <w:numPr>
          <w:ilvl w:val="0"/>
          <w:numId w:val="22"/>
        </w:numPr>
        <w:rPr>
          <w:color w:val="000000"/>
          <w:sz w:val="18"/>
          <w:szCs w:val="18"/>
        </w:rPr>
      </w:pPr>
      <w:r w:rsidRPr="00044035">
        <w:rPr>
          <w:rFonts w:cs="Arial"/>
          <w:color w:val="000000"/>
          <w:sz w:val="18"/>
          <w:szCs w:val="18"/>
        </w:rPr>
        <w:t xml:space="preserve">National Library for Health accessed via </w:t>
      </w:r>
      <w:hyperlink r:id="rId28" w:history="1">
        <w:r w:rsidRPr="00044035">
          <w:rPr>
            <w:rStyle w:val="Hyperlink"/>
            <w:rFonts w:cs="Arial"/>
            <w:sz w:val="18"/>
            <w:szCs w:val="18"/>
          </w:rPr>
          <w:t>http://www.library.nhs.uk/Default.aspx</w:t>
        </w:r>
      </w:hyperlink>
      <w:r w:rsidRPr="00044035">
        <w:rPr>
          <w:rFonts w:cs="Arial"/>
          <w:color w:val="000000"/>
          <w:sz w:val="18"/>
          <w:szCs w:val="18"/>
        </w:rPr>
        <w:t xml:space="preserve"> (October 2012)</w:t>
      </w:r>
      <w:r w:rsidRPr="00044035">
        <w:rPr>
          <w:rFonts w:cs="Arial"/>
          <w:sz w:val="18"/>
          <w:szCs w:val="18"/>
        </w:rPr>
        <w:t xml:space="preserve"> (Search strategy: 1) “Asthma” and “Aspirin”  2) “Asthma” and “NSAID”)</w:t>
      </w:r>
    </w:p>
    <w:p w14:paraId="52ADDBA7" w14:textId="77777777" w:rsidR="00044035" w:rsidRPr="00044035" w:rsidRDefault="00823E91" w:rsidP="00044035">
      <w:pPr>
        <w:pStyle w:val="ListParagraph"/>
        <w:numPr>
          <w:ilvl w:val="0"/>
          <w:numId w:val="22"/>
        </w:numPr>
        <w:rPr>
          <w:color w:val="000000"/>
          <w:sz w:val="18"/>
          <w:szCs w:val="18"/>
        </w:rPr>
      </w:pPr>
      <w:r w:rsidRPr="00044035">
        <w:rPr>
          <w:rFonts w:cs="Arial"/>
          <w:color w:val="000000"/>
          <w:sz w:val="18"/>
          <w:szCs w:val="18"/>
        </w:rPr>
        <w:t xml:space="preserve">Electronic Medicines Compendium (accessed via </w:t>
      </w:r>
      <w:hyperlink r:id="rId29" w:history="1">
        <w:r w:rsidRPr="00044035">
          <w:rPr>
            <w:rStyle w:val="Hyperlink"/>
            <w:rFonts w:cs="Arial"/>
            <w:sz w:val="18"/>
            <w:szCs w:val="18"/>
          </w:rPr>
          <w:t>http://www.medicines.org.uk</w:t>
        </w:r>
      </w:hyperlink>
      <w:r w:rsidRPr="00044035">
        <w:rPr>
          <w:rFonts w:cs="Arial"/>
          <w:color w:val="000000"/>
          <w:sz w:val="18"/>
          <w:szCs w:val="18"/>
        </w:rPr>
        <w:t>)</w:t>
      </w:r>
    </w:p>
    <w:p w14:paraId="01E82E70" w14:textId="77777777" w:rsidR="00044035" w:rsidRPr="00044035" w:rsidRDefault="00823E91" w:rsidP="00044035">
      <w:pPr>
        <w:pStyle w:val="ListParagraph"/>
        <w:numPr>
          <w:ilvl w:val="0"/>
          <w:numId w:val="22"/>
        </w:numPr>
        <w:rPr>
          <w:color w:val="000000"/>
          <w:sz w:val="18"/>
          <w:szCs w:val="18"/>
        </w:rPr>
      </w:pPr>
      <w:r w:rsidRPr="00044035">
        <w:rPr>
          <w:rFonts w:cs="Arial"/>
          <w:bCs/>
          <w:sz w:val="18"/>
          <w:szCs w:val="18"/>
        </w:rPr>
        <w:t xml:space="preserve">Cochrane Library </w:t>
      </w:r>
      <w:r w:rsidRPr="00044035">
        <w:rPr>
          <w:rFonts w:cs="Arial"/>
          <w:spacing w:val="-3"/>
          <w:sz w:val="18"/>
          <w:szCs w:val="18"/>
        </w:rPr>
        <w:t>(accessed via</w:t>
      </w:r>
      <w:r w:rsidRPr="00044035">
        <w:rPr>
          <w:sz w:val="18"/>
          <w:szCs w:val="18"/>
        </w:rPr>
        <w:t xml:space="preserve"> </w:t>
      </w:r>
      <w:hyperlink r:id="rId30" w:history="1">
        <w:r w:rsidRPr="00044035">
          <w:rPr>
            <w:rStyle w:val="Hyperlink"/>
            <w:rFonts w:cs="Arial"/>
            <w:spacing w:val="-3"/>
            <w:sz w:val="18"/>
            <w:szCs w:val="18"/>
          </w:rPr>
          <w:t>http://www.library.nhs.uk/Default.aspx</w:t>
        </w:r>
      </w:hyperlink>
      <w:r w:rsidRPr="00044035">
        <w:rPr>
          <w:rFonts w:cs="Arial"/>
          <w:spacing w:val="-3"/>
          <w:sz w:val="18"/>
          <w:szCs w:val="18"/>
        </w:rPr>
        <w:t>)</w:t>
      </w:r>
    </w:p>
    <w:p w14:paraId="7773EE70" w14:textId="77777777" w:rsidR="00044035" w:rsidRPr="00044035" w:rsidRDefault="00823E91" w:rsidP="00044035">
      <w:pPr>
        <w:pStyle w:val="ListParagraph"/>
        <w:numPr>
          <w:ilvl w:val="0"/>
          <w:numId w:val="22"/>
        </w:numPr>
        <w:rPr>
          <w:color w:val="000000"/>
          <w:sz w:val="18"/>
          <w:szCs w:val="18"/>
        </w:rPr>
      </w:pPr>
      <w:proofErr w:type="spellStart"/>
      <w:r w:rsidRPr="00044035">
        <w:rPr>
          <w:rFonts w:cs="Arial"/>
          <w:color w:val="000000"/>
          <w:sz w:val="18"/>
          <w:szCs w:val="18"/>
        </w:rPr>
        <w:t>Embase</w:t>
      </w:r>
      <w:proofErr w:type="spellEnd"/>
      <w:r w:rsidRPr="00044035">
        <w:rPr>
          <w:rFonts w:cs="Arial"/>
          <w:color w:val="000000"/>
          <w:sz w:val="18"/>
          <w:szCs w:val="18"/>
        </w:rPr>
        <w:t xml:space="preserve"> 2008 to date:</w:t>
      </w:r>
      <w:r w:rsidRPr="00044035">
        <w:rPr>
          <w:rFonts w:cs="Arial"/>
          <w:sz w:val="18"/>
          <w:szCs w:val="18"/>
        </w:rPr>
        <w:t xml:space="preserve"> (</w:t>
      </w:r>
      <w:r w:rsidRPr="00044035">
        <w:rPr>
          <w:rFonts w:cs="Arial"/>
          <w:bCs/>
          <w:sz w:val="18"/>
          <w:szCs w:val="18"/>
        </w:rPr>
        <w:t>(Nonsteroid-antiinflammatory-agent.DE.) AND (Asthma.W.DE.) AND (Drug-hypersensitivity.DE.) AND (Human=yes))</w:t>
      </w:r>
    </w:p>
    <w:p w14:paraId="6830929F" w14:textId="77777777" w:rsidR="00044035" w:rsidRPr="00044035" w:rsidRDefault="00823E91" w:rsidP="00044035">
      <w:pPr>
        <w:pStyle w:val="ListParagraph"/>
        <w:numPr>
          <w:ilvl w:val="0"/>
          <w:numId w:val="22"/>
        </w:numPr>
        <w:rPr>
          <w:color w:val="000000"/>
          <w:sz w:val="18"/>
          <w:szCs w:val="18"/>
        </w:rPr>
      </w:pPr>
      <w:r w:rsidRPr="00044035">
        <w:rPr>
          <w:rFonts w:cs="Arial"/>
          <w:bCs/>
          <w:sz w:val="18"/>
          <w:szCs w:val="18"/>
        </w:rPr>
        <w:t>M</w:t>
      </w:r>
      <w:r w:rsidRPr="00044035">
        <w:rPr>
          <w:rFonts w:cs="Arial"/>
          <w:color w:val="000000"/>
          <w:sz w:val="18"/>
          <w:szCs w:val="18"/>
        </w:rPr>
        <w:t xml:space="preserve">edline 2008 to date: </w:t>
      </w:r>
      <w:r w:rsidRPr="00044035">
        <w:rPr>
          <w:rFonts w:cs="Arial"/>
          <w:sz w:val="18"/>
          <w:szCs w:val="18"/>
        </w:rPr>
        <w:t>1) (</w:t>
      </w:r>
      <w:r w:rsidRPr="00044035">
        <w:rPr>
          <w:rFonts w:cs="Arial"/>
          <w:bCs/>
          <w:sz w:val="18"/>
          <w:szCs w:val="18"/>
        </w:rPr>
        <w:t>(Anti-inflammatory-agents-non-steroidal.DE.) AND (</w:t>
      </w:r>
      <w:proofErr w:type="spellStart"/>
      <w:r w:rsidRPr="00044035">
        <w:rPr>
          <w:rFonts w:cs="Arial"/>
          <w:bCs/>
          <w:sz w:val="18"/>
          <w:szCs w:val="18"/>
        </w:rPr>
        <w:t>Asthma.W</w:t>
      </w:r>
      <w:proofErr w:type="gramStart"/>
      <w:r w:rsidRPr="00044035">
        <w:rPr>
          <w:rFonts w:cs="Arial"/>
          <w:bCs/>
          <w:sz w:val="18"/>
          <w:szCs w:val="18"/>
        </w:rPr>
        <w:t>..</w:t>
      </w:r>
      <w:proofErr w:type="gramEnd"/>
      <w:r w:rsidRPr="00044035">
        <w:rPr>
          <w:rFonts w:cs="Arial"/>
          <w:bCs/>
          <w:sz w:val="18"/>
          <w:szCs w:val="18"/>
        </w:rPr>
        <w:t>DE</w:t>
      </w:r>
      <w:proofErr w:type="spellEnd"/>
      <w:r w:rsidRPr="00044035">
        <w:rPr>
          <w:rFonts w:cs="Arial"/>
          <w:bCs/>
          <w:sz w:val="18"/>
          <w:szCs w:val="18"/>
        </w:rPr>
        <w:t>.) AND (Drug-hypersensitivity.DE.) AND (Human=yes)</w:t>
      </w:r>
      <w:proofErr w:type="gramStart"/>
      <w:r w:rsidRPr="00044035">
        <w:rPr>
          <w:rFonts w:cs="Arial"/>
          <w:bCs/>
          <w:sz w:val="18"/>
          <w:szCs w:val="18"/>
        </w:rPr>
        <w:t>)  2</w:t>
      </w:r>
      <w:proofErr w:type="gramEnd"/>
      <w:r w:rsidRPr="00044035">
        <w:rPr>
          <w:rFonts w:cs="Arial"/>
          <w:bCs/>
          <w:sz w:val="18"/>
          <w:szCs w:val="18"/>
        </w:rPr>
        <w:t>) (( Anti-inflammatory-agents-non-steroidal-AE.DE. OR Anti-inflammatory-agents-non-steroidal -CT.DE. )) and ( Asthma-CI.DE. ) and (Human=yes"))</w:t>
      </w:r>
    </w:p>
    <w:p w14:paraId="14DB39F9" w14:textId="2A75DEB7" w:rsidR="00823E91" w:rsidRPr="00044035" w:rsidRDefault="00823E91" w:rsidP="00044035">
      <w:pPr>
        <w:pStyle w:val="ListParagraph"/>
        <w:numPr>
          <w:ilvl w:val="0"/>
          <w:numId w:val="22"/>
        </w:numPr>
        <w:rPr>
          <w:color w:val="000000"/>
          <w:sz w:val="18"/>
          <w:szCs w:val="18"/>
        </w:rPr>
      </w:pPr>
      <w:proofErr w:type="spellStart"/>
      <w:r w:rsidRPr="00044035">
        <w:rPr>
          <w:rFonts w:cs="Arial"/>
          <w:sz w:val="18"/>
          <w:szCs w:val="18"/>
        </w:rPr>
        <w:t>Pharmline</w:t>
      </w:r>
      <w:proofErr w:type="spellEnd"/>
      <w:r w:rsidRPr="00044035">
        <w:rPr>
          <w:rFonts w:cs="Arial"/>
          <w:sz w:val="18"/>
          <w:szCs w:val="18"/>
        </w:rPr>
        <w:t>: 1) ("Analgesics-anti-inflammatory"  AND "Asthma")   2) (</w:t>
      </w:r>
      <w:r w:rsidRPr="00044035">
        <w:rPr>
          <w:rFonts w:cs="Arial"/>
          <w:bCs/>
          <w:sz w:val="18"/>
          <w:szCs w:val="18"/>
        </w:rPr>
        <w:t>("Analgesics-anti-inflammatory"  OR "Aspirin") AND ("Asthma"))</w:t>
      </w:r>
    </w:p>
    <w:sectPr w:rsidR="00823E91" w:rsidRPr="00044035" w:rsidSect="00E71642">
      <w:headerReference w:type="default" r:id="rId31"/>
      <w:footerReference w:type="default" r:id="rId32"/>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98C7A" w14:textId="77777777" w:rsidR="001D6798" w:rsidRDefault="001D6798" w:rsidP="00B2372E">
      <w:pPr>
        <w:spacing w:after="0" w:line="240" w:lineRule="auto"/>
      </w:pPr>
      <w:r>
        <w:separator/>
      </w:r>
    </w:p>
  </w:endnote>
  <w:endnote w:type="continuationSeparator" w:id="0">
    <w:p w14:paraId="04507DC0" w14:textId="77777777" w:rsidR="001D6798" w:rsidRDefault="001D6798"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PSA88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9C257" w14:textId="1DDE27F6" w:rsidR="00B2372E" w:rsidRPr="006945F6" w:rsidRDefault="00B2372E"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hyperlink r:id="rId1" w:history="1">
      <w:r w:rsidRPr="00AB2D91">
        <w:rPr>
          <w:rStyle w:val="Hyperlink"/>
        </w:rPr>
        <w:t>www.sps.nhs.uk</w:t>
      </w:r>
    </w:hyperlink>
    <w:r>
      <w:rPr>
        <w:color w:val="A6A6A6"/>
      </w:rPr>
      <w:t xml:space="preserve"> </w:t>
    </w:r>
  </w:p>
  <w:p w14:paraId="1B314A6A" w14:textId="77777777" w:rsidR="00B2372E" w:rsidRDefault="00B23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F3A2D" w14:textId="77777777" w:rsidR="001D6798" w:rsidRDefault="001D6798" w:rsidP="00B2372E">
      <w:pPr>
        <w:spacing w:after="0" w:line="240" w:lineRule="auto"/>
      </w:pPr>
      <w:r>
        <w:separator/>
      </w:r>
    </w:p>
  </w:footnote>
  <w:footnote w:type="continuationSeparator" w:id="0">
    <w:p w14:paraId="694AED99" w14:textId="77777777" w:rsidR="001D6798" w:rsidRDefault="001D6798" w:rsidP="00B2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B13F3" w14:textId="77777777" w:rsidR="00B2372E" w:rsidRPr="00B1695F" w:rsidRDefault="003A21B9" w:rsidP="003A21B9">
    <w:pPr>
      <w:pStyle w:val="Header"/>
      <w:tabs>
        <w:tab w:val="clear" w:pos="4513"/>
        <w:tab w:val="clear" w:pos="9026"/>
        <w:tab w:val="left" w:pos="7650"/>
      </w:tabs>
      <w:rPr>
        <w:b/>
        <w:color w:val="0070C0"/>
      </w:rPr>
    </w:pPr>
    <w:r>
      <w:rPr>
        <w:b/>
        <w:noProof/>
        <w:color w:val="0070C0"/>
        <w:sz w:val="24"/>
        <w:lang w:eastAsia="en-GB"/>
      </w:rPr>
      <w:drawing>
        <wp:anchor distT="0" distB="0" distL="114300" distR="114300" simplePos="0" relativeHeight="251661312" behindDoc="0" locked="0" layoutInCell="1" allowOverlap="1" wp14:anchorId="06638B54" wp14:editId="33E4C70B">
          <wp:simplePos x="0" y="0"/>
          <wp:positionH relativeFrom="column">
            <wp:posOffset>2867025</wp:posOffset>
          </wp:positionH>
          <wp:positionV relativeFrom="paragraph">
            <wp:posOffset>-182880</wp:posOffset>
          </wp:positionV>
          <wp:extent cx="2876550" cy="514350"/>
          <wp:effectExtent l="1905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76550" cy="514350"/>
                  </a:xfrm>
                  <a:prstGeom prst="rect">
                    <a:avLst/>
                  </a:prstGeom>
                  <a:noFill/>
                  <a:ln w="9525">
                    <a:noFill/>
                    <a:miter lim="800000"/>
                    <a:headEnd/>
                    <a:tailEnd/>
                  </a:ln>
                </pic:spPr>
              </pic:pic>
            </a:graphicData>
          </a:graphic>
        </wp:anchor>
      </w:drawing>
    </w:r>
    <w:r w:rsidR="007E7BE9">
      <w:rPr>
        <w:b/>
        <w:noProof/>
        <w:color w:val="0070C0"/>
        <w:sz w:val="24"/>
        <w:lang w:eastAsia="en-GB"/>
      </w:rPr>
      <mc:AlternateContent>
        <mc:Choice Requires="wps">
          <w:drawing>
            <wp:anchor distT="0" distB="0" distL="114300" distR="114300" simplePos="0" relativeHeight="251663360" behindDoc="0" locked="0" layoutInCell="1" allowOverlap="1" wp14:anchorId="6AB4CD4E" wp14:editId="35352126">
              <wp:simplePos x="0" y="0"/>
              <wp:positionH relativeFrom="column">
                <wp:posOffset>187960</wp:posOffset>
              </wp:positionH>
              <wp:positionV relativeFrom="paragraph">
                <wp:posOffset>-87630</wp:posOffset>
              </wp:positionV>
              <wp:extent cx="1393190" cy="282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5C496" w14:textId="77777777" w:rsidR="003A21B9" w:rsidRPr="00B1695F" w:rsidRDefault="003A21B9" w:rsidP="003A21B9">
                          <w:pPr>
                            <w:pStyle w:val="Header"/>
                            <w:tabs>
                              <w:tab w:val="clear" w:pos="4513"/>
                              <w:tab w:val="clear" w:pos="9026"/>
                              <w:tab w:val="left" w:pos="7650"/>
                            </w:tabs>
                            <w:rPr>
                              <w:b/>
                              <w:color w:val="0070C0"/>
                            </w:rPr>
                          </w:pPr>
                          <w:r w:rsidRPr="00B1695F">
                            <w:rPr>
                              <w:b/>
                              <w:color w:val="0070C0"/>
                              <w:sz w:val="24"/>
                            </w:rPr>
                            <w:t>Medicines Q&amp;As</w:t>
                          </w:r>
                        </w:p>
                        <w:p w14:paraId="74538508" w14:textId="77777777" w:rsidR="003A21B9" w:rsidRDefault="003A21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B4CD4E" id="_x0000_t202" coordsize="21600,21600" o:spt="202" path="m,l,21600r21600,l21600,xe">
              <v:stroke joinstyle="miter"/>
              <v:path gradientshapeok="t" o:connecttype="rect"/>
            </v:shapetype>
            <v:shape id="Text Box 5" o:spid="_x0000_s1026" type="#_x0000_t202" style="position:absolute;margin-left:14.8pt;margin-top:-6.9pt;width:109.7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Mn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" filled="f" stroked="f">
              <v:textbox>
                <w:txbxContent>
                  <w:p w14:paraId="2C05C496" w14:textId="77777777" w:rsidR="003A21B9" w:rsidRPr="00B1695F" w:rsidRDefault="003A21B9" w:rsidP="003A21B9">
                    <w:pPr>
                      <w:pStyle w:val="Header"/>
                      <w:tabs>
                        <w:tab w:val="clear" w:pos="4513"/>
                        <w:tab w:val="clear" w:pos="9026"/>
                        <w:tab w:val="left" w:pos="7650"/>
                      </w:tabs>
                      <w:rPr>
                        <w:b/>
                        <w:color w:val="0070C0"/>
                      </w:rPr>
                    </w:pPr>
                    <w:r w:rsidRPr="00B1695F">
                      <w:rPr>
                        <w:b/>
                        <w:color w:val="0070C0"/>
                        <w:sz w:val="24"/>
                      </w:rPr>
                      <w:t>Medicines Q&amp;As</w:t>
                    </w:r>
                  </w:p>
                  <w:p w14:paraId="74538508" w14:textId="77777777" w:rsidR="003A21B9" w:rsidRDefault="003A21B9"/>
                </w:txbxContent>
              </v:textbox>
            </v:shape>
          </w:pict>
        </mc:Fallback>
      </mc:AlternateContent>
    </w:r>
  </w:p>
  <w:p w14:paraId="25191EFB" w14:textId="77777777" w:rsidR="00B2372E" w:rsidRDefault="007E7BE9">
    <w:pPr>
      <w:pStyle w:val="Header"/>
    </w:pPr>
    <w:r>
      <w:rPr>
        <w:b/>
        <w:noProof/>
        <w:color w:val="0070C0"/>
        <w:sz w:val="24"/>
        <w:lang w:eastAsia="en-GB"/>
      </w:rPr>
      <mc:AlternateContent>
        <mc:Choice Requires="wps">
          <w:drawing>
            <wp:anchor distT="0" distB="0" distL="114300" distR="114300" simplePos="0" relativeHeight="251660288" behindDoc="0" locked="0" layoutInCell="1" allowOverlap="1" wp14:anchorId="5245734A" wp14:editId="4D64B878">
              <wp:simplePos x="0" y="0"/>
              <wp:positionH relativeFrom="column">
                <wp:posOffset>6985</wp:posOffset>
              </wp:positionH>
              <wp:positionV relativeFrom="paragraph">
                <wp:posOffset>15875</wp:posOffset>
              </wp:positionV>
              <wp:extent cx="1762125" cy="0"/>
              <wp:effectExtent l="16510" t="15875" r="1206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14BEC"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" strokecolor="#0070c0"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F26D1"/>
    <w:multiLevelType w:val="hybridMultilevel"/>
    <w:tmpl w:val="F3FA530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15E350F1"/>
    <w:multiLevelType w:val="hybridMultilevel"/>
    <w:tmpl w:val="D994895E"/>
    <w:lvl w:ilvl="0" w:tplc="1244180E">
      <w:numFmt w:val="bullet"/>
      <w:lvlText w:val=""/>
      <w:lvlJc w:val="left"/>
      <w:pPr>
        <w:tabs>
          <w:tab w:val="num" w:pos="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8733E"/>
    <w:multiLevelType w:val="hybridMultilevel"/>
    <w:tmpl w:val="069E19A6"/>
    <w:lvl w:ilvl="0" w:tplc="C086586C">
      <w:start w:val="1"/>
      <w:numFmt w:val="decimal"/>
      <w:lvlText w:val="%1."/>
      <w:lvlJc w:val="left"/>
      <w:pPr>
        <w:tabs>
          <w:tab w:val="num" w:pos="-714"/>
        </w:tabs>
        <w:ind w:left="6" w:hanging="360"/>
      </w:pPr>
      <w:rPr>
        <w:rFonts w:ascii="Arial" w:eastAsia="Calibri" w:hAnsi="Arial" w:cs="Arial" w:hint="default"/>
        <w:color w:val="auto"/>
      </w:rPr>
    </w:lvl>
    <w:lvl w:ilvl="1" w:tplc="08090003" w:tentative="1">
      <w:start w:val="1"/>
      <w:numFmt w:val="bullet"/>
      <w:lvlText w:val="o"/>
      <w:lvlJc w:val="left"/>
      <w:pPr>
        <w:tabs>
          <w:tab w:val="num" w:pos="726"/>
        </w:tabs>
        <w:ind w:left="726" w:hanging="360"/>
      </w:pPr>
      <w:rPr>
        <w:rFonts w:ascii="Courier New" w:hAnsi="Courier New" w:cs="Courier New"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8" w15:restartNumberingAfterBreak="0">
    <w:nsid w:val="1C2F6296"/>
    <w:multiLevelType w:val="hybridMultilevel"/>
    <w:tmpl w:val="E2F69158"/>
    <w:lvl w:ilvl="0" w:tplc="1244180E">
      <w:numFmt w:val="bullet"/>
      <w:lvlText w:val=""/>
      <w:lvlJc w:val="left"/>
      <w:pPr>
        <w:tabs>
          <w:tab w:val="num" w:pos="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E929C9"/>
    <w:multiLevelType w:val="hybridMultilevel"/>
    <w:tmpl w:val="6666D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DC0FA9"/>
    <w:multiLevelType w:val="hybridMultilevel"/>
    <w:tmpl w:val="F7D2D26C"/>
    <w:lvl w:ilvl="0" w:tplc="1244180E">
      <w:numFmt w:val="bullet"/>
      <w:lvlText w:val=""/>
      <w:lvlJc w:val="left"/>
      <w:pPr>
        <w:tabs>
          <w:tab w:val="num" w:pos="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9307EA"/>
    <w:multiLevelType w:val="hybridMultilevel"/>
    <w:tmpl w:val="99969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0681A"/>
    <w:multiLevelType w:val="hybridMultilevel"/>
    <w:tmpl w:val="0DEC6A7C"/>
    <w:lvl w:ilvl="0" w:tplc="1244180E">
      <w:numFmt w:val="bullet"/>
      <w:lvlText w:val=""/>
      <w:lvlJc w:val="left"/>
      <w:pPr>
        <w:tabs>
          <w:tab w:val="num" w:pos="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F4E96"/>
    <w:multiLevelType w:val="hybridMultilevel"/>
    <w:tmpl w:val="173CD4CE"/>
    <w:lvl w:ilvl="0" w:tplc="1244180E">
      <w:numFmt w:val="bullet"/>
      <w:lvlText w:val=""/>
      <w:lvlJc w:val="left"/>
      <w:pPr>
        <w:tabs>
          <w:tab w:val="num" w:pos="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351535"/>
    <w:multiLevelType w:val="hybridMultilevel"/>
    <w:tmpl w:val="9A9253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37A7095"/>
    <w:multiLevelType w:val="hybridMultilevel"/>
    <w:tmpl w:val="B024E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713F6B"/>
    <w:multiLevelType w:val="hybridMultilevel"/>
    <w:tmpl w:val="6722EB5E"/>
    <w:lvl w:ilvl="0" w:tplc="1244180E">
      <w:numFmt w:val="bullet"/>
      <w:lvlText w:val=""/>
      <w:lvlJc w:val="left"/>
      <w:pPr>
        <w:tabs>
          <w:tab w:val="num" w:pos="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C6050C"/>
    <w:multiLevelType w:val="hybridMultilevel"/>
    <w:tmpl w:val="B744220E"/>
    <w:lvl w:ilvl="0" w:tplc="AC026A16">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3E29E4"/>
    <w:multiLevelType w:val="hybridMultilevel"/>
    <w:tmpl w:val="5A12D6CA"/>
    <w:lvl w:ilvl="0" w:tplc="C086586C">
      <w:start w:val="1"/>
      <w:numFmt w:val="decimal"/>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8A4708"/>
    <w:multiLevelType w:val="hybridMultilevel"/>
    <w:tmpl w:val="343A1BE8"/>
    <w:lvl w:ilvl="0" w:tplc="07AE00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462D41"/>
    <w:multiLevelType w:val="hybridMultilevel"/>
    <w:tmpl w:val="B85E5E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E059BA"/>
    <w:multiLevelType w:val="hybridMultilevel"/>
    <w:tmpl w:val="E9588AA0"/>
    <w:lvl w:ilvl="0" w:tplc="AC026A16">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7D0C19"/>
    <w:multiLevelType w:val="hybridMultilevel"/>
    <w:tmpl w:val="BBD6A28A"/>
    <w:lvl w:ilvl="0" w:tplc="1244180E">
      <w:numFmt w:val="bullet"/>
      <w:lvlText w:val=""/>
      <w:lvlJc w:val="left"/>
      <w:pPr>
        <w:tabs>
          <w:tab w:val="num" w:pos="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4"/>
  </w:num>
  <w:num w:numId="3">
    <w:abstractNumId w:val="22"/>
  </w:num>
  <w:num w:numId="4">
    <w:abstractNumId w:val="3"/>
  </w:num>
  <w:num w:numId="5">
    <w:abstractNumId w:val="2"/>
  </w:num>
  <w:num w:numId="6">
    <w:abstractNumId w:val="19"/>
  </w:num>
  <w:num w:numId="7">
    <w:abstractNumId w:val="18"/>
  </w:num>
  <w:num w:numId="8">
    <w:abstractNumId w:val="1"/>
  </w:num>
  <w:num w:numId="9">
    <w:abstractNumId w:val="20"/>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17"/>
  </w:num>
  <w:num w:numId="12">
    <w:abstractNumId w:val="25"/>
  </w:num>
  <w:num w:numId="13">
    <w:abstractNumId w:val="7"/>
  </w:num>
  <w:num w:numId="14">
    <w:abstractNumId w:val="10"/>
  </w:num>
  <w:num w:numId="15">
    <w:abstractNumId w:val="26"/>
  </w:num>
  <w:num w:numId="16">
    <w:abstractNumId w:val="6"/>
  </w:num>
  <w:num w:numId="17">
    <w:abstractNumId w:val="12"/>
  </w:num>
  <w:num w:numId="18">
    <w:abstractNumId w:val="16"/>
  </w:num>
  <w:num w:numId="19">
    <w:abstractNumId w:val="8"/>
  </w:num>
  <w:num w:numId="20">
    <w:abstractNumId w:val="13"/>
  </w:num>
  <w:num w:numId="21">
    <w:abstractNumId w:val="24"/>
  </w:num>
  <w:num w:numId="22">
    <w:abstractNumId w:val="5"/>
  </w:num>
  <w:num w:numId="23">
    <w:abstractNumId w:val="15"/>
  </w:num>
  <w:num w:numId="24">
    <w:abstractNumId w:val="11"/>
  </w:num>
  <w:num w:numId="25">
    <w:abstractNumId w:val="23"/>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2E"/>
    <w:rsid w:val="00003446"/>
    <w:rsid w:val="0000435D"/>
    <w:rsid w:val="000166D7"/>
    <w:rsid w:val="00016933"/>
    <w:rsid w:val="00016B12"/>
    <w:rsid w:val="00021D75"/>
    <w:rsid w:val="00031B38"/>
    <w:rsid w:val="00044035"/>
    <w:rsid w:val="00054F89"/>
    <w:rsid w:val="00057B82"/>
    <w:rsid w:val="00073B2A"/>
    <w:rsid w:val="00081C3F"/>
    <w:rsid w:val="000B05BA"/>
    <w:rsid w:val="000D2DE7"/>
    <w:rsid w:val="000F4768"/>
    <w:rsid w:val="0010637B"/>
    <w:rsid w:val="00132A53"/>
    <w:rsid w:val="00140E06"/>
    <w:rsid w:val="0015504B"/>
    <w:rsid w:val="00155C6D"/>
    <w:rsid w:val="00163CA9"/>
    <w:rsid w:val="00172B2F"/>
    <w:rsid w:val="0017415F"/>
    <w:rsid w:val="001A4155"/>
    <w:rsid w:val="001A6F9D"/>
    <w:rsid w:val="001B0C1E"/>
    <w:rsid w:val="001C1432"/>
    <w:rsid w:val="001D6798"/>
    <w:rsid w:val="001F6562"/>
    <w:rsid w:val="00202C83"/>
    <w:rsid w:val="002151DF"/>
    <w:rsid w:val="0024148A"/>
    <w:rsid w:val="00277A4E"/>
    <w:rsid w:val="00285645"/>
    <w:rsid w:val="00285FB9"/>
    <w:rsid w:val="00291AA2"/>
    <w:rsid w:val="00293089"/>
    <w:rsid w:val="00295B0F"/>
    <w:rsid w:val="002B74A6"/>
    <w:rsid w:val="002D3BF0"/>
    <w:rsid w:val="002F156D"/>
    <w:rsid w:val="002F23F8"/>
    <w:rsid w:val="003527FB"/>
    <w:rsid w:val="003549CE"/>
    <w:rsid w:val="00365AF3"/>
    <w:rsid w:val="003869EE"/>
    <w:rsid w:val="003A21B9"/>
    <w:rsid w:val="003A5A46"/>
    <w:rsid w:val="003D4B86"/>
    <w:rsid w:val="003E6544"/>
    <w:rsid w:val="0040350D"/>
    <w:rsid w:val="00404D63"/>
    <w:rsid w:val="00411C73"/>
    <w:rsid w:val="00426084"/>
    <w:rsid w:val="00426AC4"/>
    <w:rsid w:val="00427F92"/>
    <w:rsid w:val="00435E24"/>
    <w:rsid w:val="00447A33"/>
    <w:rsid w:val="0049378F"/>
    <w:rsid w:val="004A39EB"/>
    <w:rsid w:val="004A3F92"/>
    <w:rsid w:val="004D3C1C"/>
    <w:rsid w:val="004D518C"/>
    <w:rsid w:val="004E7C90"/>
    <w:rsid w:val="004F475C"/>
    <w:rsid w:val="005010C1"/>
    <w:rsid w:val="005075B2"/>
    <w:rsid w:val="00511075"/>
    <w:rsid w:val="00514926"/>
    <w:rsid w:val="005232E1"/>
    <w:rsid w:val="00526C92"/>
    <w:rsid w:val="00526D57"/>
    <w:rsid w:val="00540D77"/>
    <w:rsid w:val="005614CC"/>
    <w:rsid w:val="00563103"/>
    <w:rsid w:val="00565977"/>
    <w:rsid w:val="005B236E"/>
    <w:rsid w:val="005B27F4"/>
    <w:rsid w:val="005C7BFB"/>
    <w:rsid w:val="005D6887"/>
    <w:rsid w:val="005D73CC"/>
    <w:rsid w:val="006068E5"/>
    <w:rsid w:val="00626B08"/>
    <w:rsid w:val="0063779B"/>
    <w:rsid w:val="00643B89"/>
    <w:rsid w:val="00645B83"/>
    <w:rsid w:val="00666ED1"/>
    <w:rsid w:val="006D6E12"/>
    <w:rsid w:val="007050AC"/>
    <w:rsid w:val="00721CBC"/>
    <w:rsid w:val="00754AE9"/>
    <w:rsid w:val="007742D8"/>
    <w:rsid w:val="007803B6"/>
    <w:rsid w:val="00780E99"/>
    <w:rsid w:val="00781E2E"/>
    <w:rsid w:val="0078417A"/>
    <w:rsid w:val="00797B93"/>
    <w:rsid w:val="007B060A"/>
    <w:rsid w:val="007D023E"/>
    <w:rsid w:val="007D57DE"/>
    <w:rsid w:val="007E2FE5"/>
    <w:rsid w:val="007E79EC"/>
    <w:rsid w:val="007E7BE9"/>
    <w:rsid w:val="00820925"/>
    <w:rsid w:val="00823E91"/>
    <w:rsid w:val="00883919"/>
    <w:rsid w:val="00887BA7"/>
    <w:rsid w:val="008A1997"/>
    <w:rsid w:val="008A1DEE"/>
    <w:rsid w:val="008A5D40"/>
    <w:rsid w:val="008B314D"/>
    <w:rsid w:val="008D2CB1"/>
    <w:rsid w:val="008D4C1E"/>
    <w:rsid w:val="008E6FD7"/>
    <w:rsid w:val="008F65BC"/>
    <w:rsid w:val="009147C8"/>
    <w:rsid w:val="0091596A"/>
    <w:rsid w:val="00916AAF"/>
    <w:rsid w:val="0094323C"/>
    <w:rsid w:val="00946DDB"/>
    <w:rsid w:val="00955D84"/>
    <w:rsid w:val="00956944"/>
    <w:rsid w:val="00972555"/>
    <w:rsid w:val="00975340"/>
    <w:rsid w:val="009767EB"/>
    <w:rsid w:val="009804F5"/>
    <w:rsid w:val="00982230"/>
    <w:rsid w:val="009C3B0B"/>
    <w:rsid w:val="009D59A3"/>
    <w:rsid w:val="009F17C3"/>
    <w:rsid w:val="009F2400"/>
    <w:rsid w:val="00A00BA4"/>
    <w:rsid w:val="00A04265"/>
    <w:rsid w:val="00A11359"/>
    <w:rsid w:val="00A34595"/>
    <w:rsid w:val="00A5099A"/>
    <w:rsid w:val="00A53C41"/>
    <w:rsid w:val="00A85E0C"/>
    <w:rsid w:val="00A90573"/>
    <w:rsid w:val="00AA5D17"/>
    <w:rsid w:val="00AE6D7D"/>
    <w:rsid w:val="00B0276B"/>
    <w:rsid w:val="00B141A0"/>
    <w:rsid w:val="00B20883"/>
    <w:rsid w:val="00B2372E"/>
    <w:rsid w:val="00B3146B"/>
    <w:rsid w:val="00B37039"/>
    <w:rsid w:val="00B374D0"/>
    <w:rsid w:val="00B436D4"/>
    <w:rsid w:val="00B55F1F"/>
    <w:rsid w:val="00B91321"/>
    <w:rsid w:val="00BB4EAE"/>
    <w:rsid w:val="00BC14EC"/>
    <w:rsid w:val="00BC42AA"/>
    <w:rsid w:val="00BD010E"/>
    <w:rsid w:val="00BD51B9"/>
    <w:rsid w:val="00C02365"/>
    <w:rsid w:val="00C1052C"/>
    <w:rsid w:val="00C118DB"/>
    <w:rsid w:val="00C37B99"/>
    <w:rsid w:val="00C443A0"/>
    <w:rsid w:val="00C4475A"/>
    <w:rsid w:val="00C455C8"/>
    <w:rsid w:val="00C5404C"/>
    <w:rsid w:val="00CA4384"/>
    <w:rsid w:val="00CB043C"/>
    <w:rsid w:val="00CB1540"/>
    <w:rsid w:val="00CF7BAF"/>
    <w:rsid w:val="00D0298A"/>
    <w:rsid w:val="00D31EE6"/>
    <w:rsid w:val="00D70949"/>
    <w:rsid w:val="00DB5796"/>
    <w:rsid w:val="00DD004D"/>
    <w:rsid w:val="00DE35CC"/>
    <w:rsid w:val="00DE565A"/>
    <w:rsid w:val="00E01486"/>
    <w:rsid w:val="00E066E5"/>
    <w:rsid w:val="00E225B5"/>
    <w:rsid w:val="00E25926"/>
    <w:rsid w:val="00E50B68"/>
    <w:rsid w:val="00E61379"/>
    <w:rsid w:val="00E71642"/>
    <w:rsid w:val="00E86F10"/>
    <w:rsid w:val="00EC32BB"/>
    <w:rsid w:val="00ED487E"/>
    <w:rsid w:val="00ED6327"/>
    <w:rsid w:val="00EE0D53"/>
    <w:rsid w:val="00F022CB"/>
    <w:rsid w:val="00F30706"/>
    <w:rsid w:val="00F30FC6"/>
    <w:rsid w:val="00F31A63"/>
    <w:rsid w:val="00F372D5"/>
    <w:rsid w:val="00F4426B"/>
    <w:rsid w:val="00F55282"/>
    <w:rsid w:val="00F57BAD"/>
    <w:rsid w:val="00F62718"/>
    <w:rsid w:val="00F67B41"/>
    <w:rsid w:val="00F754CF"/>
    <w:rsid w:val="00F760FB"/>
    <w:rsid w:val="00F94404"/>
    <w:rsid w:val="00FA309C"/>
    <w:rsid w:val="00FD1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89EA4"/>
  <w15:docId w15:val="{CB957731-249E-4F36-A0CF-A795C67E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paragraph" w:styleId="Heading5">
    <w:name w:val="heading 5"/>
    <w:basedOn w:val="Normal"/>
    <w:next w:val="Normal"/>
    <w:link w:val="Heading5Char"/>
    <w:uiPriority w:val="9"/>
    <w:semiHidden/>
    <w:unhideWhenUsed/>
    <w:qFormat/>
    <w:rsid w:val="0097534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paragraph" w:customStyle="1" w:styleId="Heading21">
    <w:name w:val="Heading 21"/>
    <w:basedOn w:val="Normal"/>
    <w:rsid w:val="001A4155"/>
    <w:pPr>
      <w:spacing w:before="100" w:beforeAutospacing="1" w:after="0" w:line="240" w:lineRule="auto"/>
      <w:outlineLvl w:val="2"/>
    </w:pPr>
    <w:rPr>
      <w:rFonts w:ascii="Times New Roman" w:eastAsia="Times New Roman" w:hAnsi="Times New Roman"/>
      <w:color w:val="4B54A1"/>
      <w:sz w:val="24"/>
      <w:szCs w:val="24"/>
      <w:lang w:eastAsia="en-GB"/>
    </w:rPr>
  </w:style>
  <w:style w:type="character" w:customStyle="1" w:styleId="Heading5Char">
    <w:name w:val="Heading 5 Char"/>
    <w:basedOn w:val="DefaultParagraphFont"/>
    <w:link w:val="Heading5"/>
    <w:uiPriority w:val="9"/>
    <w:semiHidden/>
    <w:rsid w:val="00975340"/>
    <w:rPr>
      <w:rFonts w:asciiTheme="majorHAnsi" w:eastAsiaTheme="majorEastAsia" w:hAnsiTheme="majorHAnsi" w:cstheme="majorBidi"/>
      <w:color w:val="365F91" w:themeColor="accent1" w:themeShade="BF"/>
      <w:sz w:val="20"/>
    </w:rPr>
  </w:style>
  <w:style w:type="character" w:styleId="CommentReference">
    <w:name w:val="annotation reference"/>
    <w:basedOn w:val="DefaultParagraphFont"/>
    <w:uiPriority w:val="99"/>
    <w:semiHidden/>
    <w:unhideWhenUsed/>
    <w:rsid w:val="00956944"/>
    <w:rPr>
      <w:sz w:val="16"/>
      <w:szCs w:val="16"/>
    </w:rPr>
  </w:style>
  <w:style w:type="paragraph" w:styleId="CommentText">
    <w:name w:val="annotation text"/>
    <w:basedOn w:val="Normal"/>
    <w:link w:val="CommentTextChar"/>
    <w:uiPriority w:val="99"/>
    <w:semiHidden/>
    <w:unhideWhenUsed/>
    <w:rsid w:val="00956944"/>
    <w:pPr>
      <w:spacing w:line="240" w:lineRule="auto"/>
    </w:pPr>
    <w:rPr>
      <w:szCs w:val="20"/>
    </w:rPr>
  </w:style>
  <w:style w:type="character" w:customStyle="1" w:styleId="CommentTextChar">
    <w:name w:val="Comment Text Char"/>
    <w:basedOn w:val="DefaultParagraphFont"/>
    <w:link w:val="CommentText"/>
    <w:uiPriority w:val="99"/>
    <w:semiHidden/>
    <w:rsid w:val="00956944"/>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956944"/>
    <w:rPr>
      <w:b/>
      <w:bCs/>
    </w:rPr>
  </w:style>
  <w:style w:type="character" w:customStyle="1" w:styleId="CommentSubjectChar">
    <w:name w:val="Comment Subject Char"/>
    <w:basedOn w:val="CommentTextChar"/>
    <w:link w:val="CommentSubject"/>
    <w:uiPriority w:val="99"/>
    <w:semiHidden/>
    <w:rsid w:val="00956944"/>
    <w:rPr>
      <w:rFonts w:ascii="Arial" w:eastAsia="Calibri" w:hAnsi="Arial" w:cs="Times New Roman"/>
      <w:b/>
      <w:bCs/>
      <w:sz w:val="20"/>
      <w:szCs w:val="20"/>
    </w:rPr>
  </w:style>
  <w:style w:type="character" w:styleId="Strong">
    <w:name w:val="Strong"/>
    <w:uiPriority w:val="99"/>
    <w:qFormat/>
    <w:rsid w:val="00DE35CC"/>
    <w:rPr>
      <w:b/>
      <w:bCs/>
    </w:rPr>
  </w:style>
  <w:style w:type="paragraph" w:customStyle="1" w:styleId="Normal0">
    <w:name w:val="[Normal]"/>
    <w:uiPriority w:val="99"/>
    <w:rsid w:val="00F4426B"/>
    <w:pPr>
      <w:widowControl w:val="0"/>
      <w:autoSpaceDE w:val="0"/>
      <w:autoSpaceDN w:val="0"/>
      <w:adjustRightInd w:val="0"/>
      <w:spacing w:after="0" w:line="240" w:lineRule="auto"/>
    </w:pPr>
    <w:rPr>
      <w:rFonts w:ascii="Arial" w:hAnsi="Arial" w:cs="Arial"/>
      <w:sz w:val="24"/>
      <w:szCs w:val="24"/>
    </w:rPr>
  </w:style>
  <w:style w:type="character" w:styleId="Emphasis">
    <w:name w:val="Emphasis"/>
    <w:basedOn w:val="DefaultParagraphFont"/>
    <w:uiPriority w:val="20"/>
    <w:qFormat/>
    <w:rsid w:val="00F4426B"/>
    <w:rPr>
      <w:i/>
      <w:iCs/>
    </w:rPr>
  </w:style>
  <w:style w:type="paragraph" w:customStyle="1" w:styleId="DefinitionTerm">
    <w:name w:val="Definition Term"/>
    <w:basedOn w:val="Normal"/>
    <w:next w:val="Normal"/>
    <w:uiPriority w:val="99"/>
    <w:rsid w:val="00B3146B"/>
    <w:pPr>
      <w:widowControl w:val="0"/>
      <w:autoSpaceDE w:val="0"/>
      <w:autoSpaceDN w:val="0"/>
      <w:adjustRightInd w:val="0"/>
      <w:spacing w:after="0" w:line="240" w:lineRule="auto"/>
    </w:pPr>
    <w:rPr>
      <w:rFonts w:ascii="Times New Roman" w:eastAsiaTheme="minorHAnsi" w:hAnsi="Times New Roman"/>
      <w:sz w:val="24"/>
      <w:szCs w:val="24"/>
    </w:rPr>
  </w:style>
  <w:style w:type="table" w:styleId="TableGrid">
    <w:name w:val="Table Grid"/>
    <w:basedOn w:val="TableNormal"/>
    <w:uiPriority w:val="59"/>
    <w:rsid w:val="001A6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uiPriority w:val="99"/>
    <w:rsid w:val="003E6544"/>
    <w:rPr>
      <w:color w:val="0000FF"/>
      <w:u w:val="single"/>
    </w:rPr>
  </w:style>
  <w:style w:type="paragraph" w:customStyle="1" w:styleId="BODY">
    <w:name w:val="BODY"/>
    <w:basedOn w:val="Normal0"/>
    <w:uiPriority w:val="99"/>
    <w:rsid w:val="003E6544"/>
    <w:pPr>
      <w:spacing w:before="134" w:after="134"/>
    </w:pPr>
  </w:style>
  <w:style w:type="character" w:styleId="FollowedHyperlink">
    <w:name w:val="FollowedHyperlink"/>
    <w:basedOn w:val="DefaultParagraphFont"/>
    <w:uiPriority w:val="99"/>
    <w:semiHidden/>
    <w:unhideWhenUsed/>
    <w:rsid w:val="008A19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s.nhs.uk/articles/about-ukmi-medicines-qas/" TargetMode="External"/><Relationship Id="rId13" Type="http://schemas.openxmlformats.org/officeDocument/2006/relationships/hyperlink" Target="https://www.medicines.org.uk/emc" TargetMode="External"/><Relationship Id="rId18" Type="http://schemas.openxmlformats.org/officeDocument/2006/relationships/hyperlink" Target="https://www.medicines.org.uk/emc" TargetMode="External"/><Relationship Id="rId26" Type="http://schemas.openxmlformats.org/officeDocument/2006/relationships/hyperlink" Target="https://www.medicinescomplete.com/mc/index.htm" TargetMode="External"/><Relationship Id="rId3" Type="http://schemas.openxmlformats.org/officeDocument/2006/relationships/styles" Target="styles.xml"/><Relationship Id="rId21" Type="http://schemas.openxmlformats.org/officeDocument/2006/relationships/hyperlink" Target="https://www.medicinescomplete.com/mc/index.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edicines.org.uk/emc" TargetMode="External"/><Relationship Id="rId17" Type="http://schemas.openxmlformats.org/officeDocument/2006/relationships/hyperlink" Target="https://www.medicines.org.uk/emc" TargetMode="External"/><Relationship Id="rId25" Type="http://schemas.openxmlformats.org/officeDocument/2006/relationships/hyperlink" Target="https://www.medicinescomplete.com/mc/index.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dicines.org.uk/emc" TargetMode="External"/><Relationship Id="rId20" Type="http://schemas.openxmlformats.org/officeDocument/2006/relationships/hyperlink" Target="https://www-uptodate-com.queens.ezp1.qub.ac.uk/contents/aspirin-exacerbated-respiratory-disease/abstract-text/21958585/pubmed" TargetMode="External"/><Relationship Id="rId29" Type="http://schemas.openxmlformats.org/officeDocument/2006/relationships/hyperlink" Target="http://www.medicine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inescomplete.com" TargetMode="External"/><Relationship Id="rId24" Type="http://schemas.openxmlformats.org/officeDocument/2006/relationships/hyperlink" Target="https://www.cochranelibrary.com/search?cookiesEnabled"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edicines.org.uk/emc" TargetMode="External"/><Relationship Id="rId23" Type="http://schemas.openxmlformats.org/officeDocument/2006/relationships/hyperlink" Target="https://www.medicines.org.uk/emc" TargetMode="External"/><Relationship Id="rId28" Type="http://schemas.openxmlformats.org/officeDocument/2006/relationships/hyperlink" Target="http://www.library.nhs.uk/Default.aspx" TargetMode="External"/><Relationship Id="rId10" Type="http://schemas.openxmlformats.org/officeDocument/2006/relationships/hyperlink" Target="https://oxfordmedicine.com/" TargetMode="External"/><Relationship Id="rId19" Type="http://schemas.openxmlformats.org/officeDocument/2006/relationships/hyperlink" Target="file:///\\gstt.local\contents\aspirin-exacerbated-respiratory-disease\abstract-text\25648572\pubmed"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dicinescomplete.com/" TargetMode="External"/><Relationship Id="rId14" Type="http://schemas.openxmlformats.org/officeDocument/2006/relationships/hyperlink" Target="https://www.medicines.org.uk/emc" TargetMode="External"/><Relationship Id="rId22" Type="http://schemas.openxmlformats.org/officeDocument/2006/relationships/hyperlink" Target="http://www.micromedexsolutions.com/%20" TargetMode="External"/><Relationship Id="rId27" Type="http://schemas.openxmlformats.org/officeDocument/2006/relationships/hyperlink" Target="http://www.nelm.nhs.uk/en/" TargetMode="External"/><Relationship Id="rId30" Type="http://schemas.openxmlformats.org/officeDocument/2006/relationships/hyperlink" Target="http://www.library.nhs.uk/Default.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5F439-FCC9-4252-9923-E32CD73E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3797</Words>
  <Characters>21645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25392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Mckie, Joshua</dc:creator>
  <cp:lastModifiedBy>Wan Yuet</cp:lastModifiedBy>
  <cp:revision>2</cp:revision>
  <dcterms:created xsi:type="dcterms:W3CDTF">2020-06-09T13:35:00Z</dcterms:created>
  <dcterms:modified xsi:type="dcterms:W3CDTF">2020-06-09T13:35:00Z</dcterms:modified>
</cp:coreProperties>
</file>